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4161"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31E24162"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31E24168" w14:textId="77777777" w:rsidTr="00E341E9">
        <w:tc>
          <w:tcPr>
            <w:tcW w:w="1951" w:type="dxa"/>
          </w:tcPr>
          <w:p w14:paraId="31E24163"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1E24164"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31E24165"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31E24166"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31E24167" w14:textId="77777777" w:rsidR="00191A23" w:rsidRPr="0022554A" w:rsidRDefault="00517788" w:rsidP="00517788">
            <w:pPr>
              <w:pStyle w:val="TableHeader"/>
              <w:tabs>
                <w:tab w:val="left" w:pos="5400"/>
              </w:tabs>
              <w:jc w:val="center"/>
              <w:rPr>
                <w:bCs/>
                <w:sz w:val="20"/>
              </w:rPr>
            </w:pPr>
            <w:bookmarkStart w:id="9" w:name="OLE_LINK2"/>
            <w:r>
              <w:rPr>
                <w:bCs/>
                <w:sz w:val="20"/>
              </w:rPr>
              <w:t>Relevant t</w:t>
            </w:r>
            <w:r w:rsidR="00191A23">
              <w:rPr>
                <w:bCs/>
                <w:sz w:val="20"/>
              </w:rPr>
              <w:t>ext from manuscript</w:t>
            </w:r>
            <w:bookmarkEnd w:id="9"/>
          </w:p>
        </w:tc>
      </w:tr>
      <w:tr w:rsidR="00191A23" w:rsidRPr="0022554A" w14:paraId="31E2416E" w14:textId="77777777" w:rsidTr="00E341E9">
        <w:tc>
          <w:tcPr>
            <w:tcW w:w="1951" w:type="dxa"/>
            <w:vMerge w:val="restart"/>
          </w:tcPr>
          <w:p w14:paraId="31E24169" w14:textId="77777777" w:rsidR="00191A23" w:rsidRPr="002602FB" w:rsidRDefault="00191A23" w:rsidP="0022554A">
            <w:pPr>
              <w:tabs>
                <w:tab w:val="left" w:pos="5400"/>
              </w:tabs>
              <w:rPr>
                <w:b/>
                <w:bCs/>
                <w:sz w:val="20"/>
              </w:rPr>
            </w:pPr>
            <w:bookmarkStart w:id="10" w:name="bold5"/>
            <w:bookmarkStart w:id="11" w:name="italic6"/>
            <w:bookmarkEnd w:id="0"/>
            <w:bookmarkEnd w:id="1"/>
            <w:bookmarkEnd w:id="2"/>
            <w:bookmarkEnd w:id="3"/>
            <w:bookmarkEnd w:id="4"/>
            <w:bookmarkEnd w:id="5"/>
            <w:bookmarkEnd w:id="6"/>
            <w:bookmarkEnd w:id="7"/>
            <w:bookmarkEnd w:id="8"/>
            <w:r w:rsidRPr="002602FB">
              <w:rPr>
                <w:b/>
                <w:sz w:val="20"/>
              </w:rPr>
              <w:t>Title and abstract</w:t>
            </w:r>
            <w:bookmarkEnd w:id="10"/>
            <w:bookmarkEnd w:id="11"/>
          </w:p>
        </w:tc>
        <w:tc>
          <w:tcPr>
            <w:tcW w:w="616" w:type="dxa"/>
            <w:vMerge w:val="restart"/>
          </w:tcPr>
          <w:p w14:paraId="31E2416A" w14:textId="77777777" w:rsidR="00191A23" w:rsidRPr="0022554A" w:rsidRDefault="00191A23" w:rsidP="0022554A">
            <w:pPr>
              <w:tabs>
                <w:tab w:val="left" w:pos="5400"/>
              </w:tabs>
              <w:jc w:val="center"/>
              <w:rPr>
                <w:sz w:val="20"/>
              </w:rPr>
            </w:pPr>
            <w:r w:rsidRPr="0022554A">
              <w:rPr>
                <w:sz w:val="20"/>
              </w:rPr>
              <w:t>1</w:t>
            </w:r>
          </w:p>
        </w:tc>
        <w:tc>
          <w:tcPr>
            <w:tcW w:w="8031" w:type="dxa"/>
          </w:tcPr>
          <w:p w14:paraId="31E2416B"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31E2416C" w14:textId="533963F0" w:rsidR="00191A23" w:rsidRPr="0022554A" w:rsidRDefault="00DB6570" w:rsidP="0022554A">
            <w:pPr>
              <w:tabs>
                <w:tab w:val="left" w:pos="5400"/>
              </w:tabs>
              <w:rPr>
                <w:sz w:val="20"/>
                <w:lang w:eastAsia="zh-CN"/>
              </w:rPr>
            </w:pPr>
            <w:r>
              <w:rPr>
                <w:rFonts w:hint="eastAsia"/>
                <w:sz w:val="20"/>
                <w:lang w:eastAsia="zh-CN"/>
              </w:rPr>
              <w:t>1</w:t>
            </w:r>
          </w:p>
        </w:tc>
        <w:tc>
          <w:tcPr>
            <w:tcW w:w="2835" w:type="dxa"/>
          </w:tcPr>
          <w:p w14:paraId="31E2416D" w14:textId="647E29D1" w:rsidR="00191A23" w:rsidRPr="0022554A" w:rsidRDefault="00042A9C" w:rsidP="0022554A">
            <w:pPr>
              <w:tabs>
                <w:tab w:val="left" w:pos="5400"/>
              </w:tabs>
              <w:rPr>
                <w:sz w:val="20"/>
              </w:rPr>
            </w:pPr>
            <w:r w:rsidRPr="00042A9C">
              <w:rPr>
                <w:sz w:val="20"/>
              </w:rPr>
              <w:t>A retrospective study</w:t>
            </w:r>
          </w:p>
        </w:tc>
      </w:tr>
      <w:tr w:rsidR="00191A23" w:rsidRPr="0022554A" w14:paraId="31E24174" w14:textId="77777777" w:rsidTr="00E341E9">
        <w:tc>
          <w:tcPr>
            <w:tcW w:w="1951" w:type="dxa"/>
            <w:vMerge/>
          </w:tcPr>
          <w:p w14:paraId="31E2416F" w14:textId="77777777" w:rsidR="00191A23" w:rsidRPr="0022554A" w:rsidRDefault="00191A23" w:rsidP="0022554A">
            <w:pPr>
              <w:tabs>
                <w:tab w:val="left" w:pos="5400"/>
              </w:tabs>
              <w:rPr>
                <w:bCs/>
                <w:sz w:val="20"/>
              </w:rPr>
            </w:pPr>
            <w:bookmarkStart w:id="12" w:name="bold6" w:colFirst="0" w:colLast="0"/>
            <w:bookmarkStart w:id="13" w:name="italic7" w:colFirst="0" w:colLast="0"/>
          </w:p>
        </w:tc>
        <w:tc>
          <w:tcPr>
            <w:tcW w:w="616" w:type="dxa"/>
            <w:vMerge/>
          </w:tcPr>
          <w:p w14:paraId="31E24170" w14:textId="77777777" w:rsidR="00191A23" w:rsidRPr="0022554A" w:rsidRDefault="00191A23" w:rsidP="0022554A">
            <w:pPr>
              <w:tabs>
                <w:tab w:val="left" w:pos="5400"/>
              </w:tabs>
              <w:jc w:val="center"/>
              <w:rPr>
                <w:sz w:val="20"/>
              </w:rPr>
            </w:pPr>
          </w:p>
        </w:tc>
        <w:tc>
          <w:tcPr>
            <w:tcW w:w="8031" w:type="dxa"/>
          </w:tcPr>
          <w:p w14:paraId="31E24171"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31E24172" w14:textId="5BBBD80F" w:rsidR="00191A23" w:rsidRPr="0022554A" w:rsidRDefault="00DB6570" w:rsidP="0022554A">
            <w:pPr>
              <w:tabs>
                <w:tab w:val="left" w:pos="5400"/>
              </w:tabs>
              <w:rPr>
                <w:sz w:val="20"/>
                <w:lang w:eastAsia="zh-CN"/>
              </w:rPr>
            </w:pPr>
            <w:r>
              <w:rPr>
                <w:rFonts w:hint="eastAsia"/>
                <w:sz w:val="20"/>
                <w:lang w:eastAsia="zh-CN"/>
              </w:rPr>
              <w:t>1</w:t>
            </w:r>
          </w:p>
        </w:tc>
        <w:tc>
          <w:tcPr>
            <w:tcW w:w="2835" w:type="dxa"/>
          </w:tcPr>
          <w:p w14:paraId="31E24173" w14:textId="67F2617F" w:rsidR="00191A23" w:rsidRPr="0022554A" w:rsidRDefault="00042A9C" w:rsidP="0022554A">
            <w:pPr>
              <w:tabs>
                <w:tab w:val="left" w:pos="5400"/>
              </w:tabs>
              <w:rPr>
                <w:sz w:val="20"/>
              </w:rPr>
            </w:pPr>
            <w:r w:rsidRPr="00042A9C">
              <w:rPr>
                <w:sz w:val="20"/>
              </w:rPr>
              <w:t>Our research shows that gastric cancer is associated with age, gender, and the positive levels of AFP, CEA, CA125, CA199, and CA242.</w:t>
            </w:r>
          </w:p>
        </w:tc>
      </w:tr>
      <w:tr w:rsidR="00191A23" w:rsidRPr="0022554A" w14:paraId="31E24177" w14:textId="77777777" w:rsidTr="00E341E9">
        <w:tc>
          <w:tcPr>
            <w:tcW w:w="12157" w:type="dxa"/>
            <w:gridSpan w:val="4"/>
          </w:tcPr>
          <w:p w14:paraId="31E24175" w14:textId="77777777" w:rsidR="00191A23" w:rsidRPr="0022554A" w:rsidRDefault="00191A23" w:rsidP="0022554A">
            <w:pPr>
              <w:pStyle w:val="TableSubHead"/>
              <w:tabs>
                <w:tab w:val="left" w:pos="5400"/>
              </w:tabs>
              <w:rPr>
                <w:sz w:val="20"/>
              </w:rPr>
            </w:pPr>
            <w:bookmarkStart w:id="14" w:name="bold7"/>
            <w:bookmarkStart w:id="15" w:name="italic8"/>
            <w:bookmarkEnd w:id="12"/>
            <w:bookmarkEnd w:id="13"/>
            <w:r w:rsidRPr="0022554A">
              <w:rPr>
                <w:sz w:val="20"/>
              </w:rPr>
              <w:t>Introduction</w:t>
            </w:r>
          </w:p>
        </w:tc>
        <w:bookmarkEnd w:id="14"/>
        <w:bookmarkEnd w:id="15"/>
        <w:tc>
          <w:tcPr>
            <w:tcW w:w="2835" w:type="dxa"/>
          </w:tcPr>
          <w:p w14:paraId="31E24176" w14:textId="77777777" w:rsidR="00191A23" w:rsidRPr="0022554A" w:rsidRDefault="00191A23" w:rsidP="0022554A">
            <w:pPr>
              <w:pStyle w:val="TableSubHead"/>
              <w:tabs>
                <w:tab w:val="left" w:pos="5400"/>
              </w:tabs>
              <w:rPr>
                <w:sz w:val="20"/>
              </w:rPr>
            </w:pPr>
          </w:p>
        </w:tc>
      </w:tr>
      <w:tr w:rsidR="00191A23" w:rsidRPr="0022554A" w14:paraId="31E2417D" w14:textId="77777777" w:rsidTr="00E341E9">
        <w:tc>
          <w:tcPr>
            <w:tcW w:w="1951" w:type="dxa"/>
          </w:tcPr>
          <w:p w14:paraId="31E24178" w14:textId="77777777" w:rsidR="00191A23" w:rsidRPr="0022554A" w:rsidRDefault="00191A23"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616" w:type="dxa"/>
          </w:tcPr>
          <w:p w14:paraId="31E24179" w14:textId="77777777" w:rsidR="00191A23" w:rsidRPr="0022554A" w:rsidRDefault="00191A23" w:rsidP="0022554A">
            <w:pPr>
              <w:tabs>
                <w:tab w:val="left" w:pos="5400"/>
              </w:tabs>
              <w:jc w:val="center"/>
              <w:rPr>
                <w:sz w:val="20"/>
              </w:rPr>
            </w:pPr>
            <w:r w:rsidRPr="0022554A">
              <w:rPr>
                <w:sz w:val="20"/>
              </w:rPr>
              <w:t>2</w:t>
            </w:r>
          </w:p>
        </w:tc>
        <w:tc>
          <w:tcPr>
            <w:tcW w:w="8031" w:type="dxa"/>
          </w:tcPr>
          <w:p w14:paraId="31E2417A"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31E2417B" w14:textId="505CAA8A" w:rsidR="00191A23" w:rsidRPr="0022554A" w:rsidRDefault="00DB6570" w:rsidP="0022554A">
            <w:pPr>
              <w:tabs>
                <w:tab w:val="left" w:pos="5400"/>
              </w:tabs>
              <w:rPr>
                <w:sz w:val="20"/>
                <w:lang w:eastAsia="zh-CN"/>
              </w:rPr>
            </w:pPr>
            <w:r>
              <w:rPr>
                <w:rFonts w:hint="eastAsia"/>
                <w:sz w:val="20"/>
                <w:lang w:eastAsia="zh-CN"/>
              </w:rPr>
              <w:t>2</w:t>
            </w:r>
          </w:p>
        </w:tc>
        <w:tc>
          <w:tcPr>
            <w:tcW w:w="2835" w:type="dxa"/>
          </w:tcPr>
          <w:p w14:paraId="31E2417C" w14:textId="4B620D59" w:rsidR="00191A23" w:rsidRPr="0022554A" w:rsidRDefault="007A5862" w:rsidP="0022554A">
            <w:pPr>
              <w:tabs>
                <w:tab w:val="left" w:pos="5400"/>
              </w:tabs>
              <w:rPr>
                <w:sz w:val="20"/>
              </w:rPr>
            </w:pPr>
            <w:r w:rsidRPr="007A5862">
              <w:rPr>
                <w:sz w:val="20"/>
              </w:rPr>
              <w:t>Although the correlation between gastric cancer and eight tumor markers has been extensively studied, the data on positive rates of tumor markers and gastric cancer in Sichuan are very limited, and there has been no systematic evaluation of these eight markers on the same cohort using the Cochran–Mantel–Haenszel (CMH) test or logistic regression analysis</w:t>
            </w:r>
          </w:p>
        </w:tc>
      </w:tr>
      <w:tr w:rsidR="00191A23" w:rsidRPr="0022554A" w14:paraId="31E24183" w14:textId="77777777" w:rsidTr="00E341E9">
        <w:tc>
          <w:tcPr>
            <w:tcW w:w="1951" w:type="dxa"/>
          </w:tcPr>
          <w:p w14:paraId="31E2417E" w14:textId="77777777" w:rsidR="00191A23" w:rsidRPr="0022554A" w:rsidRDefault="00191A23"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616" w:type="dxa"/>
          </w:tcPr>
          <w:p w14:paraId="31E2417F" w14:textId="77777777" w:rsidR="00191A23" w:rsidRPr="0022554A" w:rsidRDefault="00191A23" w:rsidP="0022554A">
            <w:pPr>
              <w:tabs>
                <w:tab w:val="left" w:pos="5400"/>
              </w:tabs>
              <w:jc w:val="center"/>
              <w:rPr>
                <w:sz w:val="20"/>
              </w:rPr>
            </w:pPr>
            <w:r w:rsidRPr="0022554A">
              <w:rPr>
                <w:sz w:val="20"/>
              </w:rPr>
              <w:t>3</w:t>
            </w:r>
          </w:p>
        </w:tc>
        <w:tc>
          <w:tcPr>
            <w:tcW w:w="8031" w:type="dxa"/>
          </w:tcPr>
          <w:p w14:paraId="31E24180"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31E24181" w14:textId="0EB17595" w:rsidR="00191A23" w:rsidRPr="0022554A" w:rsidRDefault="00B4521A" w:rsidP="0022554A">
            <w:pPr>
              <w:tabs>
                <w:tab w:val="left" w:pos="5400"/>
              </w:tabs>
              <w:rPr>
                <w:sz w:val="20"/>
                <w:lang w:eastAsia="zh-CN"/>
              </w:rPr>
            </w:pPr>
            <w:r>
              <w:rPr>
                <w:rFonts w:hint="eastAsia"/>
                <w:sz w:val="20"/>
                <w:lang w:eastAsia="zh-CN"/>
              </w:rPr>
              <w:t>3</w:t>
            </w:r>
          </w:p>
        </w:tc>
        <w:tc>
          <w:tcPr>
            <w:tcW w:w="2835" w:type="dxa"/>
          </w:tcPr>
          <w:p w14:paraId="31E24182" w14:textId="3D17EC00" w:rsidR="00191A23" w:rsidRPr="0022554A" w:rsidRDefault="007A5862" w:rsidP="0022554A">
            <w:pPr>
              <w:tabs>
                <w:tab w:val="left" w:pos="5400"/>
              </w:tabs>
              <w:rPr>
                <w:sz w:val="20"/>
              </w:rPr>
            </w:pPr>
            <w:r w:rsidRPr="007A5862">
              <w:rPr>
                <w:sz w:val="20"/>
              </w:rPr>
              <w:t>The objectives of this paper were to study the relationship between newly diagnosed gastric cancer and tumor markers using a commercial multi-tumor marker detection kit</w:t>
            </w:r>
          </w:p>
        </w:tc>
      </w:tr>
      <w:tr w:rsidR="00191A23" w:rsidRPr="0022554A" w14:paraId="31E24186" w14:textId="77777777" w:rsidTr="00E341E9">
        <w:tc>
          <w:tcPr>
            <w:tcW w:w="12157" w:type="dxa"/>
            <w:gridSpan w:val="4"/>
          </w:tcPr>
          <w:p w14:paraId="31E24184" w14:textId="77777777" w:rsidR="00191A23" w:rsidRPr="0022554A" w:rsidRDefault="00191A23" w:rsidP="0022554A">
            <w:pPr>
              <w:pStyle w:val="TableSubHead"/>
              <w:tabs>
                <w:tab w:val="left" w:pos="5400"/>
              </w:tabs>
              <w:rPr>
                <w:sz w:val="20"/>
              </w:rPr>
            </w:pPr>
            <w:bookmarkStart w:id="22" w:name="bold11"/>
            <w:bookmarkStart w:id="23" w:name="italic12"/>
            <w:bookmarkEnd w:id="20"/>
            <w:bookmarkEnd w:id="21"/>
            <w:r w:rsidRPr="0022554A">
              <w:rPr>
                <w:sz w:val="20"/>
              </w:rPr>
              <w:t>Methods</w:t>
            </w:r>
          </w:p>
        </w:tc>
        <w:bookmarkEnd w:id="22"/>
        <w:bookmarkEnd w:id="23"/>
        <w:tc>
          <w:tcPr>
            <w:tcW w:w="2835" w:type="dxa"/>
          </w:tcPr>
          <w:p w14:paraId="31E24185" w14:textId="77777777" w:rsidR="00191A23" w:rsidRPr="0022554A" w:rsidRDefault="00191A23" w:rsidP="0022554A">
            <w:pPr>
              <w:pStyle w:val="TableSubHead"/>
              <w:tabs>
                <w:tab w:val="left" w:pos="5400"/>
              </w:tabs>
              <w:rPr>
                <w:sz w:val="20"/>
              </w:rPr>
            </w:pPr>
          </w:p>
        </w:tc>
      </w:tr>
      <w:tr w:rsidR="00191A23" w:rsidRPr="0022554A" w14:paraId="31E2418C" w14:textId="77777777" w:rsidTr="00E341E9">
        <w:tc>
          <w:tcPr>
            <w:tcW w:w="1951" w:type="dxa"/>
          </w:tcPr>
          <w:p w14:paraId="31E24187" w14:textId="77777777" w:rsidR="00191A23" w:rsidRPr="0022554A" w:rsidRDefault="00191A23" w:rsidP="0022554A">
            <w:pPr>
              <w:tabs>
                <w:tab w:val="left" w:pos="5400"/>
              </w:tabs>
              <w:rPr>
                <w:bCs/>
                <w:sz w:val="20"/>
              </w:rPr>
            </w:pPr>
            <w:bookmarkStart w:id="24" w:name="bold12" w:colFirst="0" w:colLast="0"/>
            <w:bookmarkStart w:id="25" w:name="italic13" w:colFirst="0" w:colLast="0"/>
            <w:r w:rsidRPr="0022554A">
              <w:rPr>
                <w:bCs/>
                <w:sz w:val="20"/>
              </w:rPr>
              <w:lastRenderedPageBreak/>
              <w:t>Study design</w:t>
            </w:r>
          </w:p>
        </w:tc>
        <w:tc>
          <w:tcPr>
            <w:tcW w:w="616" w:type="dxa"/>
          </w:tcPr>
          <w:p w14:paraId="31E24188" w14:textId="77777777" w:rsidR="00191A23" w:rsidRPr="0022554A" w:rsidRDefault="00191A23" w:rsidP="0022554A">
            <w:pPr>
              <w:tabs>
                <w:tab w:val="left" w:pos="5400"/>
              </w:tabs>
              <w:jc w:val="center"/>
              <w:rPr>
                <w:sz w:val="20"/>
              </w:rPr>
            </w:pPr>
            <w:r w:rsidRPr="0022554A">
              <w:rPr>
                <w:sz w:val="20"/>
              </w:rPr>
              <w:t>4</w:t>
            </w:r>
          </w:p>
        </w:tc>
        <w:tc>
          <w:tcPr>
            <w:tcW w:w="8031" w:type="dxa"/>
          </w:tcPr>
          <w:p w14:paraId="31E24189"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1E2418A" w14:textId="156E42B7" w:rsidR="00191A23" w:rsidRPr="0022554A" w:rsidRDefault="006E4098" w:rsidP="0022554A">
            <w:pPr>
              <w:tabs>
                <w:tab w:val="left" w:pos="5400"/>
              </w:tabs>
              <w:rPr>
                <w:sz w:val="20"/>
                <w:lang w:eastAsia="zh-CN"/>
              </w:rPr>
            </w:pPr>
            <w:r>
              <w:rPr>
                <w:sz w:val="20"/>
                <w:lang w:eastAsia="zh-CN"/>
              </w:rPr>
              <w:t>3</w:t>
            </w:r>
            <w:r>
              <w:rPr>
                <w:rFonts w:hint="eastAsia"/>
                <w:sz w:val="20"/>
                <w:lang w:eastAsia="zh-CN"/>
              </w:rPr>
              <w:t>-</w:t>
            </w:r>
            <w:r w:rsidR="001866DB">
              <w:rPr>
                <w:rFonts w:hint="eastAsia"/>
                <w:sz w:val="20"/>
                <w:lang w:eastAsia="zh-CN"/>
              </w:rPr>
              <w:t>4</w:t>
            </w:r>
          </w:p>
        </w:tc>
        <w:tc>
          <w:tcPr>
            <w:tcW w:w="2835" w:type="dxa"/>
          </w:tcPr>
          <w:p w14:paraId="31E2418B" w14:textId="57B92810" w:rsidR="00191A23" w:rsidRPr="0022554A" w:rsidRDefault="006E4098" w:rsidP="0022554A">
            <w:pPr>
              <w:tabs>
                <w:tab w:val="left" w:pos="5400"/>
              </w:tabs>
              <w:rPr>
                <w:sz w:val="20"/>
                <w:lang w:eastAsia="zh-CN"/>
              </w:rPr>
            </w:pPr>
            <w:r w:rsidRPr="006E4098">
              <w:rPr>
                <w:sz w:val="20"/>
                <w:lang w:eastAsia="zh-CN"/>
              </w:rPr>
              <w:t>newly diagnosed gastric cancer patients</w:t>
            </w:r>
            <w:r>
              <w:rPr>
                <w:rFonts w:hint="eastAsia"/>
                <w:sz w:val="20"/>
                <w:lang w:eastAsia="zh-CN"/>
              </w:rPr>
              <w:t>,</w:t>
            </w:r>
            <w:r>
              <w:rPr>
                <w:sz w:val="20"/>
                <w:lang w:eastAsia="zh-CN"/>
              </w:rPr>
              <w:t xml:space="preserve"> </w:t>
            </w:r>
            <w:r w:rsidRPr="006E4098">
              <w:rPr>
                <w:sz w:val="20"/>
                <w:lang w:eastAsia="zh-CN"/>
              </w:rPr>
              <w:t>The determination of the gastric cancer and control group sample sizes</w:t>
            </w:r>
            <w:r>
              <w:rPr>
                <w:rFonts w:hint="eastAsia"/>
                <w:sz w:val="20"/>
                <w:lang w:eastAsia="zh-CN"/>
              </w:rPr>
              <w:t>,</w:t>
            </w:r>
            <w:r>
              <w:rPr>
                <w:sz w:val="20"/>
                <w:lang w:eastAsia="zh-CN"/>
              </w:rPr>
              <w:t xml:space="preserve"> </w:t>
            </w:r>
            <w:r w:rsidRPr="006E4098">
              <w:rPr>
                <w:sz w:val="20"/>
                <w:lang w:eastAsia="zh-CN"/>
              </w:rPr>
              <w:t>CMH test</w:t>
            </w:r>
            <w:r>
              <w:rPr>
                <w:rFonts w:hint="eastAsia"/>
                <w:sz w:val="20"/>
                <w:lang w:eastAsia="zh-CN"/>
              </w:rPr>
              <w:t>,</w:t>
            </w:r>
            <w:r>
              <w:rPr>
                <w:sz w:val="20"/>
                <w:lang w:eastAsia="zh-CN"/>
              </w:rPr>
              <w:t xml:space="preserve"> </w:t>
            </w:r>
            <w:r>
              <w:rPr>
                <w:rFonts w:hint="eastAsia"/>
                <w:sz w:val="20"/>
                <w:lang w:eastAsia="zh-CN"/>
              </w:rPr>
              <w:t>l</w:t>
            </w:r>
            <w:r w:rsidRPr="006E4098">
              <w:rPr>
                <w:sz w:val="20"/>
                <w:lang w:eastAsia="zh-CN"/>
              </w:rPr>
              <w:t>ogistic regression analysis</w:t>
            </w:r>
          </w:p>
        </w:tc>
      </w:tr>
      <w:tr w:rsidR="00191A23" w:rsidRPr="0022554A" w14:paraId="31E24192" w14:textId="77777777" w:rsidTr="00E341E9">
        <w:tc>
          <w:tcPr>
            <w:tcW w:w="1951" w:type="dxa"/>
          </w:tcPr>
          <w:p w14:paraId="31E2418D" w14:textId="77777777" w:rsidR="00191A23" w:rsidRPr="0022554A" w:rsidRDefault="00191A23"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616" w:type="dxa"/>
          </w:tcPr>
          <w:p w14:paraId="31E2418E" w14:textId="77777777" w:rsidR="00191A23" w:rsidRPr="0022554A" w:rsidRDefault="00191A23" w:rsidP="0022554A">
            <w:pPr>
              <w:tabs>
                <w:tab w:val="left" w:pos="5400"/>
              </w:tabs>
              <w:jc w:val="center"/>
              <w:rPr>
                <w:sz w:val="20"/>
              </w:rPr>
            </w:pPr>
            <w:r w:rsidRPr="0022554A">
              <w:rPr>
                <w:sz w:val="20"/>
              </w:rPr>
              <w:t>5</w:t>
            </w:r>
          </w:p>
        </w:tc>
        <w:tc>
          <w:tcPr>
            <w:tcW w:w="8031" w:type="dxa"/>
          </w:tcPr>
          <w:p w14:paraId="31E2418F"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31E24190" w14:textId="66939DED" w:rsidR="00191A23" w:rsidRPr="0022554A" w:rsidRDefault="00D059DF" w:rsidP="0022554A">
            <w:pPr>
              <w:tabs>
                <w:tab w:val="left" w:pos="5400"/>
              </w:tabs>
              <w:rPr>
                <w:sz w:val="20"/>
                <w:lang w:eastAsia="zh-CN"/>
              </w:rPr>
            </w:pPr>
            <w:r>
              <w:rPr>
                <w:rFonts w:hint="eastAsia"/>
                <w:sz w:val="20"/>
                <w:lang w:eastAsia="zh-CN"/>
              </w:rPr>
              <w:t>3</w:t>
            </w:r>
            <w:r w:rsidR="004C5305">
              <w:rPr>
                <w:rFonts w:hint="eastAsia"/>
                <w:sz w:val="20"/>
                <w:lang w:eastAsia="zh-CN"/>
              </w:rPr>
              <w:t>-</w:t>
            </w:r>
            <w:r w:rsidR="004C5305">
              <w:rPr>
                <w:sz w:val="20"/>
                <w:lang w:eastAsia="zh-CN"/>
              </w:rPr>
              <w:t>4</w:t>
            </w:r>
          </w:p>
        </w:tc>
        <w:tc>
          <w:tcPr>
            <w:tcW w:w="2835" w:type="dxa"/>
          </w:tcPr>
          <w:p w14:paraId="31E24191" w14:textId="56B36FD9" w:rsidR="00191A23" w:rsidRPr="0022554A" w:rsidRDefault="006E4098" w:rsidP="0022554A">
            <w:pPr>
              <w:tabs>
                <w:tab w:val="left" w:pos="5400"/>
              </w:tabs>
              <w:rPr>
                <w:sz w:val="20"/>
                <w:lang w:eastAsia="zh-CN"/>
              </w:rPr>
            </w:pPr>
            <w:r w:rsidRPr="006E4098">
              <w:rPr>
                <w:sz w:val="20"/>
              </w:rPr>
              <w:t>A total of 268 newly diagnosed gastric cancer patients (aged 60.91±11.51) who were admitted to Sichuan Cancer Hospital between June 2018 and December 2019 were selected.</w:t>
            </w:r>
          </w:p>
        </w:tc>
      </w:tr>
      <w:bookmarkEnd w:id="26"/>
      <w:bookmarkEnd w:id="27"/>
      <w:tr w:rsidR="00191A23" w:rsidRPr="0022554A" w14:paraId="31E2419A" w14:textId="77777777" w:rsidTr="00E341E9">
        <w:tc>
          <w:tcPr>
            <w:tcW w:w="1951" w:type="dxa"/>
            <w:vMerge w:val="restart"/>
          </w:tcPr>
          <w:p w14:paraId="31E24193"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31E24194" w14:textId="77777777" w:rsidR="00191A23" w:rsidRPr="0022554A" w:rsidRDefault="00191A23" w:rsidP="0022554A">
            <w:pPr>
              <w:tabs>
                <w:tab w:val="left" w:pos="5400"/>
              </w:tabs>
              <w:jc w:val="center"/>
              <w:rPr>
                <w:sz w:val="20"/>
              </w:rPr>
            </w:pPr>
            <w:r w:rsidRPr="0022554A">
              <w:rPr>
                <w:sz w:val="20"/>
              </w:rPr>
              <w:t>6</w:t>
            </w:r>
          </w:p>
        </w:tc>
        <w:tc>
          <w:tcPr>
            <w:tcW w:w="8031" w:type="dxa"/>
          </w:tcPr>
          <w:p w14:paraId="31E24195"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31E24196"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31E24197"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31E24198" w14:textId="7CE0512B" w:rsidR="00191A23" w:rsidRPr="0022554A" w:rsidRDefault="00F51771" w:rsidP="0022554A">
            <w:pPr>
              <w:tabs>
                <w:tab w:val="left" w:pos="5400"/>
              </w:tabs>
              <w:rPr>
                <w:sz w:val="20"/>
                <w:lang w:eastAsia="zh-CN"/>
              </w:rPr>
            </w:pPr>
            <w:r>
              <w:rPr>
                <w:rFonts w:hint="eastAsia"/>
                <w:sz w:val="20"/>
                <w:lang w:eastAsia="zh-CN"/>
              </w:rPr>
              <w:t>3</w:t>
            </w:r>
            <w:r w:rsidR="00AA379E">
              <w:rPr>
                <w:rFonts w:hint="eastAsia"/>
                <w:sz w:val="20"/>
                <w:lang w:eastAsia="zh-CN"/>
              </w:rPr>
              <w:t>-</w:t>
            </w:r>
            <w:r w:rsidR="00AA379E">
              <w:rPr>
                <w:sz w:val="20"/>
                <w:lang w:eastAsia="zh-CN"/>
              </w:rPr>
              <w:t>4</w:t>
            </w:r>
          </w:p>
        </w:tc>
        <w:tc>
          <w:tcPr>
            <w:tcW w:w="2835" w:type="dxa"/>
          </w:tcPr>
          <w:p w14:paraId="31E24199" w14:textId="0A916803" w:rsidR="00191A23" w:rsidRPr="0022554A" w:rsidRDefault="00D47DEE" w:rsidP="0022554A">
            <w:pPr>
              <w:tabs>
                <w:tab w:val="left" w:pos="5400"/>
              </w:tabs>
              <w:rPr>
                <w:sz w:val="20"/>
              </w:rPr>
            </w:pPr>
            <w:r w:rsidRPr="00D47DEE">
              <w:rPr>
                <w:sz w:val="20"/>
              </w:rPr>
              <w:t xml:space="preserve">The inclusion criteria was as follows: 1) Gastric cancer group: in line with the Guidelines for the Standardized Diagnosis and Treatment of Gastric Cancer (China, 2013) from the Chinese Medical Association, M stage was collected according to the AJCC 7th edition. 2) Control group: 209 subjects who underwent physical examination in this hospital during the same period were selected as the control group. Healthy physical examination: no serious heart, brain, liver, lung, kidney, or other primary diseases in the past, and relevant examinations were within the normal range; age&gt; 18 years. Exclusion </w:t>
            </w:r>
            <w:r w:rsidRPr="00D47DEE">
              <w:rPr>
                <w:sz w:val="20"/>
              </w:rPr>
              <w:lastRenderedPageBreak/>
              <w:t>criteria: accompanied by major organ dysfunction, septic shock, hemorrhagic shock, myocardial infarction, benign tumors, any cancer or cancer history, recent hospitalizations or other diseases, pregnant or lactating</w:t>
            </w:r>
            <w:r w:rsidR="000A5535">
              <w:rPr>
                <w:sz w:val="20"/>
              </w:rPr>
              <w:t xml:space="preserve">, </w:t>
            </w:r>
            <w:r w:rsidR="000A5535" w:rsidRPr="000A5535">
              <w:rPr>
                <w:sz w:val="20"/>
              </w:rPr>
              <w:t>excluded various factors that may have had an effect on the tumor markers.</w:t>
            </w:r>
          </w:p>
        </w:tc>
      </w:tr>
      <w:tr w:rsidR="00191A23" w:rsidRPr="0022554A" w14:paraId="31E241A1" w14:textId="77777777" w:rsidTr="00E341E9">
        <w:tc>
          <w:tcPr>
            <w:tcW w:w="1951" w:type="dxa"/>
            <w:vMerge/>
          </w:tcPr>
          <w:p w14:paraId="31E2419B" w14:textId="77777777" w:rsidR="00191A23" w:rsidRPr="0022554A" w:rsidRDefault="00191A23" w:rsidP="0022554A">
            <w:pPr>
              <w:tabs>
                <w:tab w:val="left" w:pos="5400"/>
              </w:tabs>
              <w:rPr>
                <w:bCs/>
                <w:sz w:val="20"/>
              </w:rPr>
            </w:pPr>
            <w:bookmarkStart w:id="28" w:name="bold14" w:colFirst="0" w:colLast="0"/>
            <w:bookmarkStart w:id="29" w:name="italic15" w:colFirst="0" w:colLast="0"/>
          </w:p>
        </w:tc>
        <w:tc>
          <w:tcPr>
            <w:tcW w:w="616" w:type="dxa"/>
            <w:vMerge/>
          </w:tcPr>
          <w:p w14:paraId="31E2419C" w14:textId="77777777" w:rsidR="00191A23" w:rsidRPr="0022554A" w:rsidRDefault="00191A23" w:rsidP="0022554A">
            <w:pPr>
              <w:tabs>
                <w:tab w:val="left" w:pos="5400"/>
              </w:tabs>
              <w:jc w:val="center"/>
              <w:rPr>
                <w:sz w:val="20"/>
              </w:rPr>
            </w:pPr>
          </w:p>
        </w:tc>
        <w:tc>
          <w:tcPr>
            <w:tcW w:w="8031" w:type="dxa"/>
          </w:tcPr>
          <w:p w14:paraId="31E2419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1E2419E"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31E2419F" w14:textId="4A54A80D" w:rsidR="00191A23" w:rsidRPr="0022554A" w:rsidRDefault="00F51771" w:rsidP="0022554A">
            <w:pPr>
              <w:tabs>
                <w:tab w:val="left" w:pos="5400"/>
              </w:tabs>
              <w:rPr>
                <w:sz w:val="20"/>
                <w:lang w:eastAsia="zh-CN"/>
              </w:rPr>
            </w:pPr>
            <w:r>
              <w:rPr>
                <w:rFonts w:hint="eastAsia"/>
                <w:sz w:val="20"/>
                <w:lang w:eastAsia="zh-CN"/>
              </w:rPr>
              <w:t>3</w:t>
            </w:r>
            <w:r w:rsidR="003E6B2C">
              <w:rPr>
                <w:rFonts w:hint="eastAsia"/>
                <w:sz w:val="20"/>
                <w:lang w:eastAsia="zh-CN"/>
              </w:rPr>
              <w:t>-</w:t>
            </w:r>
            <w:r w:rsidR="003E6B2C">
              <w:rPr>
                <w:sz w:val="20"/>
                <w:lang w:eastAsia="zh-CN"/>
              </w:rPr>
              <w:t>4</w:t>
            </w:r>
          </w:p>
        </w:tc>
        <w:tc>
          <w:tcPr>
            <w:tcW w:w="2835" w:type="dxa"/>
          </w:tcPr>
          <w:p w14:paraId="31E241A0" w14:textId="5B940D92" w:rsidR="00191A23" w:rsidRPr="0022554A" w:rsidRDefault="001E25E3" w:rsidP="0022554A">
            <w:pPr>
              <w:tabs>
                <w:tab w:val="left" w:pos="5400"/>
              </w:tabs>
              <w:rPr>
                <w:sz w:val="20"/>
                <w:lang w:eastAsia="zh-CN"/>
              </w:rPr>
            </w:pPr>
            <w:r w:rsidRPr="001E25E3">
              <w:rPr>
                <w:sz w:val="20"/>
              </w:rPr>
              <w:t>Guidelines for the Standardized Diagnosis and Treatment of Gastric Cancer (China, 2013)</w:t>
            </w:r>
            <w:r>
              <w:rPr>
                <w:sz w:val="20"/>
              </w:rPr>
              <w:t xml:space="preserve">, </w:t>
            </w:r>
            <w:r w:rsidR="00E30BCC" w:rsidRPr="00E30BCC">
              <w:rPr>
                <w:sz w:val="20"/>
              </w:rPr>
              <w:t>268 newly diagnosed gastric cancer patients</w:t>
            </w:r>
            <w:r w:rsidR="00E30BCC">
              <w:rPr>
                <w:rFonts w:hint="eastAsia"/>
                <w:sz w:val="20"/>
                <w:lang w:eastAsia="zh-CN"/>
              </w:rPr>
              <w:t>,</w:t>
            </w:r>
            <w:r w:rsidR="00E30BCC" w:rsidRPr="00E30BCC">
              <w:rPr>
                <w:sz w:val="20"/>
              </w:rPr>
              <w:t xml:space="preserve"> </w:t>
            </w:r>
            <w:r w:rsidR="004F37D8" w:rsidRPr="004F37D8">
              <w:rPr>
                <w:sz w:val="20"/>
              </w:rPr>
              <w:t>CLSI (Horowitz, 2008) guidelines</w:t>
            </w:r>
            <w:r w:rsidR="004F37D8">
              <w:rPr>
                <w:rFonts w:hint="eastAsia"/>
                <w:sz w:val="20"/>
                <w:lang w:eastAsia="zh-CN"/>
              </w:rPr>
              <w:t>,</w:t>
            </w:r>
            <w:r w:rsidR="004F37D8">
              <w:rPr>
                <w:sz w:val="20"/>
                <w:lang w:eastAsia="zh-CN"/>
              </w:rPr>
              <w:t xml:space="preserve"> </w:t>
            </w:r>
            <w:r w:rsidR="00140CCA" w:rsidRPr="00140CCA">
              <w:rPr>
                <w:sz w:val="20"/>
                <w:lang w:eastAsia="zh-CN"/>
              </w:rPr>
              <w:t>209 subjects who underwent physical examination in this hospital during the same period were selected as the control group</w:t>
            </w:r>
          </w:p>
        </w:tc>
      </w:tr>
      <w:tr w:rsidR="00191A23" w:rsidRPr="0022554A" w14:paraId="31E241A7" w14:textId="77777777" w:rsidTr="00E341E9">
        <w:tc>
          <w:tcPr>
            <w:tcW w:w="1951" w:type="dxa"/>
          </w:tcPr>
          <w:p w14:paraId="31E241A2" w14:textId="77777777" w:rsidR="00191A23" w:rsidRPr="0022554A" w:rsidRDefault="00191A23" w:rsidP="0022554A">
            <w:pPr>
              <w:tabs>
                <w:tab w:val="left" w:pos="5400"/>
              </w:tabs>
              <w:rPr>
                <w:bCs/>
                <w:sz w:val="20"/>
              </w:rPr>
            </w:pPr>
            <w:bookmarkStart w:id="30" w:name="bold16" w:colFirst="0" w:colLast="0"/>
            <w:bookmarkStart w:id="31" w:name="italic17" w:colFirst="0" w:colLast="0"/>
            <w:bookmarkEnd w:id="28"/>
            <w:bookmarkEnd w:id="29"/>
            <w:r w:rsidRPr="0022554A">
              <w:rPr>
                <w:bCs/>
                <w:sz w:val="20"/>
              </w:rPr>
              <w:t>Variables</w:t>
            </w:r>
          </w:p>
        </w:tc>
        <w:tc>
          <w:tcPr>
            <w:tcW w:w="616" w:type="dxa"/>
          </w:tcPr>
          <w:p w14:paraId="31E241A3" w14:textId="77777777" w:rsidR="00191A23" w:rsidRPr="0022554A" w:rsidRDefault="00191A23" w:rsidP="0022554A">
            <w:pPr>
              <w:tabs>
                <w:tab w:val="left" w:pos="5400"/>
              </w:tabs>
              <w:jc w:val="center"/>
              <w:rPr>
                <w:sz w:val="20"/>
              </w:rPr>
            </w:pPr>
            <w:r w:rsidRPr="0022554A">
              <w:rPr>
                <w:sz w:val="20"/>
              </w:rPr>
              <w:t>7</w:t>
            </w:r>
          </w:p>
        </w:tc>
        <w:tc>
          <w:tcPr>
            <w:tcW w:w="8031" w:type="dxa"/>
          </w:tcPr>
          <w:p w14:paraId="31E241A4"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31E241A5" w14:textId="00907EB0" w:rsidR="00191A23" w:rsidRPr="0022554A" w:rsidRDefault="00F51771" w:rsidP="0022554A">
            <w:pPr>
              <w:tabs>
                <w:tab w:val="left" w:pos="5400"/>
              </w:tabs>
              <w:rPr>
                <w:sz w:val="20"/>
                <w:lang w:eastAsia="zh-CN"/>
              </w:rPr>
            </w:pPr>
            <w:r>
              <w:rPr>
                <w:rFonts w:hint="eastAsia"/>
                <w:sz w:val="20"/>
                <w:lang w:eastAsia="zh-CN"/>
              </w:rPr>
              <w:t>3</w:t>
            </w:r>
            <w:r w:rsidR="004C5305">
              <w:rPr>
                <w:rFonts w:hint="eastAsia"/>
                <w:sz w:val="20"/>
                <w:lang w:eastAsia="zh-CN"/>
              </w:rPr>
              <w:t>-</w:t>
            </w:r>
            <w:r w:rsidR="004C5305">
              <w:rPr>
                <w:sz w:val="20"/>
                <w:lang w:eastAsia="zh-CN"/>
              </w:rPr>
              <w:t>4</w:t>
            </w:r>
          </w:p>
        </w:tc>
        <w:tc>
          <w:tcPr>
            <w:tcW w:w="2835" w:type="dxa"/>
          </w:tcPr>
          <w:p w14:paraId="31E241A6" w14:textId="36408926" w:rsidR="00191A23" w:rsidRPr="0022554A" w:rsidRDefault="00647E3B" w:rsidP="0022554A">
            <w:pPr>
              <w:tabs>
                <w:tab w:val="left" w:pos="5400"/>
              </w:tabs>
              <w:rPr>
                <w:sz w:val="20"/>
              </w:rPr>
            </w:pPr>
            <w:r w:rsidRPr="00647E3B">
              <w:rPr>
                <w:sz w:val="20"/>
              </w:rPr>
              <w:t xml:space="preserve">in line with the Guidelines for the Standardized Diagnosis and Treatment of Gastric Cancer (China, 2013) from the Chinese Medical Association, all diagnoses were performed by gastroscopy, CT, or B-ultrasound, and gastric cancer was confirmed by gastroscopy or postoperative pathological biopsy; no other primary cancer </w:t>
            </w:r>
            <w:r w:rsidRPr="00647E3B">
              <w:rPr>
                <w:sz w:val="20"/>
              </w:rPr>
              <w:lastRenderedPageBreak/>
              <w:t>sites; no history of chemotherapy, radiotherapy, or immunotherapy</w:t>
            </w:r>
          </w:p>
        </w:tc>
      </w:tr>
      <w:tr w:rsidR="00191A23" w:rsidRPr="0022554A" w14:paraId="31E241AD" w14:textId="77777777" w:rsidTr="00E341E9">
        <w:trPr>
          <w:trHeight w:val="294"/>
        </w:trPr>
        <w:tc>
          <w:tcPr>
            <w:tcW w:w="1951" w:type="dxa"/>
          </w:tcPr>
          <w:p w14:paraId="31E241A8" w14:textId="77777777" w:rsidR="00191A23" w:rsidRPr="0022554A" w:rsidRDefault="00191A23" w:rsidP="0022554A">
            <w:pPr>
              <w:tabs>
                <w:tab w:val="left" w:pos="5400"/>
              </w:tabs>
              <w:rPr>
                <w:bCs/>
                <w:sz w:val="20"/>
              </w:rPr>
            </w:pPr>
            <w:bookmarkStart w:id="32" w:name="bold17"/>
            <w:bookmarkStart w:id="33" w:name="italic18"/>
            <w:bookmarkEnd w:id="30"/>
            <w:bookmarkEnd w:id="31"/>
            <w:r w:rsidRPr="0022554A">
              <w:rPr>
                <w:bCs/>
                <w:sz w:val="20"/>
              </w:rPr>
              <w:lastRenderedPageBreak/>
              <w:t>Data sources/</w:t>
            </w:r>
            <w:bookmarkStart w:id="34" w:name="bold18"/>
            <w:bookmarkStart w:id="35" w:name="italic19"/>
            <w:bookmarkEnd w:id="32"/>
            <w:bookmarkEnd w:id="33"/>
            <w:r>
              <w:rPr>
                <w:bCs/>
                <w:sz w:val="20"/>
              </w:rPr>
              <w:t xml:space="preserve"> </w:t>
            </w:r>
            <w:r w:rsidRPr="0022554A">
              <w:rPr>
                <w:bCs/>
                <w:sz w:val="20"/>
              </w:rPr>
              <w:t>measurement</w:t>
            </w:r>
            <w:bookmarkEnd w:id="34"/>
            <w:bookmarkEnd w:id="35"/>
          </w:p>
        </w:tc>
        <w:tc>
          <w:tcPr>
            <w:tcW w:w="616" w:type="dxa"/>
          </w:tcPr>
          <w:p w14:paraId="31E241A9" w14:textId="77777777" w:rsidR="00191A23" w:rsidRPr="0022554A" w:rsidRDefault="00191A23" w:rsidP="0022554A">
            <w:pPr>
              <w:tabs>
                <w:tab w:val="left" w:pos="5400"/>
              </w:tabs>
              <w:jc w:val="center"/>
              <w:rPr>
                <w:sz w:val="20"/>
              </w:rPr>
            </w:pPr>
            <w:r w:rsidRPr="0022554A">
              <w:rPr>
                <w:sz w:val="20"/>
              </w:rPr>
              <w:t>8</w:t>
            </w:r>
            <w:bookmarkStart w:id="36" w:name="bold19"/>
            <w:r w:rsidRPr="0022554A">
              <w:rPr>
                <w:bCs/>
                <w:sz w:val="20"/>
              </w:rPr>
              <w:t>*</w:t>
            </w:r>
            <w:bookmarkEnd w:id="36"/>
          </w:p>
        </w:tc>
        <w:tc>
          <w:tcPr>
            <w:tcW w:w="8031" w:type="dxa"/>
          </w:tcPr>
          <w:p w14:paraId="31E241AA"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31E241AB" w14:textId="0F6FA516" w:rsidR="00191A23" w:rsidRPr="0022554A" w:rsidRDefault="001C1509" w:rsidP="0022554A">
            <w:pPr>
              <w:tabs>
                <w:tab w:val="left" w:pos="5400"/>
              </w:tabs>
              <w:rPr>
                <w:i/>
                <w:sz w:val="20"/>
                <w:lang w:eastAsia="zh-CN"/>
              </w:rPr>
            </w:pPr>
            <w:r>
              <w:rPr>
                <w:rFonts w:hint="eastAsia"/>
                <w:i/>
                <w:sz w:val="20"/>
                <w:lang w:eastAsia="zh-CN"/>
              </w:rPr>
              <w:t>4</w:t>
            </w:r>
          </w:p>
        </w:tc>
        <w:tc>
          <w:tcPr>
            <w:tcW w:w="2835" w:type="dxa"/>
          </w:tcPr>
          <w:p w14:paraId="73FC9974" w14:textId="77777777" w:rsidR="00935021" w:rsidRPr="00935021" w:rsidRDefault="00935021" w:rsidP="00935021">
            <w:pPr>
              <w:tabs>
                <w:tab w:val="left" w:pos="5400"/>
              </w:tabs>
              <w:rPr>
                <w:i/>
                <w:sz w:val="20"/>
              </w:rPr>
            </w:pPr>
            <w:r w:rsidRPr="00935021">
              <w:rPr>
                <w:i/>
                <w:sz w:val="20"/>
              </w:rPr>
              <w:t>The multi-tumor marker detection kit (Chaozhou Shukang Biotechnology Co., Ltd.), LU-07 biochip reader (Shanghai Mingyuan Shukang Biochip Co., Ltd.), and biochip image analysis system software were obtained from Huzhou Shukang Biotechnology Co., Ltd.</w:t>
            </w:r>
          </w:p>
          <w:p w14:paraId="31E241AC" w14:textId="3C97DDCB" w:rsidR="00191A23" w:rsidRPr="0022554A" w:rsidRDefault="00935021" w:rsidP="00935021">
            <w:pPr>
              <w:tabs>
                <w:tab w:val="left" w:pos="5400"/>
              </w:tabs>
              <w:rPr>
                <w:i/>
                <w:sz w:val="20"/>
              </w:rPr>
            </w:pPr>
            <w:r w:rsidRPr="00935021">
              <w:rPr>
                <w:i/>
                <w:sz w:val="20"/>
              </w:rPr>
              <w:t>We used a pyrogen-free and endotoxin test tube to draw 2 ml of fasting venous blood in the early morning the day after the patient's admission and excluded various factors that may have had an effect on the tumor markers. The serum samples were collected without hemolysis after centrifugation. After the serum was antiquated, it was stored in a refrigerator at 4°C, tested within 5 days, and equilibrated to room temperature before testing. We strictly followed the manufacturer’s instructions for the biochip reader.</w:t>
            </w:r>
          </w:p>
        </w:tc>
      </w:tr>
      <w:tr w:rsidR="00191A23" w:rsidRPr="0022554A" w14:paraId="31E241B3" w14:textId="77777777" w:rsidTr="00E341E9">
        <w:tc>
          <w:tcPr>
            <w:tcW w:w="1951" w:type="dxa"/>
          </w:tcPr>
          <w:p w14:paraId="31E241AE" w14:textId="77777777" w:rsidR="00191A23" w:rsidRPr="0022554A" w:rsidRDefault="00191A23" w:rsidP="0022554A">
            <w:pPr>
              <w:tabs>
                <w:tab w:val="left" w:pos="5400"/>
              </w:tabs>
              <w:rPr>
                <w:bCs/>
                <w:color w:val="000000"/>
                <w:sz w:val="20"/>
              </w:rPr>
            </w:pPr>
            <w:bookmarkStart w:id="37" w:name="bold20" w:colFirst="0" w:colLast="0"/>
            <w:bookmarkStart w:id="38" w:name="italic20" w:colFirst="0" w:colLast="0"/>
            <w:r w:rsidRPr="0022554A">
              <w:rPr>
                <w:bCs/>
                <w:color w:val="000000"/>
                <w:sz w:val="20"/>
              </w:rPr>
              <w:t>Bias</w:t>
            </w:r>
          </w:p>
        </w:tc>
        <w:tc>
          <w:tcPr>
            <w:tcW w:w="616" w:type="dxa"/>
          </w:tcPr>
          <w:p w14:paraId="31E241AF" w14:textId="77777777" w:rsidR="00191A23" w:rsidRPr="0022554A" w:rsidRDefault="00191A23" w:rsidP="0022554A">
            <w:pPr>
              <w:tabs>
                <w:tab w:val="left" w:pos="5400"/>
              </w:tabs>
              <w:jc w:val="center"/>
              <w:rPr>
                <w:sz w:val="20"/>
              </w:rPr>
            </w:pPr>
            <w:r w:rsidRPr="0022554A">
              <w:rPr>
                <w:sz w:val="20"/>
              </w:rPr>
              <w:t>9</w:t>
            </w:r>
          </w:p>
        </w:tc>
        <w:tc>
          <w:tcPr>
            <w:tcW w:w="8031" w:type="dxa"/>
          </w:tcPr>
          <w:p w14:paraId="31E241B0"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31E241B1" w14:textId="67062F4F" w:rsidR="00191A23" w:rsidRPr="0022554A" w:rsidRDefault="005548E2" w:rsidP="0022554A">
            <w:pPr>
              <w:tabs>
                <w:tab w:val="left" w:pos="5400"/>
              </w:tabs>
              <w:rPr>
                <w:color w:val="000000"/>
                <w:sz w:val="20"/>
                <w:lang w:eastAsia="zh-CN"/>
              </w:rPr>
            </w:pPr>
            <w:r>
              <w:rPr>
                <w:rFonts w:hint="eastAsia"/>
                <w:color w:val="000000"/>
                <w:sz w:val="20"/>
                <w:lang w:eastAsia="zh-CN"/>
              </w:rPr>
              <w:t>4</w:t>
            </w:r>
          </w:p>
        </w:tc>
        <w:tc>
          <w:tcPr>
            <w:tcW w:w="2835" w:type="dxa"/>
          </w:tcPr>
          <w:p w14:paraId="31E241B2" w14:textId="75B278E7" w:rsidR="00191A23" w:rsidRPr="0022554A" w:rsidRDefault="004B6DC9" w:rsidP="0022554A">
            <w:pPr>
              <w:tabs>
                <w:tab w:val="left" w:pos="5400"/>
              </w:tabs>
              <w:rPr>
                <w:color w:val="000000"/>
                <w:sz w:val="20"/>
              </w:rPr>
            </w:pPr>
            <w:r w:rsidRPr="004B6DC9">
              <w:rPr>
                <w:color w:val="000000"/>
                <w:sz w:val="20"/>
              </w:rPr>
              <w:t xml:space="preserve">After the normality test, the </w:t>
            </w:r>
            <w:r w:rsidRPr="004B6DC9">
              <w:rPr>
                <w:color w:val="000000"/>
                <w:sz w:val="20"/>
              </w:rPr>
              <w:lastRenderedPageBreak/>
              <w:t>skewed distribution (non-normal distribution) was transformed using the logarithmic transformation.</w:t>
            </w:r>
          </w:p>
        </w:tc>
      </w:tr>
      <w:tr w:rsidR="00191A23" w:rsidRPr="0022554A" w14:paraId="31E241B9" w14:textId="77777777" w:rsidTr="00E341E9">
        <w:tc>
          <w:tcPr>
            <w:tcW w:w="1951" w:type="dxa"/>
          </w:tcPr>
          <w:p w14:paraId="31E241B4" w14:textId="77777777" w:rsidR="00191A23" w:rsidRPr="0022554A" w:rsidRDefault="00191A23" w:rsidP="0022554A">
            <w:pPr>
              <w:tabs>
                <w:tab w:val="left" w:pos="5400"/>
              </w:tabs>
              <w:rPr>
                <w:bCs/>
                <w:sz w:val="20"/>
              </w:rPr>
            </w:pPr>
            <w:bookmarkStart w:id="39" w:name="bold21" w:colFirst="0" w:colLast="0"/>
            <w:bookmarkStart w:id="40" w:name="italic21" w:colFirst="0" w:colLast="0"/>
            <w:bookmarkEnd w:id="37"/>
            <w:bookmarkEnd w:id="38"/>
            <w:r w:rsidRPr="0022554A">
              <w:rPr>
                <w:bCs/>
                <w:sz w:val="20"/>
              </w:rPr>
              <w:lastRenderedPageBreak/>
              <w:t>Study size</w:t>
            </w:r>
          </w:p>
        </w:tc>
        <w:tc>
          <w:tcPr>
            <w:tcW w:w="616" w:type="dxa"/>
          </w:tcPr>
          <w:p w14:paraId="31E241B5" w14:textId="77777777" w:rsidR="00191A23" w:rsidRPr="0022554A" w:rsidRDefault="00191A23" w:rsidP="0022554A">
            <w:pPr>
              <w:tabs>
                <w:tab w:val="left" w:pos="5400"/>
              </w:tabs>
              <w:jc w:val="center"/>
              <w:rPr>
                <w:sz w:val="20"/>
              </w:rPr>
            </w:pPr>
            <w:r w:rsidRPr="0022554A">
              <w:rPr>
                <w:sz w:val="20"/>
              </w:rPr>
              <w:t>10</w:t>
            </w:r>
          </w:p>
        </w:tc>
        <w:tc>
          <w:tcPr>
            <w:tcW w:w="8031" w:type="dxa"/>
          </w:tcPr>
          <w:p w14:paraId="31E241B6"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31E241B7" w14:textId="3BFD2C97" w:rsidR="00191A23" w:rsidRPr="0022554A" w:rsidRDefault="00961DEF" w:rsidP="0022554A">
            <w:pPr>
              <w:tabs>
                <w:tab w:val="left" w:pos="5400"/>
              </w:tabs>
              <w:rPr>
                <w:sz w:val="20"/>
                <w:lang w:eastAsia="zh-CN"/>
              </w:rPr>
            </w:pPr>
            <w:r>
              <w:rPr>
                <w:rFonts w:hint="eastAsia"/>
                <w:sz w:val="20"/>
                <w:lang w:eastAsia="zh-CN"/>
              </w:rPr>
              <w:t>4</w:t>
            </w:r>
          </w:p>
        </w:tc>
        <w:tc>
          <w:tcPr>
            <w:tcW w:w="2835" w:type="dxa"/>
          </w:tcPr>
          <w:p w14:paraId="31E241B8" w14:textId="54A11590" w:rsidR="00191A23" w:rsidRPr="0022554A" w:rsidRDefault="00DB6E80" w:rsidP="0022554A">
            <w:pPr>
              <w:tabs>
                <w:tab w:val="left" w:pos="5400"/>
              </w:tabs>
              <w:rPr>
                <w:sz w:val="20"/>
              </w:rPr>
            </w:pPr>
            <w:r w:rsidRPr="00DB6E80">
              <w:rPr>
                <w:sz w:val="20"/>
              </w:rPr>
              <w:t>The determination of the gastric cancer (considering the sample size met the minimum of 165, α=0.01, β=0.05, Pt=0.2, Pc=0.05, Nt:Nc=1) and control group (considering the sample size met the minimum of 120) sample sizes were based upon the Sample Size Calculations in Clinical Research, Third Edition (Chow et al., 2017) and the CLSI (Horowitz, 2008) guidelines.</w:t>
            </w:r>
          </w:p>
        </w:tc>
      </w:tr>
    </w:tbl>
    <w:p w14:paraId="31E241BA" w14:textId="0D949137" w:rsidR="00191A23" w:rsidRDefault="00191A23">
      <w:bookmarkStart w:id="41" w:name="bold22"/>
      <w:bookmarkStart w:id="42" w:name="italic22"/>
      <w:bookmarkEnd w:id="39"/>
      <w:bookmarkEnd w:id="40"/>
      <w:r w:rsidRPr="004A32C8">
        <w:rPr>
          <w:sz w:val="16"/>
          <w:szCs w:val="16"/>
        </w:rPr>
        <w:t>Continued on next page</w:t>
      </w:r>
      <w:r>
        <w:t xml:space="preserve"> </w:t>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31E241C0" w14:textId="77777777" w:rsidTr="00517788">
        <w:tc>
          <w:tcPr>
            <w:tcW w:w="1521" w:type="dxa"/>
          </w:tcPr>
          <w:p w14:paraId="31E241BB" w14:textId="77777777" w:rsidR="00191A23" w:rsidRPr="0022554A" w:rsidRDefault="00191A23" w:rsidP="00191A23">
            <w:pPr>
              <w:tabs>
                <w:tab w:val="left" w:pos="5400"/>
              </w:tabs>
              <w:rPr>
                <w:bCs/>
                <w:sz w:val="20"/>
              </w:rPr>
            </w:pPr>
            <w:r w:rsidRPr="0022554A">
              <w:rPr>
                <w:bCs/>
                <w:sz w:val="20"/>
              </w:rPr>
              <w:t>Quantitative</w:t>
            </w:r>
            <w:bookmarkStart w:id="43" w:name="bold23"/>
            <w:bookmarkStart w:id="44" w:name="italic23"/>
            <w:bookmarkEnd w:id="41"/>
            <w:bookmarkEnd w:id="42"/>
            <w:r w:rsidRPr="0022554A">
              <w:rPr>
                <w:bCs/>
                <w:sz w:val="20"/>
              </w:rPr>
              <w:t xml:space="preserve"> variables</w:t>
            </w:r>
            <w:bookmarkEnd w:id="43"/>
            <w:bookmarkEnd w:id="44"/>
          </w:p>
        </w:tc>
        <w:tc>
          <w:tcPr>
            <w:tcW w:w="749" w:type="dxa"/>
          </w:tcPr>
          <w:p w14:paraId="31E241BC" w14:textId="77777777" w:rsidR="00191A23" w:rsidRPr="0022554A" w:rsidRDefault="00191A23" w:rsidP="00191A23">
            <w:pPr>
              <w:tabs>
                <w:tab w:val="left" w:pos="5400"/>
              </w:tabs>
              <w:jc w:val="center"/>
              <w:rPr>
                <w:sz w:val="20"/>
              </w:rPr>
            </w:pPr>
            <w:r w:rsidRPr="0022554A">
              <w:rPr>
                <w:sz w:val="20"/>
              </w:rPr>
              <w:t>11</w:t>
            </w:r>
          </w:p>
        </w:tc>
        <w:tc>
          <w:tcPr>
            <w:tcW w:w="8328" w:type="dxa"/>
          </w:tcPr>
          <w:p w14:paraId="31E241BD"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31E241BE" w14:textId="4BD3D2B5" w:rsidR="00191A23" w:rsidRPr="0022554A" w:rsidRDefault="007952B9" w:rsidP="00191A23">
            <w:pPr>
              <w:tabs>
                <w:tab w:val="left" w:pos="5400"/>
              </w:tabs>
              <w:rPr>
                <w:sz w:val="20"/>
                <w:lang w:eastAsia="zh-CN"/>
              </w:rPr>
            </w:pPr>
            <w:r>
              <w:rPr>
                <w:rFonts w:hint="eastAsia"/>
                <w:sz w:val="20"/>
                <w:lang w:eastAsia="zh-CN"/>
              </w:rPr>
              <w:t>4</w:t>
            </w:r>
          </w:p>
        </w:tc>
        <w:tc>
          <w:tcPr>
            <w:tcW w:w="3118" w:type="dxa"/>
          </w:tcPr>
          <w:p w14:paraId="31E241BF" w14:textId="6C5E613B" w:rsidR="00DB1E91" w:rsidRPr="0022554A" w:rsidRDefault="00E76BD7" w:rsidP="00191A23">
            <w:pPr>
              <w:tabs>
                <w:tab w:val="left" w:pos="5400"/>
              </w:tabs>
              <w:rPr>
                <w:sz w:val="20"/>
              </w:rPr>
            </w:pPr>
            <w:r w:rsidRPr="00E76BD7">
              <w:rPr>
                <w:sz w:val="20"/>
              </w:rPr>
              <w:t>The distribution of the data of the eight individual gastric cancer biomarkers was analyzed using the one-sample Kolmogorov-Smirnov and Shapiro-Wilk tests. The analytical results determined whether the parametric or non-parametric statistical method would be used in the following analysis. After the normality test, the skewed distribution (non-normal distribution) was transformed using the logarithmic transformation.</w:t>
            </w:r>
          </w:p>
        </w:tc>
      </w:tr>
      <w:tr w:rsidR="00191A23" w:rsidRPr="0022554A" w14:paraId="31E241C6" w14:textId="77777777" w:rsidTr="00517788">
        <w:tc>
          <w:tcPr>
            <w:tcW w:w="1521" w:type="dxa"/>
            <w:vMerge w:val="restart"/>
          </w:tcPr>
          <w:p w14:paraId="31E241C1" w14:textId="77777777" w:rsidR="00191A23" w:rsidRPr="0022554A" w:rsidRDefault="00191A23" w:rsidP="00191A23">
            <w:pPr>
              <w:tabs>
                <w:tab w:val="left" w:pos="5400"/>
              </w:tabs>
              <w:rPr>
                <w:sz w:val="20"/>
              </w:rPr>
            </w:pPr>
            <w:bookmarkStart w:id="45" w:name="italic24"/>
            <w:r w:rsidRPr="0022554A">
              <w:rPr>
                <w:sz w:val="20"/>
              </w:rPr>
              <w:lastRenderedPageBreak/>
              <w:t>Statistical</w:t>
            </w:r>
            <w:bookmarkStart w:id="46" w:name="italic25"/>
            <w:bookmarkEnd w:id="45"/>
            <w:r w:rsidRPr="0022554A">
              <w:rPr>
                <w:sz w:val="20"/>
              </w:rPr>
              <w:t xml:space="preserve"> methods</w:t>
            </w:r>
            <w:bookmarkEnd w:id="46"/>
          </w:p>
        </w:tc>
        <w:tc>
          <w:tcPr>
            <w:tcW w:w="749" w:type="dxa"/>
            <w:vMerge w:val="restart"/>
          </w:tcPr>
          <w:p w14:paraId="31E241C2" w14:textId="77777777" w:rsidR="00191A23" w:rsidRPr="0022554A" w:rsidRDefault="00191A23" w:rsidP="00191A23">
            <w:pPr>
              <w:tabs>
                <w:tab w:val="left" w:pos="5400"/>
              </w:tabs>
              <w:jc w:val="center"/>
              <w:rPr>
                <w:sz w:val="20"/>
              </w:rPr>
            </w:pPr>
            <w:r w:rsidRPr="0022554A">
              <w:rPr>
                <w:sz w:val="20"/>
              </w:rPr>
              <w:t>12</w:t>
            </w:r>
          </w:p>
        </w:tc>
        <w:tc>
          <w:tcPr>
            <w:tcW w:w="8328" w:type="dxa"/>
          </w:tcPr>
          <w:p w14:paraId="31E241C3"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31E241C4" w14:textId="49F9E10F" w:rsidR="00191A23" w:rsidRPr="0022554A" w:rsidRDefault="005F0AA6" w:rsidP="00191A23">
            <w:pPr>
              <w:tabs>
                <w:tab w:val="left" w:pos="5400"/>
              </w:tabs>
              <w:rPr>
                <w:sz w:val="20"/>
                <w:lang w:eastAsia="zh-CN"/>
              </w:rPr>
            </w:pPr>
            <w:r>
              <w:rPr>
                <w:rFonts w:hint="eastAsia"/>
                <w:sz w:val="20"/>
                <w:lang w:eastAsia="zh-CN"/>
              </w:rPr>
              <w:t>4</w:t>
            </w:r>
          </w:p>
        </w:tc>
        <w:tc>
          <w:tcPr>
            <w:tcW w:w="3118" w:type="dxa"/>
          </w:tcPr>
          <w:p w14:paraId="31E241C5" w14:textId="3FE89D08" w:rsidR="00191A23" w:rsidRPr="0022554A" w:rsidRDefault="00A80604" w:rsidP="00191A23">
            <w:pPr>
              <w:tabs>
                <w:tab w:val="left" w:pos="5400"/>
              </w:tabs>
              <w:rPr>
                <w:sz w:val="20"/>
                <w:lang w:eastAsia="zh-CN"/>
              </w:rPr>
            </w:pPr>
            <w:r w:rsidRPr="00A80604">
              <w:rPr>
                <w:sz w:val="20"/>
              </w:rPr>
              <w:t>the one-sample Kolmogorov-Smirnov and Shapiro-Wilk tests</w:t>
            </w:r>
            <w:r>
              <w:rPr>
                <w:sz w:val="20"/>
              </w:rPr>
              <w:t xml:space="preserve">, </w:t>
            </w:r>
            <w:r w:rsidR="00296804" w:rsidRPr="00296804">
              <w:rPr>
                <w:sz w:val="20"/>
              </w:rPr>
              <w:t>the logarithmic transformation</w:t>
            </w:r>
            <w:r w:rsidR="00296804">
              <w:rPr>
                <w:rFonts w:hint="eastAsia"/>
                <w:sz w:val="20"/>
                <w:lang w:eastAsia="zh-CN"/>
              </w:rPr>
              <w:t>,</w:t>
            </w:r>
            <w:r w:rsidR="00296804">
              <w:rPr>
                <w:sz w:val="20"/>
                <w:lang w:eastAsia="zh-CN"/>
              </w:rPr>
              <w:t xml:space="preserve"> </w:t>
            </w:r>
            <w:r w:rsidR="00E14009" w:rsidRPr="00E14009">
              <w:rPr>
                <w:sz w:val="20"/>
                <w:lang w:eastAsia="zh-CN"/>
              </w:rPr>
              <w:t>CMH test</w:t>
            </w:r>
            <w:r w:rsidR="00E14009">
              <w:rPr>
                <w:rFonts w:hint="eastAsia"/>
                <w:sz w:val="20"/>
                <w:lang w:eastAsia="zh-CN"/>
              </w:rPr>
              <w:t>,</w:t>
            </w:r>
            <w:r w:rsidR="00E14009">
              <w:rPr>
                <w:sz w:val="20"/>
                <w:lang w:eastAsia="zh-CN"/>
              </w:rPr>
              <w:t xml:space="preserve"> </w:t>
            </w:r>
            <w:r w:rsidR="000D5F34" w:rsidRPr="000D5F34">
              <w:rPr>
                <w:sz w:val="20"/>
                <w:lang w:eastAsia="zh-CN"/>
              </w:rPr>
              <w:t>Logistic regression analysis</w:t>
            </w:r>
          </w:p>
        </w:tc>
      </w:tr>
      <w:tr w:rsidR="00191A23" w:rsidRPr="0022554A" w14:paraId="31E241CC" w14:textId="77777777" w:rsidTr="00517788">
        <w:tc>
          <w:tcPr>
            <w:tcW w:w="1521" w:type="dxa"/>
            <w:vMerge/>
          </w:tcPr>
          <w:p w14:paraId="31E241C7" w14:textId="77777777" w:rsidR="00191A23" w:rsidRPr="0022554A" w:rsidRDefault="00191A23" w:rsidP="00191A23">
            <w:pPr>
              <w:tabs>
                <w:tab w:val="left" w:pos="5400"/>
              </w:tabs>
              <w:rPr>
                <w:bCs/>
                <w:sz w:val="20"/>
              </w:rPr>
            </w:pPr>
            <w:bookmarkStart w:id="47" w:name="bold24" w:colFirst="0" w:colLast="0"/>
            <w:bookmarkStart w:id="48" w:name="italic26" w:colFirst="0" w:colLast="0"/>
          </w:p>
        </w:tc>
        <w:tc>
          <w:tcPr>
            <w:tcW w:w="749" w:type="dxa"/>
            <w:vMerge/>
          </w:tcPr>
          <w:p w14:paraId="31E241C8" w14:textId="77777777" w:rsidR="00191A23" w:rsidRPr="0022554A" w:rsidRDefault="00191A23" w:rsidP="00191A23">
            <w:pPr>
              <w:tabs>
                <w:tab w:val="left" w:pos="5400"/>
              </w:tabs>
              <w:jc w:val="center"/>
              <w:rPr>
                <w:sz w:val="20"/>
              </w:rPr>
            </w:pPr>
          </w:p>
        </w:tc>
        <w:tc>
          <w:tcPr>
            <w:tcW w:w="8328" w:type="dxa"/>
          </w:tcPr>
          <w:p w14:paraId="31E241C9"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31E241CA" w14:textId="467EAF0A" w:rsidR="00191A23" w:rsidRPr="0022554A" w:rsidRDefault="002F4B3F" w:rsidP="00191A23">
            <w:pPr>
              <w:tabs>
                <w:tab w:val="left" w:pos="5400"/>
              </w:tabs>
              <w:rPr>
                <w:sz w:val="20"/>
                <w:lang w:eastAsia="zh-CN"/>
              </w:rPr>
            </w:pPr>
            <w:r>
              <w:rPr>
                <w:rFonts w:hint="eastAsia"/>
                <w:sz w:val="20"/>
                <w:lang w:eastAsia="zh-CN"/>
              </w:rPr>
              <w:t>5</w:t>
            </w:r>
          </w:p>
        </w:tc>
        <w:tc>
          <w:tcPr>
            <w:tcW w:w="3118" w:type="dxa"/>
          </w:tcPr>
          <w:p w14:paraId="31E241CB" w14:textId="31D50ECF" w:rsidR="00191A23" w:rsidRPr="0022554A" w:rsidRDefault="002F4B3F" w:rsidP="00191A23">
            <w:pPr>
              <w:tabs>
                <w:tab w:val="left" w:pos="5400"/>
              </w:tabs>
              <w:rPr>
                <w:sz w:val="20"/>
              </w:rPr>
            </w:pPr>
            <w:r w:rsidRPr="002F4B3F">
              <w:rPr>
                <w:sz w:val="20"/>
              </w:rPr>
              <w:t>CMH test</w:t>
            </w:r>
          </w:p>
        </w:tc>
      </w:tr>
      <w:tr w:rsidR="00191A23" w:rsidRPr="0022554A" w14:paraId="31E241D2" w14:textId="77777777" w:rsidTr="00517788">
        <w:tc>
          <w:tcPr>
            <w:tcW w:w="1521" w:type="dxa"/>
            <w:vMerge/>
          </w:tcPr>
          <w:p w14:paraId="31E241CD" w14:textId="77777777" w:rsidR="00191A23" w:rsidRPr="0022554A"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14:paraId="31E241CE" w14:textId="77777777" w:rsidR="00191A23" w:rsidRPr="0022554A" w:rsidRDefault="00191A23" w:rsidP="00191A23">
            <w:pPr>
              <w:tabs>
                <w:tab w:val="left" w:pos="5400"/>
              </w:tabs>
              <w:jc w:val="center"/>
              <w:rPr>
                <w:sz w:val="20"/>
              </w:rPr>
            </w:pPr>
          </w:p>
        </w:tc>
        <w:tc>
          <w:tcPr>
            <w:tcW w:w="8328" w:type="dxa"/>
          </w:tcPr>
          <w:p w14:paraId="31E241CF"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31E241D0" w14:textId="353C0715" w:rsidR="00191A23" w:rsidRPr="0022554A" w:rsidRDefault="00040310" w:rsidP="00191A23">
            <w:pPr>
              <w:tabs>
                <w:tab w:val="left" w:pos="5400"/>
              </w:tabs>
              <w:rPr>
                <w:sz w:val="20"/>
                <w:lang w:eastAsia="zh-CN"/>
              </w:rPr>
            </w:pPr>
            <w:r>
              <w:rPr>
                <w:rFonts w:hint="eastAsia"/>
                <w:sz w:val="20"/>
                <w:lang w:eastAsia="zh-CN"/>
              </w:rPr>
              <w:t>5</w:t>
            </w:r>
          </w:p>
        </w:tc>
        <w:tc>
          <w:tcPr>
            <w:tcW w:w="3118" w:type="dxa"/>
          </w:tcPr>
          <w:p w14:paraId="31E241D1" w14:textId="138DF4F4" w:rsidR="00191A23" w:rsidRPr="0022554A" w:rsidRDefault="00040310" w:rsidP="00191A23">
            <w:pPr>
              <w:tabs>
                <w:tab w:val="left" w:pos="5400"/>
              </w:tabs>
              <w:rPr>
                <w:sz w:val="20"/>
              </w:rPr>
            </w:pPr>
            <w:r>
              <w:rPr>
                <w:rFonts w:hint="eastAsia"/>
                <w:sz w:val="20"/>
                <w:lang w:eastAsia="zh-CN"/>
              </w:rPr>
              <w:t>Figure</w:t>
            </w:r>
            <w:r>
              <w:rPr>
                <w:sz w:val="20"/>
              </w:rPr>
              <w:t xml:space="preserve"> 1</w:t>
            </w:r>
          </w:p>
        </w:tc>
      </w:tr>
      <w:tr w:rsidR="00191A23" w:rsidRPr="0022554A" w14:paraId="31E241DA" w14:textId="77777777" w:rsidTr="00517788">
        <w:tc>
          <w:tcPr>
            <w:tcW w:w="1521" w:type="dxa"/>
            <w:vMerge/>
          </w:tcPr>
          <w:p w14:paraId="31E241D3" w14:textId="77777777" w:rsidR="00191A23" w:rsidRPr="0022554A"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14:paraId="31E241D4" w14:textId="77777777" w:rsidR="00191A23" w:rsidRPr="0022554A" w:rsidRDefault="00191A23" w:rsidP="00191A23">
            <w:pPr>
              <w:tabs>
                <w:tab w:val="left" w:pos="5400"/>
              </w:tabs>
              <w:jc w:val="center"/>
              <w:rPr>
                <w:sz w:val="20"/>
              </w:rPr>
            </w:pPr>
          </w:p>
        </w:tc>
        <w:tc>
          <w:tcPr>
            <w:tcW w:w="8328" w:type="dxa"/>
          </w:tcPr>
          <w:p w14:paraId="31E241D5"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31E241D6"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31E241D7"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31E241D8" w14:textId="5C0FFDA0" w:rsidR="00191A23" w:rsidRPr="0022554A" w:rsidRDefault="001759FA" w:rsidP="00191A23">
            <w:pPr>
              <w:tabs>
                <w:tab w:val="left" w:pos="5400"/>
              </w:tabs>
              <w:rPr>
                <w:sz w:val="20"/>
                <w:lang w:eastAsia="zh-CN"/>
              </w:rPr>
            </w:pPr>
            <w:r>
              <w:rPr>
                <w:sz w:val="20"/>
                <w:lang w:eastAsia="zh-CN"/>
              </w:rPr>
              <w:t>3</w:t>
            </w:r>
            <w:r>
              <w:rPr>
                <w:rFonts w:hint="eastAsia"/>
                <w:sz w:val="20"/>
                <w:lang w:eastAsia="zh-CN"/>
              </w:rPr>
              <w:t>-</w:t>
            </w:r>
            <w:r w:rsidR="005F0AA6">
              <w:rPr>
                <w:rFonts w:hint="eastAsia"/>
                <w:sz w:val="20"/>
                <w:lang w:eastAsia="zh-CN"/>
              </w:rPr>
              <w:t>4</w:t>
            </w:r>
          </w:p>
        </w:tc>
        <w:tc>
          <w:tcPr>
            <w:tcW w:w="3118" w:type="dxa"/>
          </w:tcPr>
          <w:p w14:paraId="31E241D9" w14:textId="61B6AD25" w:rsidR="00191A23" w:rsidRPr="0022554A" w:rsidRDefault="0017213B" w:rsidP="00191A23">
            <w:pPr>
              <w:tabs>
                <w:tab w:val="left" w:pos="5400"/>
              </w:tabs>
              <w:rPr>
                <w:sz w:val="20"/>
              </w:rPr>
            </w:pPr>
            <w:r w:rsidRPr="0017213B">
              <w:rPr>
                <w:sz w:val="20"/>
              </w:rPr>
              <w:t>The determination of the gastric cancer (considering the sample size met the minimum of 165, α=0.01, β=0.05, Pt=0.2, Pc=0.05, Nt:Nc=1) and control group (considering the sample size met the minimum of 120) sample sizes</w:t>
            </w:r>
          </w:p>
        </w:tc>
      </w:tr>
      <w:tr w:rsidR="00191A23" w:rsidRPr="0022554A" w14:paraId="31E241E0" w14:textId="77777777" w:rsidTr="00517788">
        <w:tc>
          <w:tcPr>
            <w:tcW w:w="1521" w:type="dxa"/>
            <w:vMerge/>
          </w:tcPr>
          <w:p w14:paraId="31E241DB" w14:textId="77777777" w:rsidR="00191A23" w:rsidRPr="0022554A"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14:paraId="31E241DC" w14:textId="77777777" w:rsidR="00191A23" w:rsidRPr="0022554A" w:rsidRDefault="00191A23" w:rsidP="00191A23">
            <w:pPr>
              <w:tabs>
                <w:tab w:val="left" w:pos="5400"/>
              </w:tabs>
              <w:jc w:val="center"/>
              <w:rPr>
                <w:sz w:val="20"/>
              </w:rPr>
            </w:pPr>
          </w:p>
        </w:tc>
        <w:tc>
          <w:tcPr>
            <w:tcW w:w="8328" w:type="dxa"/>
          </w:tcPr>
          <w:p w14:paraId="31E241D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xml:space="preserve">) </w:t>
            </w:r>
            <w:bookmarkStart w:id="55" w:name="OLE_LINK34"/>
            <w:r w:rsidRPr="0022554A">
              <w:rPr>
                <w:sz w:val="20"/>
              </w:rPr>
              <w:t>Describe any sensitivity analyses</w:t>
            </w:r>
            <w:bookmarkEnd w:id="55"/>
          </w:p>
        </w:tc>
        <w:tc>
          <w:tcPr>
            <w:tcW w:w="1276" w:type="dxa"/>
          </w:tcPr>
          <w:p w14:paraId="31E241DE" w14:textId="042F8689" w:rsidR="00191A23" w:rsidRPr="0022554A" w:rsidRDefault="00A23E5A" w:rsidP="00191A23">
            <w:pPr>
              <w:tabs>
                <w:tab w:val="left" w:pos="5400"/>
              </w:tabs>
              <w:rPr>
                <w:sz w:val="20"/>
                <w:lang w:eastAsia="zh-CN"/>
              </w:rPr>
            </w:pPr>
            <w:r>
              <w:rPr>
                <w:rFonts w:hint="eastAsia"/>
                <w:sz w:val="20"/>
                <w:lang w:eastAsia="zh-CN"/>
              </w:rPr>
              <w:t>4</w:t>
            </w:r>
          </w:p>
        </w:tc>
        <w:tc>
          <w:tcPr>
            <w:tcW w:w="3118" w:type="dxa"/>
          </w:tcPr>
          <w:p w14:paraId="31E241DF" w14:textId="19BA16C8" w:rsidR="00191A23" w:rsidRPr="0022554A" w:rsidRDefault="00787276" w:rsidP="00191A23">
            <w:pPr>
              <w:tabs>
                <w:tab w:val="left" w:pos="5400"/>
              </w:tabs>
              <w:rPr>
                <w:sz w:val="20"/>
              </w:rPr>
            </w:pPr>
            <w:r w:rsidRPr="00787276">
              <w:rPr>
                <w:sz w:val="20"/>
              </w:rPr>
              <w:t>Logistic regression analysis was used to establish the diagnostic mathematical model. On the basis of this model, the prediction value was calculated, followed by ROC curve analysis</w:t>
            </w:r>
          </w:p>
        </w:tc>
      </w:tr>
      <w:bookmarkEnd w:id="53"/>
      <w:bookmarkEnd w:id="54"/>
      <w:tr w:rsidR="00191A23" w:rsidRPr="0022554A" w14:paraId="31E241E2" w14:textId="77777777" w:rsidTr="00191A23">
        <w:tc>
          <w:tcPr>
            <w:tcW w:w="14992" w:type="dxa"/>
            <w:gridSpan w:val="5"/>
          </w:tcPr>
          <w:p w14:paraId="31E241E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1E241E8" w14:textId="77777777" w:rsidTr="00517788">
        <w:tc>
          <w:tcPr>
            <w:tcW w:w="0" w:type="auto"/>
            <w:vMerge w:val="restart"/>
          </w:tcPr>
          <w:p w14:paraId="31E241E3" w14:textId="77777777" w:rsidR="00191A23" w:rsidRPr="0022554A" w:rsidRDefault="00191A23" w:rsidP="00191A23">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31E241E4" w14:textId="77777777" w:rsidR="00191A23" w:rsidRPr="0022554A" w:rsidRDefault="00191A23" w:rsidP="00191A23">
            <w:pPr>
              <w:tabs>
                <w:tab w:val="left" w:pos="5400"/>
              </w:tabs>
              <w:jc w:val="center"/>
              <w:rPr>
                <w:sz w:val="20"/>
              </w:rPr>
            </w:pPr>
            <w:r w:rsidRPr="0022554A">
              <w:rPr>
                <w:sz w:val="20"/>
              </w:rPr>
              <w:t>13</w:t>
            </w:r>
            <w:bookmarkStart w:id="58" w:name="bold30"/>
            <w:r w:rsidRPr="0022554A">
              <w:rPr>
                <w:bCs/>
                <w:sz w:val="20"/>
              </w:rPr>
              <w:t>*</w:t>
            </w:r>
            <w:bookmarkEnd w:id="58"/>
          </w:p>
        </w:tc>
        <w:tc>
          <w:tcPr>
            <w:tcW w:w="8328" w:type="dxa"/>
          </w:tcPr>
          <w:p w14:paraId="31E241E5" w14:textId="77777777" w:rsidR="00191A23" w:rsidRPr="003C4C15" w:rsidRDefault="00191A23" w:rsidP="00191A23">
            <w:pPr>
              <w:tabs>
                <w:tab w:val="left" w:pos="5400"/>
              </w:tabs>
              <w:rPr>
                <w:sz w:val="20"/>
              </w:rPr>
            </w:pPr>
            <w:r w:rsidRPr="003C4C15">
              <w:rPr>
                <w:sz w:val="20"/>
              </w:rPr>
              <w:t>(a) Report numbers of individuals at each stage of study—eg numbers potentially eligible, examined for eligibility, confirmed eligible, included in the study, completing follow-up, and analysed</w:t>
            </w:r>
          </w:p>
        </w:tc>
        <w:tc>
          <w:tcPr>
            <w:tcW w:w="1276" w:type="dxa"/>
          </w:tcPr>
          <w:p w14:paraId="31E241E6" w14:textId="6AB0BE2F" w:rsidR="00191A23" w:rsidRDefault="000113C0" w:rsidP="00191A23">
            <w:pPr>
              <w:tabs>
                <w:tab w:val="left" w:pos="5400"/>
              </w:tabs>
              <w:rPr>
                <w:sz w:val="20"/>
                <w:lang w:eastAsia="zh-CN"/>
              </w:rPr>
            </w:pPr>
            <w:r>
              <w:rPr>
                <w:rFonts w:hint="eastAsia"/>
                <w:sz w:val="20"/>
                <w:lang w:eastAsia="zh-CN"/>
              </w:rPr>
              <w:t>5</w:t>
            </w:r>
          </w:p>
        </w:tc>
        <w:tc>
          <w:tcPr>
            <w:tcW w:w="3118" w:type="dxa"/>
          </w:tcPr>
          <w:p w14:paraId="31E241E7" w14:textId="489651F3" w:rsidR="00191A23" w:rsidRDefault="00895407" w:rsidP="00191A23">
            <w:pPr>
              <w:tabs>
                <w:tab w:val="left" w:pos="5400"/>
              </w:tabs>
              <w:rPr>
                <w:sz w:val="20"/>
                <w:lang w:eastAsia="zh-CN"/>
              </w:rPr>
            </w:pPr>
            <w:r>
              <w:rPr>
                <w:rFonts w:hint="eastAsia"/>
                <w:sz w:val="20"/>
                <w:lang w:eastAsia="zh-CN"/>
              </w:rPr>
              <w:t>T</w:t>
            </w:r>
            <w:r>
              <w:rPr>
                <w:sz w:val="20"/>
                <w:lang w:eastAsia="zh-CN"/>
              </w:rPr>
              <w:t>able</w:t>
            </w:r>
            <w:r w:rsidR="00CC6E47">
              <w:rPr>
                <w:sz w:val="20"/>
                <w:lang w:eastAsia="zh-CN"/>
              </w:rPr>
              <w:t>3</w:t>
            </w:r>
            <w:r w:rsidR="004165DC">
              <w:rPr>
                <w:sz w:val="20"/>
                <w:lang w:eastAsia="zh-CN"/>
              </w:rPr>
              <w:t>-</w:t>
            </w:r>
            <w:r w:rsidR="00AD6544">
              <w:rPr>
                <w:sz w:val="20"/>
                <w:lang w:eastAsia="zh-CN"/>
              </w:rPr>
              <w:t>Table</w:t>
            </w:r>
            <w:r w:rsidR="00CC6E47">
              <w:rPr>
                <w:sz w:val="20"/>
                <w:lang w:eastAsia="zh-CN"/>
              </w:rPr>
              <w:t>5</w:t>
            </w:r>
          </w:p>
        </w:tc>
      </w:tr>
      <w:tr w:rsidR="00191A23" w:rsidRPr="0022554A" w14:paraId="31E241EE" w14:textId="77777777" w:rsidTr="00517788">
        <w:tc>
          <w:tcPr>
            <w:tcW w:w="0" w:type="auto"/>
            <w:vMerge/>
          </w:tcPr>
          <w:p w14:paraId="31E241E9" w14:textId="77777777" w:rsidR="00191A23" w:rsidRPr="0022554A" w:rsidRDefault="00191A23" w:rsidP="00191A23">
            <w:pPr>
              <w:tabs>
                <w:tab w:val="left" w:pos="5400"/>
              </w:tabs>
              <w:rPr>
                <w:bCs/>
                <w:sz w:val="20"/>
              </w:rPr>
            </w:pPr>
            <w:bookmarkStart w:id="59" w:name="bold31" w:colFirst="0" w:colLast="0"/>
            <w:bookmarkStart w:id="60" w:name="italic32" w:colFirst="0" w:colLast="0"/>
          </w:p>
        </w:tc>
        <w:tc>
          <w:tcPr>
            <w:tcW w:w="0" w:type="auto"/>
            <w:vMerge/>
          </w:tcPr>
          <w:p w14:paraId="31E241EA" w14:textId="77777777" w:rsidR="00191A23" w:rsidRPr="0022554A" w:rsidRDefault="00191A23" w:rsidP="00191A23">
            <w:pPr>
              <w:tabs>
                <w:tab w:val="left" w:pos="5400"/>
              </w:tabs>
              <w:jc w:val="center"/>
              <w:rPr>
                <w:sz w:val="20"/>
              </w:rPr>
            </w:pPr>
          </w:p>
        </w:tc>
        <w:tc>
          <w:tcPr>
            <w:tcW w:w="8328" w:type="dxa"/>
          </w:tcPr>
          <w:p w14:paraId="31E241EB" w14:textId="77777777" w:rsidR="00191A23" w:rsidRPr="003C4C15" w:rsidRDefault="00191A23" w:rsidP="00191A23">
            <w:pPr>
              <w:tabs>
                <w:tab w:val="left" w:pos="5400"/>
              </w:tabs>
              <w:rPr>
                <w:sz w:val="20"/>
              </w:rPr>
            </w:pPr>
            <w:r w:rsidRPr="003C4C15">
              <w:rPr>
                <w:sz w:val="20"/>
              </w:rPr>
              <w:t>(b) Give reasons for non-participation at each stage</w:t>
            </w:r>
          </w:p>
        </w:tc>
        <w:tc>
          <w:tcPr>
            <w:tcW w:w="1276" w:type="dxa"/>
          </w:tcPr>
          <w:p w14:paraId="31E241EC" w14:textId="6B2FD104" w:rsidR="00191A23" w:rsidRDefault="00926FC4" w:rsidP="00191A23">
            <w:pPr>
              <w:tabs>
                <w:tab w:val="left" w:pos="5400"/>
              </w:tabs>
              <w:rPr>
                <w:sz w:val="20"/>
                <w:lang w:eastAsia="zh-CN"/>
              </w:rPr>
            </w:pPr>
            <w:r>
              <w:rPr>
                <w:rFonts w:hint="eastAsia"/>
                <w:sz w:val="20"/>
                <w:lang w:eastAsia="zh-CN"/>
              </w:rPr>
              <w:t>5</w:t>
            </w:r>
          </w:p>
        </w:tc>
        <w:tc>
          <w:tcPr>
            <w:tcW w:w="3118" w:type="dxa"/>
          </w:tcPr>
          <w:p w14:paraId="31E241ED" w14:textId="095A51EC" w:rsidR="00191A23" w:rsidRDefault="009F2E6E" w:rsidP="00191A23">
            <w:pPr>
              <w:tabs>
                <w:tab w:val="left" w:pos="5400"/>
              </w:tabs>
              <w:rPr>
                <w:sz w:val="20"/>
              </w:rPr>
            </w:pPr>
            <w:r w:rsidRPr="009F2E6E">
              <w:rPr>
                <w:sz w:val="20"/>
              </w:rPr>
              <w:t>The main reasons for the exclusion of subjects</w:t>
            </w:r>
          </w:p>
        </w:tc>
      </w:tr>
      <w:tr w:rsidR="00191A23" w:rsidRPr="0022554A" w14:paraId="31E241F4" w14:textId="77777777" w:rsidTr="00517788">
        <w:tc>
          <w:tcPr>
            <w:tcW w:w="0" w:type="auto"/>
            <w:vMerge/>
          </w:tcPr>
          <w:p w14:paraId="31E241EF" w14:textId="77777777" w:rsidR="00191A23" w:rsidRPr="0022554A" w:rsidRDefault="00191A23" w:rsidP="00191A23">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31E241F0" w14:textId="77777777" w:rsidR="00191A23" w:rsidRPr="0022554A" w:rsidRDefault="00191A23" w:rsidP="00191A23">
            <w:pPr>
              <w:tabs>
                <w:tab w:val="left" w:pos="5400"/>
              </w:tabs>
              <w:jc w:val="center"/>
              <w:rPr>
                <w:sz w:val="20"/>
              </w:rPr>
            </w:pPr>
          </w:p>
        </w:tc>
        <w:tc>
          <w:tcPr>
            <w:tcW w:w="8328" w:type="dxa"/>
          </w:tcPr>
          <w:p w14:paraId="31E241F1" w14:textId="77777777" w:rsidR="00191A23" w:rsidRPr="003C4C15" w:rsidRDefault="00191A23" w:rsidP="00191A23">
            <w:pPr>
              <w:tabs>
                <w:tab w:val="left" w:pos="5400"/>
              </w:tabs>
              <w:rPr>
                <w:sz w:val="20"/>
              </w:rPr>
            </w:pPr>
            <w:bookmarkStart w:id="63" w:name="OLE_LINK4"/>
            <w:r w:rsidRPr="003C4C15">
              <w:rPr>
                <w:sz w:val="20"/>
              </w:rPr>
              <w:t>(c) Consider use of a flow diagram</w:t>
            </w:r>
            <w:bookmarkEnd w:id="63"/>
          </w:p>
        </w:tc>
        <w:tc>
          <w:tcPr>
            <w:tcW w:w="1276" w:type="dxa"/>
          </w:tcPr>
          <w:p w14:paraId="31E241F2" w14:textId="5809A0E4" w:rsidR="00191A23" w:rsidRDefault="0074758E" w:rsidP="00191A23">
            <w:pPr>
              <w:tabs>
                <w:tab w:val="left" w:pos="5400"/>
              </w:tabs>
              <w:rPr>
                <w:sz w:val="20"/>
                <w:lang w:eastAsia="zh-CN"/>
              </w:rPr>
            </w:pPr>
            <w:r>
              <w:rPr>
                <w:rFonts w:hint="eastAsia"/>
                <w:sz w:val="20"/>
                <w:lang w:eastAsia="zh-CN"/>
              </w:rPr>
              <w:t>5</w:t>
            </w:r>
          </w:p>
        </w:tc>
        <w:tc>
          <w:tcPr>
            <w:tcW w:w="3118" w:type="dxa"/>
          </w:tcPr>
          <w:p w14:paraId="31E241F3" w14:textId="7195F90E" w:rsidR="00191A23" w:rsidRDefault="0074758E" w:rsidP="00191A23">
            <w:pPr>
              <w:tabs>
                <w:tab w:val="left" w:pos="5400"/>
              </w:tabs>
              <w:rPr>
                <w:sz w:val="20"/>
              </w:rPr>
            </w:pPr>
            <w:r>
              <w:rPr>
                <w:rFonts w:hint="eastAsia"/>
                <w:sz w:val="20"/>
                <w:lang w:eastAsia="zh-CN"/>
              </w:rPr>
              <w:t>Figure</w:t>
            </w:r>
            <w:r>
              <w:rPr>
                <w:sz w:val="20"/>
              </w:rPr>
              <w:t xml:space="preserve"> 1</w:t>
            </w:r>
          </w:p>
        </w:tc>
      </w:tr>
      <w:tr w:rsidR="00191A23" w:rsidRPr="0022554A" w14:paraId="31E241FA" w14:textId="77777777" w:rsidTr="00517788">
        <w:tc>
          <w:tcPr>
            <w:tcW w:w="0" w:type="auto"/>
            <w:vMerge w:val="restart"/>
          </w:tcPr>
          <w:p w14:paraId="31E241F5" w14:textId="77777777" w:rsidR="00191A23" w:rsidRPr="0022554A" w:rsidRDefault="00191A23" w:rsidP="00191A23">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31E241F6" w14:textId="77777777" w:rsidR="00191A23" w:rsidRPr="0022554A" w:rsidRDefault="00191A23" w:rsidP="00191A23">
            <w:pPr>
              <w:tabs>
                <w:tab w:val="left" w:pos="5400"/>
              </w:tabs>
              <w:jc w:val="center"/>
              <w:rPr>
                <w:sz w:val="20"/>
              </w:rPr>
            </w:pPr>
            <w:r w:rsidRPr="0022554A">
              <w:rPr>
                <w:sz w:val="20"/>
              </w:rPr>
              <w:t>14</w:t>
            </w:r>
            <w:bookmarkStart w:id="68" w:name="bold35"/>
            <w:r w:rsidRPr="0022554A">
              <w:rPr>
                <w:bCs/>
                <w:sz w:val="20"/>
              </w:rPr>
              <w:t>*</w:t>
            </w:r>
            <w:bookmarkEnd w:id="68"/>
          </w:p>
        </w:tc>
        <w:tc>
          <w:tcPr>
            <w:tcW w:w="8328" w:type="dxa"/>
          </w:tcPr>
          <w:p w14:paraId="31E241F7"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31E241F8" w14:textId="14FAF321" w:rsidR="00191A23" w:rsidRDefault="001D1FBA" w:rsidP="00191A23">
            <w:pPr>
              <w:tabs>
                <w:tab w:val="left" w:pos="5400"/>
              </w:tabs>
              <w:rPr>
                <w:sz w:val="20"/>
                <w:lang w:eastAsia="zh-CN"/>
              </w:rPr>
            </w:pPr>
            <w:r>
              <w:rPr>
                <w:rFonts w:hint="eastAsia"/>
                <w:sz w:val="20"/>
                <w:lang w:eastAsia="zh-CN"/>
              </w:rPr>
              <w:t>5</w:t>
            </w:r>
          </w:p>
        </w:tc>
        <w:tc>
          <w:tcPr>
            <w:tcW w:w="3118" w:type="dxa"/>
          </w:tcPr>
          <w:p w14:paraId="31E241F9" w14:textId="4CBBED2B" w:rsidR="00191A23" w:rsidRDefault="00906037" w:rsidP="00191A23">
            <w:pPr>
              <w:tabs>
                <w:tab w:val="left" w:pos="5400"/>
              </w:tabs>
              <w:rPr>
                <w:sz w:val="20"/>
              </w:rPr>
            </w:pPr>
            <w:r w:rsidRPr="00906037">
              <w:rPr>
                <w:sz w:val="20"/>
              </w:rPr>
              <w:t>After excluding participants who did not meet the baseline, a total of 268 gastric cancer patients and 209 healthy people were included in the analysis.</w:t>
            </w:r>
          </w:p>
        </w:tc>
      </w:tr>
      <w:tr w:rsidR="00191A23" w:rsidRPr="0022554A" w14:paraId="31E24200" w14:textId="77777777" w:rsidTr="00517788">
        <w:tc>
          <w:tcPr>
            <w:tcW w:w="0" w:type="auto"/>
            <w:vMerge/>
          </w:tcPr>
          <w:p w14:paraId="31E241FB" w14:textId="77777777" w:rsidR="00191A23" w:rsidRPr="0022554A" w:rsidRDefault="00191A23" w:rsidP="00191A23">
            <w:pPr>
              <w:tabs>
                <w:tab w:val="left" w:pos="5400"/>
              </w:tabs>
              <w:rPr>
                <w:bCs/>
                <w:sz w:val="20"/>
              </w:rPr>
            </w:pPr>
            <w:bookmarkStart w:id="69" w:name="bold36" w:colFirst="0" w:colLast="0"/>
            <w:bookmarkStart w:id="70" w:name="italic36" w:colFirst="0" w:colLast="0"/>
          </w:p>
        </w:tc>
        <w:tc>
          <w:tcPr>
            <w:tcW w:w="0" w:type="auto"/>
            <w:vMerge/>
          </w:tcPr>
          <w:p w14:paraId="31E241FC" w14:textId="77777777" w:rsidR="00191A23" w:rsidRPr="0022554A" w:rsidRDefault="00191A23" w:rsidP="00191A23">
            <w:pPr>
              <w:tabs>
                <w:tab w:val="left" w:pos="5400"/>
              </w:tabs>
              <w:jc w:val="center"/>
              <w:rPr>
                <w:sz w:val="20"/>
              </w:rPr>
            </w:pPr>
          </w:p>
        </w:tc>
        <w:tc>
          <w:tcPr>
            <w:tcW w:w="8328" w:type="dxa"/>
          </w:tcPr>
          <w:p w14:paraId="31E241FD"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31E241FE" w14:textId="32901888" w:rsidR="00191A23" w:rsidRDefault="00071746" w:rsidP="00191A23">
            <w:pPr>
              <w:tabs>
                <w:tab w:val="left" w:pos="5400"/>
              </w:tabs>
              <w:rPr>
                <w:sz w:val="20"/>
                <w:lang w:eastAsia="zh-CN"/>
              </w:rPr>
            </w:pPr>
            <w:r>
              <w:rPr>
                <w:rFonts w:hint="eastAsia"/>
                <w:sz w:val="20"/>
                <w:lang w:eastAsia="zh-CN"/>
              </w:rPr>
              <w:t>5</w:t>
            </w:r>
          </w:p>
        </w:tc>
        <w:tc>
          <w:tcPr>
            <w:tcW w:w="3118" w:type="dxa"/>
          </w:tcPr>
          <w:p w14:paraId="31E241FF" w14:textId="78D0FBD6" w:rsidR="00191A23" w:rsidRDefault="00944203" w:rsidP="00191A23">
            <w:pPr>
              <w:tabs>
                <w:tab w:val="left" w:pos="5400"/>
              </w:tabs>
              <w:rPr>
                <w:sz w:val="20"/>
              </w:rPr>
            </w:pPr>
            <w:r>
              <w:rPr>
                <w:rFonts w:hint="eastAsia"/>
                <w:sz w:val="20"/>
                <w:lang w:eastAsia="zh-CN"/>
              </w:rPr>
              <w:t>Figure</w:t>
            </w:r>
            <w:r>
              <w:rPr>
                <w:sz w:val="20"/>
                <w:lang w:eastAsia="zh-CN"/>
              </w:rPr>
              <w:t xml:space="preserve"> </w:t>
            </w:r>
            <w:r>
              <w:rPr>
                <w:sz w:val="20"/>
              </w:rPr>
              <w:t xml:space="preserve">1 </w:t>
            </w:r>
          </w:p>
        </w:tc>
      </w:tr>
      <w:tr w:rsidR="00191A23" w:rsidRPr="0022554A" w14:paraId="31E24206" w14:textId="77777777" w:rsidTr="00517788">
        <w:tc>
          <w:tcPr>
            <w:tcW w:w="0" w:type="auto"/>
            <w:vMerge/>
          </w:tcPr>
          <w:p w14:paraId="31E24201" w14:textId="77777777" w:rsidR="00191A23" w:rsidRPr="0022554A" w:rsidRDefault="00191A23" w:rsidP="00191A23">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31E24202" w14:textId="77777777" w:rsidR="00191A23" w:rsidRPr="0022554A" w:rsidRDefault="00191A23" w:rsidP="00191A23">
            <w:pPr>
              <w:tabs>
                <w:tab w:val="left" w:pos="5400"/>
              </w:tabs>
              <w:jc w:val="center"/>
              <w:rPr>
                <w:sz w:val="20"/>
              </w:rPr>
            </w:pPr>
          </w:p>
        </w:tc>
        <w:tc>
          <w:tcPr>
            <w:tcW w:w="8328" w:type="dxa"/>
          </w:tcPr>
          <w:p w14:paraId="31E24203"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31E24204" w14:textId="13462FE5" w:rsidR="00191A23" w:rsidRDefault="00F71FD0" w:rsidP="00191A23">
            <w:pPr>
              <w:tabs>
                <w:tab w:val="left" w:pos="5400"/>
              </w:tabs>
              <w:rPr>
                <w:sz w:val="20"/>
                <w:lang w:eastAsia="zh-CN"/>
              </w:rPr>
            </w:pPr>
            <w:r w:rsidRPr="00A904E0">
              <w:rPr>
                <w:i/>
                <w:sz w:val="20"/>
              </w:rPr>
              <w:t>N/A</w:t>
            </w:r>
          </w:p>
        </w:tc>
        <w:tc>
          <w:tcPr>
            <w:tcW w:w="3118" w:type="dxa"/>
          </w:tcPr>
          <w:p w14:paraId="31E24205" w14:textId="71862800" w:rsidR="00191A23" w:rsidRDefault="00F71FD0" w:rsidP="00191A23">
            <w:pPr>
              <w:tabs>
                <w:tab w:val="left" w:pos="5400"/>
              </w:tabs>
              <w:rPr>
                <w:sz w:val="20"/>
              </w:rPr>
            </w:pPr>
            <w:r w:rsidRPr="00A904E0">
              <w:rPr>
                <w:i/>
                <w:sz w:val="20"/>
              </w:rPr>
              <w:t>N/A</w:t>
            </w:r>
          </w:p>
        </w:tc>
      </w:tr>
      <w:tr w:rsidR="0027384A" w:rsidRPr="0022554A" w14:paraId="31E2420C" w14:textId="77777777" w:rsidTr="00517788">
        <w:trPr>
          <w:trHeight w:val="295"/>
        </w:trPr>
        <w:tc>
          <w:tcPr>
            <w:tcW w:w="0" w:type="auto"/>
            <w:vMerge w:val="restart"/>
          </w:tcPr>
          <w:p w14:paraId="31E24207" w14:textId="77777777" w:rsidR="0027384A" w:rsidRPr="0022554A" w:rsidRDefault="0027384A" w:rsidP="002738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31E24208" w14:textId="77777777" w:rsidR="0027384A" w:rsidRPr="0022554A" w:rsidRDefault="0027384A" w:rsidP="0027384A">
            <w:pPr>
              <w:tabs>
                <w:tab w:val="left" w:pos="5400"/>
              </w:tabs>
              <w:jc w:val="center"/>
              <w:rPr>
                <w:sz w:val="20"/>
              </w:rPr>
            </w:pPr>
            <w:r w:rsidRPr="0022554A">
              <w:rPr>
                <w:sz w:val="20"/>
              </w:rPr>
              <w:t>15</w:t>
            </w:r>
            <w:bookmarkStart w:id="75" w:name="bold39"/>
            <w:r w:rsidRPr="0022554A">
              <w:rPr>
                <w:bCs/>
                <w:sz w:val="20"/>
              </w:rPr>
              <w:t>*</w:t>
            </w:r>
            <w:bookmarkEnd w:id="75"/>
          </w:p>
        </w:tc>
        <w:tc>
          <w:tcPr>
            <w:tcW w:w="8328" w:type="dxa"/>
          </w:tcPr>
          <w:p w14:paraId="31E24209" w14:textId="77777777" w:rsidR="0027384A" w:rsidRPr="0022554A" w:rsidRDefault="0027384A" w:rsidP="0027384A">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31E2420A" w14:textId="4DDAA56F" w:rsidR="0027384A" w:rsidRPr="0022554A" w:rsidRDefault="0027384A" w:rsidP="0027384A">
            <w:pPr>
              <w:tabs>
                <w:tab w:val="left" w:pos="5400"/>
              </w:tabs>
              <w:rPr>
                <w:i/>
                <w:sz w:val="20"/>
              </w:rPr>
            </w:pPr>
            <w:bookmarkStart w:id="76" w:name="OLE_LINK37"/>
            <w:r w:rsidRPr="00A904E0">
              <w:rPr>
                <w:i/>
                <w:sz w:val="20"/>
              </w:rPr>
              <w:t>N/A</w:t>
            </w:r>
            <w:bookmarkEnd w:id="76"/>
          </w:p>
        </w:tc>
        <w:tc>
          <w:tcPr>
            <w:tcW w:w="3118" w:type="dxa"/>
          </w:tcPr>
          <w:p w14:paraId="31E2420B" w14:textId="1635F554" w:rsidR="0027384A" w:rsidRPr="0022554A" w:rsidRDefault="0027384A" w:rsidP="0027384A">
            <w:pPr>
              <w:tabs>
                <w:tab w:val="left" w:pos="5400"/>
              </w:tabs>
              <w:rPr>
                <w:i/>
                <w:sz w:val="20"/>
              </w:rPr>
            </w:pPr>
            <w:r w:rsidRPr="00A904E0">
              <w:rPr>
                <w:i/>
                <w:sz w:val="20"/>
              </w:rPr>
              <w:t>N/A</w:t>
            </w:r>
          </w:p>
        </w:tc>
      </w:tr>
      <w:tr w:rsidR="0027384A" w:rsidRPr="0022554A" w14:paraId="31E24212" w14:textId="77777777" w:rsidTr="00517788">
        <w:trPr>
          <w:trHeight w:val="294"/>
        </w:trPr>
        <w:tc>
          <w:tcPr>
            <w:tcW w:w="0" w:type="auto"/>
            <w:vMerge/>
          </w:tcPr>
          <w:p w14:paraId="31E2420D" w14:textId="77777777" w:rsidR="0027384A" w:rsidRPr="0022554A" w:rsidRDefault="0027384A" w:rsidP="0027384A">
            <w:pPr>
              <w:tabs>
                <w:tab w:val="left" w:pos="5400"/>
              </w:tabs>
              <w:rPr>
                <w:bCs/>
                <w:sz w:val="20"/>
              </w:rPr>
            </w:pPr>
          </w:p>
        </w:tc>
        <w:tc>
          <w:tcPr>
            <w:tcW w:w="0" w:type="auto"/>
            <w:vMerge/>
          </w:tcPr>
          <w:p w14:paraId="31E2420E" w14:textId="77777777" w:rsidR="0027384A" w:rsidRPr="0022554A" w:rsidRDefault="0027384A" w:rsidP="0027384A">
            <w:pPr>
              <w:tabs>
                <w:tab w:val="left" w:pos="5400"/>
              </w:tabs>
              <w:jc w:val="center"/>
              <w:rPr>
                <w:sz w:val="20"/>
              </w:rPr>
            </w:pPr>
          </w:p>
        </w:tc>
        <w:tc>
          <w:tcPr>
            <w:tcW w:w="8328" w:type="dxa"/>
          </w:tcPr>
          <w:p w14:paraId="31E2420F" w14:textId="77777777" w:rsidR="0027384A" w:rsidRPr="001E778C" w:rsidRDefault="0027384A" w:rsidP="0027384A">
            <w:pPr>
              <w:tabs>
                <w:tab w:val="left" w:pos="5400"/>
              </w:tabs>
              <w:rPr>
                <w:i/>
                <w:sz w:val="20"/>
                <w:highlight w:val="yellow"/>
              </w:rPr>
            </w:pPr>
            <w:r w:rsidRPr="002D7420">
              <w:rPr>
                <w:i/>
                <w:sz w:val="20"/>
              </w:rPr>
              <w:t>Case-control study—</w:t>
            </w:r>
            <w:r w:rsidRPr="002D7420">
              <w:rPr>
                <w:sz w:val="20"/>
              </w:rPr>
              <w:t>Report numbers in each exposure category, or summary measures of exposure</w:t>
            </w:r>
          </w:p>
        </w:tc>
        <w:tc>
          <w:tcPr>
            <w:tcW w:w="1276" w:type="dxa"/>
          </w:tcPr>
          <w:p w14:paraId="31E24210" w14:textId="6C1C6B8E" w:rsidR="0027384A" w:rsidRPr="0022554A" w:rsidRDefault="00D77BFE" w:rsidP="0027384A">
            <w:pPr>
              <w:tabs>
                <w:tab w:val="left" w:pos="5400"/>
              </w:tabs>
              <w:rPr>
                <w:i/>
                <w:sz w:val="20"/>
                <w:lang w:eastAsia="zh-CN"/>
              </w:rPr>
            </w:pPr>
            <w:r>
              <w:rPr>
                <w:rFonts w:hint="eastAsia"/>
                <w:i/>
                <w:sz w:val="20"/>
                <w:lang w:eastAsia="zh-CN"/>
              </w:rPr>
              <w:t>5-</w:t>
            </w:r>
            <w:r w:rsidR="009F5772">
              <w:rPr>
                <w:i/>
                <w:sz w:val="20"/>
                <w:lang w:eastAsia="zh-CN"/>
              </w:rPr>
              <w:t>6</w:t>
            </w:r>
          </w:p>
        </w:tc>
        <w:tc>
          <w:tcPr>
            <w:tcW w:w="3118" w:type="dxa"/>
          </w:tcPr>
          <w:p w14:paraId="31E24211" w14:textId="42314B9C" w:rsidR="0027384A" w:rsidRPr="0022554A" w:rsidRDefault="008C6BEA" w:rsidP="0027384A">
            <w:pPr>
              <w:tabs>
                <w:tab w:val="left" w:pos="5400"/>
              </w:tabs>
              <w:rPr>
                <w:i/>
                <w:sz w:val="20"/>
              </w:rPr>
            </w:pPr>
            <w:bookmarkStart w:id="77" w:name="OLE_LINK38"/>
            <w:r>
              <w:rPr>
                <w:rFonts w:hint="eastAsia"/>
                <w:i/>
                <w:sz w:val="20"/>
                <w:lang w:eastAsia="zh-CN"/>
              </w:rPr>
              <w:t>Table</w:t>
            </w:r>
            <w:r w:rsidR="00074E42">
              <w:rPr>
                <w:i/>
                <w:sz w:val="20"/>
              </w:rPr>
              <w:t>3</w:t>
            </w:r>
            <w:r>
              <w:rPr>
                <w:rFonts w:hint="eastAsia"/>
                <w:i/>
                <w:sz w:val="20"/>
                <w:lang w:eastAsia="zh-CN"/>
              </w:rPr>
              <w:t>-Table</w:t>
            </w:r>
            <w:r w:rsidR="00E760F3">
              <w:rPr>
                <w:i/>
                <w:sz w:val="20"/>
              </w:rPr>
              <w:t>5</w:t>
            </w:r>
            <w:bookmarkEnd w:id="77"/>
          </w:p>
        </w:tc>
      </w:tr>
      <w:bookmarkEnd w:id="73"/>
      <w:bookmarkEnd w:id="74"/>
      <w:tr w:rsidR="0027384A" w:rsidRPr="0022554A" w14:paraId="31E24218" w14:textId="77777777" w:rsidTr="00517788">
        <w:trPr>
          <w:trHeight w:val="294"/>
        </w:trPr>
        <w:tc>
          <w:tcPr>
            <w:tcW w:w="0" w:type="auto"/>
            <w:vMerge/>
          </w:tcPr>
          <w:p w14:paraId="31E24213" w14:textId="77777777" w:rsidR="0027384A" w:rsidRPr="0022554A" w:rsidRDefault="0027384A" w:rsidP="0027384A">
            <w:pPr>
              <w:tabs>
                <w:tab w:val="left" w:pos="5400"/>
              </w:tabs>
              <w:rPr>
                <w:bCs/>
                <w:sz w:val="20"/>
              </w:rPr>
            </w:pPr>
          </w:p>
        </w:tc>
        <w:tc>
          <w:tcPr>
            <w:tcW w:w="0" w:type="auto"/>
            <w:vMerge/>
          </w:tcPr>
          <w:p w14:paraId="31E24214" w14:textId="77777777" w:rsidR="0027384A" w:rsidRPr="0022554A" w:rsidRDefault="0027384A" w:rsidP="0027384A">
            <w:pPr>
              <w:tabs>
                <w:tab w:val="left" w:pos="5400"/>
              </w:tabs>
              <w:jc w:val="center"/>
              <w:rPr>
                <w:sz w:val="20"/>
              </w:rPr>
            </w:pPr>
          </w:p>
        </w:tc>
        <w:tc>
          <w:tcPr>
            <w:tcW w:w="8328" w:type="dxa"/>
          </w:tcPr>
          <w:p w14:paraId="31E24215" w14:textId="77777777" w:rsidR="0027384A" w:rsidRPr="0022554A" w:rsidRDefault="0027384A" w:rsidP="002738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1E24216" w14:textId="3AD302EB" w:rsidR="0027384A" w:rsidRDefault="0027384A" w:rsidP="0027384A">
            <w:pPr>
              <w:tabs>
                <w:tab w:val="left" w:pos="5400"/>
              </w:tabs>
              <w:rPr>
                <w:i/>
                <w:sz w:val="20"/>
              </w:rPr>
            </w:pPr>
            <w:r w:rsidRPr="00A904E0">
              <w:rPr>
                <w:i/>
                <w:sz w:val="20"/>
              </w:rPr>
              <w:t>N/A</w:t>
            </w:r>
          </w:p>
        </w:tc>
        <w:tc>
          <w:tcPr>
            <w:tcW w:w="3118" w:type="dxa"/>
          </w:tcPr>
          <w:p w14:paraId="31E24217" w14:textId="03B45698" w:rsidR="0027384A" w:rsidRDefault="0027384A" w:rsidP="0027384A">
            <w:pPr>
              <w:tabs>
                <w:tab w:val="left" w:pos="5400"/>
              </w:tabs>
              <w:rPr>
                <w:i/>
                <w:sz w:val="20"/>
              </w:rPr>
            </w:pPr>
            <w:r w:rsidRPr="00A904E0">
              <w:rPr>
                <w:i/>
                <w:sz w:val="20"/>
              </w:rPr>
              <w:t>N/A</w:t>
            </w:r>
          </w:p>
        </w:tc>
      </w:tr>
      <w:tr w:rsidR="0027384A" w:rsidRPr="0022554A" w14:paraId="31E2421E" w14:textId="77777777" w:rsidTr="00517788">
        <w:tc>
          <w:tcPr>
            <w:tcW w:w="0" w:type="auto"/>
            <w:vMerge w:val="restart"/>
          </w:tcPr>
          <w:p w14:paraId="31E24219" w14:textId="77777777" w:rsidR="0027384A" w:rsidRPr="0022554A" w:rsidRDefault="0027384A" w:rsidP="0027384A">
            <w:pPr>
              <w:tabs>
                <w:tab w:val="left" w:pos="5400"/>
              </w:tabs>
              <w:rPr>
                <w:bCs/>
                <w:sz w:val="20"/>
              </w:rPr>
            </w:pPr>
            <w:bookmarkStart w:id="78" w:name="italic40" w:colFirst="0" w:colLast="0"/>
            <w:bookmarkStart w:id="79" w:name="bold41" w:colFirst="0" w:colLast="0"/>
            <w:r w:rsidRPr="0022554A">
              <w:rPr>
                <w:bCs/>
                <w:sz w:val="20"/>
              </w:rPr>
              <w:t>Main results</w:t>
            </w:r>
          </w:p>
        </w:tc>
        <w:tc>
          <w:tcPr>
            <w:tcW w:w="0" w:type="auto"/>
            <w:vMerge w:val="restart"/>
          </w:tcPr>
          <w:p w14:paraId="31E2421A" w14:textId="77777777" w:rsidR="0027384A" w:rsidRPr="0022554A" w:rsidRDefault="0027384A" w:rsidP="0027384A">
            <w:pPr>
              <w:tabs>
                <w:tab w:val="left" w:pos="5400"/>
              </w:tabs>
              <w:jc w:val="center"/>
              <w:rPr>
                <w:sz w:val="20"/>
              </w:rPr>
            </w:pPr>
            <w:r w:rsidRPr="0022554A">
              <w:rPr>
                <w:sz w:val="20"/>
              </w:rPr>
              <w:t>16</w:t>
            </w:r>
          </w:p>
        </w:tc>
        <w:tc>
          <w:tcPr>
            <w:tcW w:w="8328" w:type="dxa"/>
          </w:tcPr>
          <w:p w14:paraId="31E2421B" w14:textId="77777777" w:rsidR="0027384A" w:rsidRPr="006149D3" w:rsidRDefault="0027384A" w:rsidP="0027384A">
            <w:pPr>
              <w:tabs>
                <w:tab w:val="left" w:pos="5400"/>
              </w:tabs>
              <w:rPr>
                <w:sz w:val="20"/>
              </w:rPr>
            </w:pPr>
            <w:r w:rsidRPr="00880CAE">
              <w:rPr>
                <w:sz w:val="20"/>
              </w:rPr>
              <w:t>(</w:t>
            </w:r>
            <w:r w:rsidRPr="00880CAE">
              <w:rPr>
                <w:i/>
                <w:sz w:val="20"/>
              </w:rPr>
              <w:t>a</w:t>
            </w:r>
            <w:r w:rsidRPr="00880CAE">
              <w:rPr>
                <w:sz w:val="20"/>
              </w:rPr>
              <w:t>) Give unadjusted estimates and, if applicable, confounder-adjusted estimates and their precision (eg, 95% confidence interval). Make clear which confounders were adjusted for and why they were included</w:t>
            </w:r>
          </w:p>
        </w:tc>
        <w:tc>
          <w:tcPr>
            <w:tcW w:w="1276" w:type="dxa"/>
          </w:tcPr>
          <w:p w14:paraId="31E2421C" w14:textId="66F3ABC9" w:rsidR="0027384A" w:rsidRPr="0022554A" w:rsidRDefault="001B1669" w:rsidP="0027384A">
            <w:pPr>
              <w:tabs>
                <w:tab w:val="left" w:pos="5400"/>
              </w:tabs>
              <w:rPr>
                <w:sz w:val="20"/>
                <w:lang w:eastAsia="zh-CN"/>
              </w:rPr>
            </w:pPr>
            <w:r>
              <w:rPr>
                <w:rFonts w:hint="eastAsia"/>
                <w:sz w:val="20"/>
                <w:lang w:eastAsia="zh-CN"/>
              </w:rPr>
              <w:t>5-</w:t>
            </w:r>
            <w:r>
              <w:rPr>
                <w:sz w:val="20"/>
                <w:lang w:eastAsia="zh-CN"/>
              </w:rPr>
              <w:t>6</w:t>
            </w:r>
          </w:p>
        </w:tc>
        <w:tc>
          <w:tcPr>
            <w:tcW w:w="3118" w:type="dxa"/>
          </w:tcPr>
          <w:p w14:paraId="31E2421D" w14:textId="0482487F" w:rsidR="0027384A" w:rsidRPr="0022554A" w:rsidRDefault="00C718D0" w:rsidP="0027384A">
            <w:pPr>
              <w:tabs>
                <w:tab w:val="left" w:pos="5400"/>
              </w:tabs>
              <w:rPr>
                <w:sz w:val="20"/>
              </w:rPr>
            </w:pPr>
            <w:r w:rsidRPr="00C718D0">
              <w:rPr>
                <w:sz w:val="20"/>
              </w:rPr>
              <w:t>Table3-Table5</w:t>
            </w:r>
          </w:p>
        </w:tc>
      </w:tr>
      <w:tr w:rsidR="0027384A" w:rsidRPr="0022554A" w14:paraId="31E24224" w14:textId="77777777" w:rsidTr="00517788">
        <w:tc>
          <w:tcPr>
            <w:tcW w:w="0" w:type="auto"/>
            <w:vMerge/>
          </w:tcPr>
          <w:p w14:paraId="31E2421F" w14:textId="77777777" w:rsidR="0027384A" w:rsidRPr="0022554A" w:rsidRDefault="0027384A" w:rsidP="0027384A">
            <w:pPr>
              <w:tabs>
                <w:tab w:val="left" w:pos="5400"/>
              </w:tabs>
              <w:rPr>
                <w:bCs/>
                <w:sz w:val="20"/>
              </w:rPr>
            </w:pPr>
            <w:bookmarkStart w:id="80" w:name="italic41" w:colFirst="0" w:colLast="0"/>
            <w:bookmarkStart w:id="81" w:name="bold42" w:colFirst="0" w:colLast="0"/>
            <w:bookmarkEnd w:id="78"/>
            <w:bookmarkEnd w:id="79"/>
          </w:p>
        </w:tc>
        <w:tc>
          <w:tcPr>
            <w:tcW w:w="0" w:type="auto"/>
            <w:vMerge/>
          </w:tcPr>
          <w:p w14:paraId="31E24220" w14:textId="77777777" w:rsidR="0027384A" w:rsidRPr="0022554A" w:rsidRDefault="0027384A" w:rsidP="0027384A">
            <w:pPr>
              <w:tabs>
                <w:tab w:val="left" w:pos="5400"/>
              </w:tabs>
              <w:jc w:val="center"/>
              <w:rPr>
                <w:sz w:val="20"/>
              </w:rPr>
            </w:pPr>
          </w:p>
        </w:tc>
        <w:tc>
          <w:tcPr>
            <w:tcW w:w="8328" w:type="dxa"/>
          </w:tcPr>
          <w:p w14:paraId="31E24221" w14:textId="77777777" w:rsidR="0027384A" w:rsidRPr="00451AA4" w:rsidRDefault="0027384A" w:rsidP="0027384A">
            <w:pPr>
              <w:tabs>
                <w:tab w:val="left" w:pos="5400"/>
              </w:tabs>
              <w:rPr>
                <w:sz w:val="20"/>
              </w:rPr>
            </w:pPr>
            <w:r w:rsidRPr="00451AA4">
              <w:rPr>
                <w:sz w:val="20"/>
              </w:rPr>
              <w:t>(</w:t>
            </w:r>
            <w:r w:rsidRPr="00451AA4">
              <w:rPr>
                <w:i/>
                <w:sz w:val="20"/>
              </w:rPr>
              <w:t>b</w:t>
            </w:r>
            <w:r w:rsidRPr="00451AA4">
              <w:rPr>
                <w:sz w:val="20"/>
              </w:rPr>
              <w:t>) Report category boundaries when continuous variables were categorized</w:t>
            </w:r>
          </w:p>
        </w:tc>
        <w:tc>
          <w:tcPr>
            <w:tcW w:w="1276" w:type="dxa"/>
          </w:tcPr>
          <w:p w14:paraId="31E24222" w14:textId="41673B2E" w:rsidR="0027384A" w:rsidRPr="0022554A" w:rsidRDefault="0027384A" w:rsidP="0027384A">
            <w:pPr>
              <w:tabs>
                <w:tab w:val="left" w:pos="5400"/>
              </w:tabs>
              <w:rPr>
                <w:sz w:val="20"/>
                <w:lang w:eastAsia="zh-CN"/>
              </w:rPr>
            </w:pPr>
            <w:r>
              <w:rPr>
                <w:rFonts w:hint="eastAsia"/>
                <w:sz w:val="20"/>
                <w:lang w:eastAsia="zh-CN"/>
              </w:rPr>
              <w:t>5</w:t>
            </w:r>
          </w:p>
        </w:tc>
        <w:tc>
          <w:tcPr>
            <w:tcW w:w="3118" w:type="dxa"/>
          </w:tcPr>
          <w:p w14:paraId="31E24223" w14:textId="25FE23AF" w:rsidR="0027384A" w:rsidRPr="0022554A" w:rsidRDefault="002074BD" w:rsidP="0027384A">
            <w:pPr>
              <w:tabs>
                <w:tab w:val="left" w:pos="5400"/>
              </w:tabs>
              <w:rPr>
                <w:sz w:val="20"/>
              </w:rPr>
            </w:pPr>
            <w:r>
              <w:rPr>
                <w:rFonts w:hint="eastAsia"/>
                <w:sz w:val="20"/>
                <w:lang w:eastAsia="zh-CN"/>
              </w:rPr>
              <w:t>Table</w:t>
            </w:r>
            <w:r>
              <w:rPr>
                <w:sz w:val="20"/>
              </w:rPr>
              <w:t xml:space="preserve"> 2</w:t>
            </w:r>
          </w:p>
        </w:tc>
      </w:tr>
      <w:tr w:rsidR="0027384A" w:rsidRPr="0022554A" w14:paraId="31E2422A" w14:textId="77777777" w:rsidTr="00517788">
        <w:tc>
          <w:tcPr>
            <w:tcW w:w="0" w:type="auto"/>
            <w:vMerge/>
          </w:tcPr>
          <w:p w14:paraId="31E24225" w14:textId="77777777" w:rsidR="0027384A" w:rsidRPr="0022554A" w:rsidRDefault="0027384A" w:rsidP="0027384A">
            <w:pPr>
              <w:tabs>
                <w:tab w:val="left" w:pos="5400"/>
              </w:tabs>
              <w:rPr>
                <w:bCs/>
                <w:sz w:val="20"/>
              </w:rPr>
            </w:pPr>
            <w:bookmarkStart w:id="82" w:name="italic42" w:colFirst="0" w:colLast="0"/>
            <w:bookmarkStart w:id="83" w:name="bold43" w:colFirst="0" w:colLast="0"/>
            <w:bookmarkEnd w:id="80"/>
            <w:bookmarkEnd w:id="81"/>
          </w:p>
        </w:tc>
        <w:tc>
          <w:tcPr>
            <w:tcW w:w="0" w:type="auto"/>
            <w:vMerge/>
          </w:tcPr>
          <w:p w14:paraId="31E24226" w14:textId="77777777" w:rsidR="0027384A" w:rsidRPr="0022554A" w:rsidRDefault="0027384A" w:rsidP="0027384A">
            <w:pPr>
              <w:tabs>
                <w:tab w:val="left" w:pos="5400"/>
              </w:tabs>
              <w:jc w:val="center"/>
              <w:rPr>
                <w:sz w:val="20"/>
              </w:rPr>
            </w:pPr>
          </w:p>
        </w:tc>
        <w:tc>
          <w:tcPr>
            <w:tcW w:w="8328" w:type="dxa"/>
          </w:tcPr>
          <w:p w14:paraId="31E24227" w14:textId="77777777" w:rsidR="0027384A" w:rsidRPr="006149D3" w:rsidRDefault="0027384A" w:rsidP="0027384A">
            <w:pPr>
              <w:tabs>
                <w:tab w:val="left" w:pos="5400"/>
              </w:tabs>
              <w:rPr>
                <w:sz w:val="20"/>
              </w:rPr>
            </w:pPr>
            <w:r w:rsidRPr="0022554A">
              <w:rPr>
                <w:sz w:val="20"/>
              </w:rPr>
              <w:t>(</w:t>
            </w:r>
            <w:bookmarkStart w:id="84" w:name="OLE_LINK1"/>
            <w:r w:rsidRPr="00451AA4">
              <w:rPr>
                <w:i/>
                <w:sz w:val="20"/>
              </w:rPr>
              <w:t>c</w:t>
            </w:r>
            <w:r w:rsidRPr="00451AA4">
              <w:rPr>
                <w:sz w:val="20"/>
              </w:rPr>
              <w:t>) If relevant, consider translating estimates of relative risk into absolute risk for a meaningful time period</w:t>
            </w:r>
            <w:bookmarkEnd w:id="84"/>
          </w:p>
        </w:tc>
        <w:tc>
          <w:tcPr>
            <w:tcW w:w="1276" w:type="dxa"/>
          </w:tcPr>
          <w:p w14:paraId="31E24228" w14:textId="4A648982" w:rsidR="0027384A" w:rsidRPr="0022554A" w:rsidRDefault="00C23DA8" w:rsidP="0027384A">
            <w:pPr>
              <w:tabs>
                <w:tab w:val="left" w:pos="5400"/>
              </w:tabs>
              <w:rPr>
                <w:sz w:val="20"/>
                <w:lang w:eastAsia="zh-CN"/>
              </w:rPr>
            </w:pPr>
            <w:r>
              <w:rPr>
                <w:rFonts w:hint="eastAsia"/>
                <w:sz w:val="20"/>
                <w:lang w:eastAsia="zh-CN"/>
              </w:rPr>
              <w:t>5</w:t>
            </w:r>
            <w:r w:rsidR="00DF33DB">
              <w:rPr>
                <w:rFonts w:hint="eastAsia"/>
                <w:sz w:val="20"/>
                <w:lang w:eastAsia="zh-CN"/>
              </w:rPr>
              <w:t>-</w:t>
            </w:r>
            <w:r w:rsidR="00DF33DB">
              <w:rPr>
                <w:sz w:val="20"/>
                <w:lang w:eastAsia="zh-CN"/>
              </w:rPr>
              <w:t>6</w:t>
            </w:r>
          </w:p>
        </w:tc>
        <w:tc>
          <w:tcPr>
            <w:tcW w:w="3118" w:type="dxa"/>
          </w:tcPr>
          <w:p w14:paraId="31E24229" w14:textId="2471A647" w:rsidR="0027384A" w:rsidRPr="0022554A" w:rsidRDefault="00304FB1" w:rsidP="0027384A">
            <w:pPr>
              <w:tabs>
                <w:tab w:val="left" w:pos="5400"/>
              </w:tabs>
              <w:rPr>
                <w:sz w:val="20"/>
              </w:rPr>
            </w:pPr>
            <w:r w:rsidRPr="00304FB1">
              <w:rPr>
                <w:sz w:val="20"/>
              </w:rPr>
              <w:t>males were 3.329 times more likely to have gastric cancer than females. The over-54 years old age group had a risk of gastric cancer that was 6.342 times that of the under-54 years patients.</w:t>
            </w:r>
            <w:r w:rsidR="006073AD">
              <w:t xml:space="preserve"> </w:t>
            </w:r>
            <w:r w:rsidR="006073AD" w:rsidRPr="006073AD">
              <w:rPr>
                <w:sz w:val="20"/>
              </w:rPr>
              <w:t>the risk of CA125-positive patients being diagnosed with gastric cancer was 16.673 times that of CA125-negative patients</w:t>
            </w:r>
          </w:p>
        </w:tc>
      </w:tr>
    </w:tbl>
    <w:p w14:paraId="31E2422B" w14:textId="17939FBC" w:rsidR="00191A23" w:rsidRDefault="00191A23">
      <w:bookmarkStart w:id="85" w:name="italic43"/>
      <w:bookmarkStart w:id="86" w:name="bold44"/>
      <w:bookmarkEnd w:id="82"/>
      <w:bookmarkEnd w:id="83"/>
      <w:r w:rsidRPr="004A32C8">
        <w:rPr>
          <w:sz w:val="16"/>
          <w:szCs w:val="16"/>
        </w:rPr>
        <w:t>Continued on next page</w:t>
      </w:r>
      <w:r>
        <w:t xml:space="preserve"> </w:t>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1E24231" w14:textId="77777777" w:rsidTr="00517788">
        <w:tc>
          <w:tcPr>
            <w:tcW w:w="0" w:type="auto"/>
          </w:tcPr>
          <w:p w14:paraId="31E2422C" w14:textId="77777777" w:rsidR="00191A23" w:rsidRPr="0022554A" w:rsidRDefault="00191A23" w:rsidP="00191A23">
            <w:pPr>
              <w:tabs>
                <w:tab w:val="left" w:pos="5400"/>
              </w:tabs>
              <w:rPr>
                <w:bCs/>
                <w:sz w:val="20"/>
              </w:rPr>
            </w:pPr>
            <w:r w:rsidRPr="0022554A">
              <w:rPr>
                <w:bCs/>
                <w:sz w:val="20"/>
              </w:rPr>
              <w:t>Other analyses</w:t>
            </w:r>
            <w:bookmarkEnd w:id="85"/>
            <w:bookmarkEnd w:id="86"/>
          </w:p>
        </w:tc>
        <w:tc>
          <w:tcPr>
            <w:tcW w:w="0" w:type="auto"/>
          </w:tcPr>
          <w:p w14:paraId="31E2422D" w14:textId="77777777" w:rsidR="00191A23" w:rsidRPr="0022554A" w:rsidRDefault="00191A23" w:rsidP="00191A23">
            <w:pPr>
              <w:tabs>
                <w:tab w:val="left" w:pos="5400"/>
              </w:tabs>
              <w:jc w:val="center"/>
              <w:rPr>
                <w:sz w:val="20"/>
              </w:rPr>
            </w:pPr>
            <w:r w:rsidRPr="0022554A">
              <w:rPr>
                <w:sz w:val="20"/>
              </w:rPr>
              <w:t>17</w:t>
            </w:r>
          </w:p>
        </w:tc>
        <w:tc>
          <w:tcPr>
            <w:tcW w:w="8687" w:type="dxa"/>
          </w:tcPr>
          <w:p w14:paraId="31E2422E"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31E2422F" w14:textId="53F4D1A0" w:rsidR="00191A23" w:rsidRPr="0022554A" w:rsidRDefault="004C4B71" w:rsidP="00191A23">
            <w:pPr>
              <w:tabs>
                <w:tab w:val="left" w:pos="5400"/>
              </w:tabs>
              <w:rPr>
                <w:sz w:val="20"/>
                <w:lang w:eastAsia="zh-CN"/>
              </w:rPr>
            </w:pPr>
            <w:r>
              <w:rPr>
                <w:rFonts w:hint="eastAsia"/>
                <w:sz w:val="20"/>
                <w:lang w:eastAsia="zh-CN"/>
              </w:rPr>
              <w:t>5-</w:t>
            </w:r>
            <w:r>
              <w:rPr>
                <w:sz w:val="20"/>
                <w:lang w:eastAsia="zh-CN"/>
              </w:rPr>
              <w:t>6</w:t>
            </w:r>
          </w:p>
        </w:tc>
        <w:tc>
          <w:tcPr>
            <w:tcW w:w="3129" w:type="dxa"/>
          </w:tcPr>
          <w:p w14:paraId="31E24230" w14:textId="4A3DFB46" w:rsidR="00191A23" w:rsidRPr="0022554A" w:rsidRDefault="00E85246" w:rsidP="00191A23">
            <w:pPr>
              <w:tabs>
                <w:tab w:val="left" w:pos="5400"/>
              </w:tabs>
              <w:rPr>
                <w:sz w:val="20"/>
              </w:rPr>
            </w:pPr>
            <w:r w:rsidRPr="00E85246">
              <w:rPr>
                <w:sz w:val="20"/>
              </w:rPr>
              <w:t>Sensitivity, specificity, and accuracy of single and combined tumor markers</w:t>
            </w:r>
          </w:p>
        </w:tc>
      </w:tr>
      <w:tr w:rsidR="00976EE1" w:rsidRPr="0022554A" w14:paraId="31E24233" w14:textId="77777777" w:rsidTr="00191A23">
        <w:tc>
          <w:tcPr>
            <w:tcW w:w="14992" w:type="dxa"/>
            <w:gridSpan w:val="5"/>
          </w:tcPr>
          <w:p w14:paraId="31E24232" w14:textId="77777777" w:rsidR="00976EE1" w:rsidRPr="0022554A" w:rsidRDefault="00976EE1" w:rsidP="00191A23">
            <w:pPr>
              <w:pStyle w:val="TableSubHead"/>
              <w:tabs>
                <w:tab w:val="left" w:pos="5400"/>
              </w:tabs>
              <w:rPr>
                <w:sz w:val="20"/>
              </w:rPr>
            </w:pPr>
            <w:bookmarkStart w:id="87" w:name="italic44"/>
            <w:bookmarkStart w:id="88" w:name="bold45"/>
            <w:r w:rsidRPr="0022554A">
              <w:rPr>
                <w:sz w:val="20"/>
              </w:rPr>
              <w:t>Discussion</w:t>
            </w:r>
            <w:bookmarkEnd w:id="87"/>
            <w:bookmarkEnd w:id="88"/>
          </w:p>
        </w:tc>
      </w:tr>
      <w:tr w:rsidR="00191A23" w:rsidRPr="0022554A" w14:paraId="31E24239" w14:textId="77777777" w:rsidTr="00517788">
        <w:tc>
          <w:tcPr>
            <w:tcW w:w="0" w:type="auto"/>
          </w:tcPr>
          <w:p w14:paraId="31E24234" w14:textId="77777777" w:rsidR="00191A23" w:rsidRPr="0022554A" w:rsidRDefault="00191A23" w:rsidP="00191A23">
            <w:pPr>
              <w:tabs>
                <w:tab w:val="left" w:pos="5400"/>
              </w:tabs>
              <w:rPr>
                <w:bCs/>
                <w:sz w:val="20"/>
              </w:rPr>
            </w:pPr>
            <w:bookmarkStart w:id="89" w:name="italic45" w:colFirst="0" w:colLast="0"/>
            <w:bookmarkStart w:id="90" w:name="bold46" w:colFirst="0" w:colLast="0"/>
            <w:r w:rsidRPr="0022554A">
              <w:rPr>
                <w:bCs/>
                <w:sz w:val="20"/>
              </w:rPr>
              <w:t>Key results</w:t>
            </w:r>
          </w:p>
        </w:tc>
        <w:tc>
          <w:tcPr>
            <w:tcW w:w="0" w:type="auto"/>
          </w:tcPr>
          <w:p w14:paraId="31E24235" w14:textId="77777777" w:rsidR="00191A23" w:rsidRPr="0022554A" w:rsidRDefault="00191A23" w:rsidP="00191A23">
            <w:pPr>
              <w:tabs>
                <w:tab w:val="left" w:pos="5400"/>
              </w:tabs>
              <w:jc w:val="center"/>
              <w:rPr>
                <w:sz w:val="20"/>
              </w:rPr>
            </w:pPr>
            <w:r w:rsidRPr="0022554A">
              <w:rPr>
                <w:sz w:val="20"/>
              </w:rPr>
              <w:t>18</w:t>
            </w:r>
          </w:p>
        </w:tc>
        <w:tc>
          <w:tcPr>
            <w:tcW w:w="8687" w:type="dxa"/>
          </w:tcPr>
          <w:p w14:paraId="31E24236"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31E24237" w14:textId="07386033" w:rsidR="00191A23" w:rsidRPr="0022554A" w:rsidRDefault="00DB585B" w:rsidP="00191A23">
            <w:pPr>
              <w:tabs>
                <w:tab w:val="left" w:pos="5400"/>
              </w:tabs>
              <w:rPr>
                <w:sz w:val="20"/>
                <w:lang w:eastAsia="zh-CN"/>
              </w:rPr>
            </w:pPr>
            <w:r>
              <w:rPr>
                <w:rFonts w:hint="eastAsia"/>
                <w:sz w:val="20"/>
                <w:lang w:eastAsia="zh-CN"/>
              </w:rPr>
              <w:t>9</w:t>
            </w:r>
          </w:p>
        </w:tc>
        <w:tc>
          <w:tcPr>
            <w:tcW w:w="3129" w:type="dxa"/>
          </w:tcPr>
          <w:p w14:paraId="31E24238" w14:textId="65282AC1" w:rsidR="00191A23" w:rsidRPr="0022554A" w:rsidRDefault="00C1269A" w:rsidP="00191A23">
            <w:pPr>
              <w:tabs>
                <w:tab w:val="left" w:pos="5400"/>
              </w:tabs>
              <w:rPr>
                <w:sz w:val="20"/>
              </w:rPr>
            </w:pPr>
            <w:r w:rsidRPr="00C1269A">
              <w:rPr>
                <w:sz w:val="20"/>
              </w:rPr>
              <w:t xml:space="preserve">gastric cancer is associated with age, gender, and the positive levels of AFP, CEA, CA125, CA199, and CA242. The positive levels of AFP and CA125 are related to the distant metastasis of gastric cancer. Combined detection based on </w:t>
            </w:r>
            <w:r w:rsidRPr="00C1269A">
              <w:rPr>
                <w:sz w:val="20"/>
              </w:rPr>
              <w:lastRenderedPageBreak/>
              <w:t>logistic regression analysis can be used for initial screening of gastric cancer to a certain extent</w:t>
            </w:r>
          </w:p>
        </w:tc>
      </w:tr>
      <w:tr w:rsidR="00191A23" w:rsidRPr="0022554A" w14:paraId="31E2423F" w14:textId="77777777" w:rsidTr="00517788">
        <w:tc>
          <w:tcPr>
            <w:tcW w:w="0" w:type="auto"/>
          </w:tcPr>
          <w:p w14:paraId="31E2423A" w14:textId="77777777" w:rsidR="00191A23" w:rsidRPr="0022554A" w:rsidRDefault="00191A23" w:rsidP="00191A23">
            <w:pPr>
              <w:tabs>
                <w:tab w:val="left" w:pos="5400"/>
              </w:tabs>
              <w:rPr>
                <w:bCs/>
                <w:sz w:val="20"/>
              </w:rPr>
            </w:pPr>
            <w:bookmarkStart w:id="91" w:name="italic46" w:colFirst="0" w:colLast="0"/>
            <w:bookmarkStart w:id="92" w:name="bold47" w:colFirst="0" w:colLast="0"/>
            <w:bookmarkEnd w:id="89"/>
            <w:bookmarkEnd w:id="90"/>
            <w:r w:rsidRPr="0022554A">
              <w:rPr>
                <w:bCs/>
                <w:sz w:val="20"/>
              </w:rPr>
              <w:lastRenderedPageBreak/>
              <w:t>Limitations</w:t>
            </w:r>
          </w:p>
        </w:tc>
        <w:tc>
          <w:tcPr>
            <w:tcW w:w="0" w:type="auto"/>
          </w:tcPr>
          <w:p w14:paraId="31E2423B" w14:textId="77777777" w:rsidR="00191A23" w:rsidRPr="0022554A" w:rsidRDefault="00191A23" w:rsidP="00191A23">
            <w:pPr>
              <w:tabs>
                <w:tab w:val="left" w:pos="5400"/>
              </w:tabs>
              <w:jc w:val="center"/>
              <w:rPr>
                <w:sz w:val="20"/>
              </w:rPr>
            </w:pPr>
            <w:r w:rsidRPr="0022554A">
              <w:rPr>
                <w:sz w:val="20"/>
              </w:rPr>
              <w:t>19</w:t>
            </w:r>
          </w:p>
        </w:tc>
        <w:tc>
          <w:tcPr>
            <w:tcW w:w="8687" w:type="dxa"/>
          </w:tcPr>
          <w:p w14:paraId="31E2423C"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31E2423D" w14:textId="557E1930" w:rsidR="00191A23" w:rsidRPr="0022554A" w:rsidRDefault="00F30348" w:rsidP="00191A23">
            <w:pPr>
              <w:tabs>
                <w:tab w:val="left" w:pos="5400"/>
              </w:tabs>
              <w:rPr>
                <w:sz w:val="20"/>
                <w:lang w:eastAsia="zh-CN"/>
              </w:rPr>
            </w:pPr>
            <w:r>
              <w:rPr>
                <w:rFonts w:hint="eastAsia"/>
                <w:sz w:val="20"/>
                <w:lang w:eastAsia="zh-CN"/>
              </w:rPr>
              <w:t>9</w:t>
            </w:r>
          </w:p>
        </w:tc>
        <w:tc>
          <w:tcPr>
            <w:tcW w:w="3129" w:type="dxa"/>
          </w:tcPr>
          <w:p w14:paraId="31E2423E" w14:textId="2E7464B2" w:rsidR="00191A23" w:rsidRPr="0022554A" w:rsidRDefault="0027584B" w:rsidP="00191A23">
            <w:pPr>
              <w:tabs>
                <w:tab w:val="left" w:pos="5400"/>
              </w:tabs>
              <w:rPr>
                <w:sz w:val="20"/>
              </w:rPr>
            </w:pPr>
            <w:r w:rsidRPr="0027584B">
              <w:rPr>
                <w:sz w:val="20"/>
              </w:rPr>
              <w:t>there were a few limitations to our study</w:t>
            </w:r>
          </w:p>
        </w:tc>
      </w:tr>
      <w:tr w:rsidR="00191A23" w:rsidRPr="0022554A" w14:paraId="31E24245" w14:textId="77777777" w:rsidTr="00517788">
        <w:tc>
          <w:tcPr>
            <w:tcW w:w="0" w:type="auto"/>
          </w:tcPr>
          <w:p w14:paraId="31E24240" w14:textId="77777777" w:rsidR="00191A23" w:rsidRPr="0022554A" w:rsidRDefault="00191A23" w:rsidP="00191A23">
            <w:pPr>
              <w:tabs>
                <w:tab w:val="left" w:pos="5400"/>
              </w:tabs>
              <w:rPr>
                <w:bCs/>
                <w:sz w:val="20"/>
              </w:rPr>
            </w:pPr>
            <w:bookmarkStart w:id="93" w:name="italic47" w:colFirst="0" w:colLast="0"/>
            <w:bookmarkStart w:id="94" w:name="bold48" w:colFirst="0" w:colLast="0"/>
            <w:bookmarkEnd w:id="91"/>
            <w:bookmarkEnd w:id="92"/>
            <w:r w:rsidRPr="0022554A">
              <w:rPr>
                <w:bCs/>
                <w:sz w:val="20"/>
              </w:rPr>
              <w:t>Interpretation</w:t>
            </w:r>
          </w:p>
        </w:tc>
        <w:tc>
          <w:tcPr>
            <w:tcW w:w="0" w:type="auto"/>
          </w:tcPr>
          <w:p w14:paraId="31E24241" w14:textId="77777777" w:rsidR="00191A23" w:rsidRPr="0022554A" w:rsidRDefault="00191A23" w:rsidP="00191A23">
            <w:pPr>
              <w:tabs>
                <w:tab w:val="left" w:pos="5400"/>
              </w:tabs>
              <w:jc w:val="center"/>
              <w:rPr>
                <w:sz w:val="20"/>
              </w:rPr>
            </w:pPr>
            <w:r w:rsidRPr="0022554A">
              <w:rPr>
                <w:sz w:val="20"/>
              </w:rPr>
              <w:t>20</w:t>
            </w:r>
          </w:p>
        </w:tc>
        <w:tc>
          <w:tcPr>
            <w:tcW w:w="8687" w:type="dxa"/>
          </w:tcPr>
          <w:p w14:paraId="31E24242"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31E24243" w14:textId="7717C7BC" w:rsidR="00191A23" w:rsidRPr="0022554A" w:rsidRDefault="005C6546" w:rsidP="00191A23">
            <w:pPr>
              <w:tabs>
                <w:tab w:val="left" w:pos="5400"/>
              </w:tabs>
              <w:rPr>
                <w:sz w:val="20"/>
                <w:lang w:eastAsia="zh-CN"/>
              </w:rPr>
            </w:pPr>
            <w:r>
              <w:rPr>
                <w:rFonts w:hint="eastAsia"/>
                <w:sz w:val="20"/>
                <w:lang w:eastAsia="zh-CN"/>
              </w:rPr>
              <w:t>9</w:t>
            </w:r>
          </w:p>
        </w:tc>
        <w:tc>
          <w:tcPr>
            <w:tcW w:w="3129" w:type="dxa"/>
          </w:tcPr>
          <w:p w14:paraId="31E24244" w14:textId="505509C7" w:rsidR="00191A23" w:rsidRPr="0022554A" w:rsidRDefault="00E51F6C" w:rsidP="00191A23">
            <w:pPr>
              <w:tabs>
                <w:tab w:val="left" w:pos="5400"/>
              </w:tabs>
              <w:rPr>
                <w:sz w:val="20"/>
              </w:rPr>
            </w:pPr>
            <w:r w:rsidRPr="00E51F6C">
              <w:rPr>
                <w:sz w:val="20"/>
              </w:rPr>
              <w:t>Combined detection based on logistic regression analysis can be used for initial screening of gastric cancer to a certain extent.</w:t>
            </w:r>
          </w:p>
        </w:tc>
      </w:tr>
      <w:tr w:rsidR="00191A23" w:rsidRPr="0022554A" w14:paraId="31E2424B" w14:textId="77777777" w:rsidTr="00517788">
        <w:tc>
          <w:tcPr>
            <w:tcW w:w="0" w:type="auto"/>
          </w:tcPr>
          <w:p w14:paraId="31E24246" w14:textId="77777777" w:rsidR="00191A23" w:rsidRPr="0022554A" w:rsidRDefault="00191A23" w:rsidP="00191A23">
            <w:pPr>
              <w:tabs>
                <w:tab w:val="left" w:pos="5400"/>
              </w:tabs>
              <w:rPr>
                <w:bCs/>
                <w:sz w:val="20"/>
              </w:rPr>
            </w:pPr>
            <w:bookmarkStart w:id="95" w:name="italic48" w:colFirst="0" w:colLast="0"/>
            <w:bookmarkStart w:id="96" w:name="bold49" w:colFirst="0" w:colLast="0"/>
            <w:bookmarkEnd w:id="93"/>
            <w:bookmarkEnd w:id="94"/>
            <w:r w:rsidRPr="0022554A">
              <w:rPr>
                <w:bCs/>
                <w:sz w:val="20"/>
              </w:rPr>
              <w:t>Generalisability</w:t>
            </w:r>
          </w:p>
        </w:tc>
        <w:tc>
          <w:tcPr>
            <w:tcW w:w="0" w:type="auto"/>
          </w:tcPr>
          <w:p w14:paraId="31E24247" w14:textId="77777777" w:rsidR="00191A23" w:rsidRPr="0022554A" w:rsidRDefault="00191A23" w:rsidP="00191A23">
            <w:pPr>
              <w:tabs>
                <w:tab w:val="left" w:pos="5400"/>
              </w:tabs>
              <w:jc w:val="center"/>
              <w:rPr>
                <w:sz w:val="20"/>
              </w:rPr>
            </w:pPr>
            <w:r w:rsidRPr="0022554A">
              <w:rPr>
                <w:sz w:val="20"/>
              </w:rPr>
              <w:t>21</w:t>
            </w:r>
          </w:p>
        </w:tc>
        <w:tc>
          <w:tcPr>
            <w:tcW w:w="8687" w:type="dxa"/>
          </w:tcPr>
          <w:p w14:paraId="31E24248"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1E24249" w14:textId="3AB8D430" w:rsidR="00191A23" w:rsidRPr="0022554A" w:rsidRDefault="005C6546" w:rsidP="00191A23">
            <w:pPr>
              <w:tabs>
                <w:tab w:val="left" w:pos="5400"/>
              </w:tabs>
              <w:rPr>
                <w:sz w:val="20"/>
                <w:lang w:eastAsia="zh-CN"/>
              </w:rPr>
            </w:pPr>
            <w:r>
              <w:rPr>
                <w:sz w:val="20"/>
                <w:lang w:eastAsia="zh-CN"/>
              </w:rPr>
              <w:t>10</w:t>
            </w:r>
          </w:p>
        </w:tc>
        <w:tc>
          <w:tcPr>
            <w:tcW w:w="3129" w:type="dxa"/>
          </w:tcPr>
          <w:p w14:paraId="31E2424A" w14:textId="27A762B7" w:rsidR="00191A23" w:rsidRPr="0022554A" w:rsidRDefault="00794BE1" w:rsidP="00191A23">
            <w:pPr>
              <w:tabs>
                <w:tab w:val="left" w:pos="5400"/>
              </w:tabs>
              <w:rPr>
                <w:sz w:val="20"/>
              </w:rPr>
            </w:pPr>
            <w:r w:rsidRPr="00794BE1">
              <w:rPr>
                <w:sz w:val="20"/>
              </w:rPr>
              <w:t>To improve the early diagnosis of gastric cancer and to reduce the missed diagnosis rate, higher-risk populations should first be identified through tumor marker detection, then imaging, gastroscopy, and colonoscopy.</w:t>
            </w:r>
          </w:p>
        </w:tc>
      </w:tr>
      <w:tr w:rsidR="00191A23" w:rsidRPr="0022554A" w14:paraId="31E2424E" w14:textId="77777777" w:rsidTr="00517788">
        <w:tc>
          <w:tcPr>
            <w:tcW w:w="1911" w:type="dxa"/>
            <w:gridSpan w:val="2"/>
          </w:tcPr>
          <w:p w14:paraId="31E2424C" w14:textId="77777777" w:rsidR="00191A23" w:rsidRPr="0022554A" w:rsidRDefault="00191A23" w:rsidP="00191A23">
            <w:pPr>
              <w:pStyle w:val="TableSubHead"/>
              <w:tabs>
                <w:tab w:val="left" w:pos="5400"/>
              </w:tabs>
              <w:rPr>
                <w:sz w:val="20"/>
              </w:rPr>
            </w:pPr>
            <w:bookmarkStart w:id="97" w:name="italic49"/>
            <w:bookmarkStart w:id="98" w:name="bold50"/>
            <w:bookmarkEnd w:id="95"/>
            <w:bookmarkEnd w:id="96"/>
            <w:r w:rsidRPr="0022554A">
              <w:rPr>
                <w:sz w:val="20"/>
              </w:rPr>
              <w:t>Other information</w:t>
            </w:r>
          </w:p>
        </w:tc>
        <w:bookmarkEnd w:id="97"/>
        <w:bookmarkEnd w:id="98"/>
        <w:tc>
          <w:tcPr>
            <w:tcW w:w="13081" w:type="dxa"/>
            <w:gridSpan w:val="3"/>
          </w:tcPr>
          <w:p w14:paraId="31E2424D" w14:textId="77777777" w:rsidR="00191A23" w:rsidRPr="0022554A" w:rsidRDefault="00191A23" w:rsidP="00191A23">
            <w:pPr>
              <w:pStyle w:val="TableSubHead"/>
              <w:tabs>
                <w:tab w:val="left" w:pos="5400"/>
              </w:tabs>
              <w:rPr>
                <w:sz w:val="20"/>
              </w:rPr>
            </w:pPr>
          </w:p>
        </w:tc>
      </w:tr>
      <w:tr w:rsidR="00191A23" w:rsidRPr="0022554A" w14:paraId="31E24254" w14:textId="77777777" w:rsidTr="00517788">
        <w:tc>
          <w:tcPr>
            <w:tcW w:w="0" w:type="auto"/>
          </w:tcPr>
          <w:p w14:paraId="31E2424F" w14:textId="77777777" w:rsidR="00191A23" w:rsidRPr="0022554A" w:rsidRDefault="00191A23" w:rsidP="00191A23">
            <w:pPr>
              <w:tabs>
                <w:tab w:val="left" w:pos="5400"/>
              </w:tabs>
              <w:rPr>
                <w:bCs/>
                <w:sz w:val="20"/>
              </w:rPr>
            </w:pPr>
            <w:bookmarkStart w:id="99" w:name="italic50" w:colFirst="0" w:colLast="0"/>
            <w:bookmarkStart w:id="100" w:name="bold51" w:colFirst="0" w:colLast="0"/>
            <w:r w:rsidRPr="0022554A">
              <w:rPr>
                <w:bCs/>
                <w:sz w:val="20"/>
              </w:rPr>
              <w:t>Funding</w:t>
            </w:r>
          </w:p>
        </w:tc>
        <w:tc>
          <w:tcPr>
            <w:tcW w:w="0" w:type="auto"/>
          </w:tcPr>
          <w:p w14:paraId="31E24250" w14:textId="77777777" w:rsidR="00191A23" w:rsidRPr="0022554A" w:rsidRDefault="00191A23" w:rsidP="00191A23">
            <w:pPr>
              <w:tabs>
                <w:tab w:val="left" w:pos="5400"/>
              </w:tabs>
              <w:jc w:val="center"/>
              <w:rPr>
                <w:sz w:val="20"/>
              </w:rPr>
            </w:pPr>
            <w:r w:rsidRPr="0022554A">
              <w:rPr>
                <w:sz w:val="20"/>
              </w:rPr>
              <w:t>22</w:t>
            </w:r>
          </w:p>
        </w:tc>
        <w:tc>
          <w:tcPr>
            <w:tcW w:w="8687" w:type="dxa"/>
          </w:tcPr>
          <w:p w14:paraId="31E24251"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31E24252" w14:textId="421D00FC" w:rsidR="00191A23" w:rsidRPr="0022554A" w:rsidRDefault="00A904E0" w:rsidP="00191A23">
            <w:pPr>
              <w:tabs>
                <w:tab w:val="left" w:pos="5400"/>
              </w:tabs>
              <w:rPr>
                <w:sz w:val="20"/>
                <w:lang w:eastAsia="zh-CN"/>
              </w:rPr>
            </w:pPr>
            <w:r w:rsidRPr="00A904E0">
              <w:rPr>
                <w:sz w:val="20"/>
                <w:lang w:eastAsia="zh-CN"/>
              </w:rPr>
              <w:t>N/A</w:t>
            </w:r>
          </w:p>
        </w:tc>
        <w:tc>
          <w:tcPr>
            <w:tcW w:w="3129" w:type="dxa"/>
          </w:tcPr>
          <w:p w14:paraId="31E24253" w14:textId="5EB7ACB3" w:rsidR="00191A23" w:rsidRPr="0022554A" w:rsidRDefault="006F44D4" w:rsidP="00191A23">
            <w:pPr>
              <w:tabs>
                <w:tab w:val="left" w:pos="5400"/>
              </w:tabs>
              <w:rPr>
                <w:sz w:val="20"/>
              </w:rPr>
            </w:pPr>
            <w:r>
              <w:rPr>
                <w:rFonts w:hint="eastAsia"/>
                <w:sz w:val="20"/>
                <w:lang w:eastAsia="zh-CN"/>
              </w:rPr>
              <w:t>N/A</w:t>
            </w:r>
          </w:p>
        </w:tc>
      </w:tr>
      <w:bookmarkEnd w:id="99"/>
      <w:bookmarkEnd w:id="100"/>
    </w:tbl>
    <w:p w14:paraId="31E24255" w14:textId="77777777" w:rsidR="002602FB" w:rsidRDefault="002602FB" w:rsidP="0022554A">
      <w:pPr>
        <w:pStyle w:val="TableNote"/>
        <w:tabs>
          <w:tab w:val="left" w:pos="5400"/>
        </w:tabs>
        <w:rPr>
          <w:bCs/>
          <w:sz w:val="20"/>
        </w:rPr>
      </w:pPr>
    </w:p>
    <w:p w14:paraId="31E2425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31E24257" w14:textId="77777777" w:rsidR="00AE2C57" w:rsidRDefault="00AE2C57" w:rsidP="0022554A">
      <w:pPr>
        <w:pStyle w:val="TableNote"/>
        <w:tabs>
          <w:tab w:val="left" w:pos="5400"/>
        </w:tabs>
        <w:rPr>
          <w:sz w:val="20"/>
        </w:rPr>
      </w:pPr>
    </w:p>
    <w:p w14:paraId="31E2425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65EE" w14:textId="77777777" w:rsidR="00E65123" w:rsidRDefault="00E65123">
      <w:r>
        <w:separator/>
      </w:r>
    </w:p>
  </w:endnote>
  <w:endnote w:type="continuationSeparator" w:id="0">
    <w:p w14:paraId="01846AE0" w14:textId="77777777" w:rsidR="00E65123" w:rsidRDefault="00E6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425D"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2425E"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425F"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31E24260"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FEC2" w14:textId="77777777" w:rsidR="00E65123" w:rsidRDefault="00E65123">
      <w:r>
        <w:separator/>
      </w:r>
    </w:p>
  </w:footnote>
  <w:footnote w:type="continuationSeparator" w:id="0">
    <w:p w14:paraId="5A4E5D66" w14:textId="77777777" w:rsidR="00E65123" w:rsidRDefault="00E6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0731310">
    <w:abstractNumId w:val="20"/>
  </w:num>
  <w:num w:numId="2" w16cid:durableId="2072460141">
    <w:abstractNumId w:val="11"/>
  </w:num>
  <w:num w:numId="3" w16cid:durableId="2101483647">
    <w:abstractNumId w:val="18"/>
  </w:num>
  <w:num w:numId="4" w16cid:durableId="776218926">
    <w:abstractNumId w:val="16"/>
  </w:num>
  <w:num w:numId="5" w16cid:durableId="1980719167">
    <w:abstractNumId w:val="15"/>
  </w:num>
  <w:num w:numId="6" w16cid:durableId="1907185090">
    <w:abstractNumId w:val="19"/>
  </w:num>
  <w:num w:numId="7" w16cid:durableId="566962862">
    <w:abstractNumId w:val="10"/>
  </w:num>
  <w:num w:numId="8" w16cid:durableId="2061704366">
    <w:abstractNumId w:val="13"/>
  </w:num>
  <w:num w:numId="9" w16cid:durableId="1342318881">
    <w:abstractNumId w:val="9"/>
  </w:num>
  <w:num w:numId="10" w16cid:durableId="111940568">
    <w:abstractNumId w:val="14"/>
  </w:num>
  <w:num w:numId="11" w16cid:durableId="2132287677">
    <w:abstractNumId w:val="7"/>
  </w:num>
  <w:num w:numId="12" w16cid:durableId="167445787">
    <w:abstractNumId w:val="6"/>
  </w:num>
  <w:num w:numId="13" w16cid:durableId="1569337093">
    <w:abstractNumId w:val="5"/>
  </w:num>
  <w:num w:numId="14" w16cid:durableId="789981435">
    <w:abstractNumId w:val="4"/>
  </w:num>
  <w:num w:numId="15" w16cid:durableId="1388722450">
    <w:abstractNumId w:val="8"/>
  </w:num>
  <w:num w:numId="16" w16cid:durableId="1553807917">
    <w:abstractNumId w:val="3"/>
  </w:num>
  <w:num w:numId="17" w16cid:durableId="740834317">
    <w:abstractNumId w:val="2"/>
  </w:num>
  <w:num w:numId="18" w16cid:durableId="509836529">
    <w:abstractNumId w:val="1"/>
  </w:num>
  <w:num w:numId="19" w16cid:durableId="605356370">
    <w:abstractNumId w:val="0"/>
  </w:num>
  <w:num w:numId="20" w16cid:durableId="139885441">
    <w:abstractNumId w:val="12"/>
  </w:num>
  <w:num w:numId="21" w16cid:durableId="1224946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113C0"/>
    <w:rsid w:val="00023515"/>
    <w:rsid w:val="00040310"/>
    <w:rsid w:val="00042A9C"/>
    <w:rsid w:val="00071746"/>
    <w:rsid w:val="00074E42"/>
    <w:rsid w:val="00093E3A"/>
    <w:rsid w:val="000A5535"/>
    <w:rsid w:val="000B6FD4"/>
    <w:rsid w:val="000D5F34"/>
    <w:rsid w:val="000E3193"/>
    <w:rsid w:val="000E6471"/>
    <w:rsid w:val="000E691B"/>
    <w:rsid w:val="000F26ED"/>
    <w:rsid w:val="00110BFB"/>
    <w:rsid w:val="00134AAC"/>
    <w:rsid w:val="00140CCA"/>
    <w:rsid w:val="0017213B"/>
    <w:rsid w:val="001759FA"/>
    <w:rsid w:val="001866DB"/>
    <w:rsid w:val="00191A23"/>
    <w:rsid w:val="001957E1"/>
    <w:rsid w:val="00195E8D"/>
    <w:rsid w:val="001A495C"/>
    <w:rsid w:val="001A75E9"/>
    <w:rsid w:val="001A7CBB"/>
    <w:rsid w:val="001B1669"/>
    <w:rsid w:val="001C1509"/>
    <w:rsid w:val="001C2DB3"/>
    <w:rsid w:val="001D116F"/>
    <w:rsid w:val="001D1FBA"/>
    <w:rsid w:val="001E02AD"/>
    <w:rsid w:val="001E25E3"/>
    <w:rsid w:val="001E778C"/>
    <w:rsid w:val="001F086E"/>
    <w:rsid w:val="002074BD"/>
    <w:rsid w:val="00207D66"/>
    <w:rsid w:val="0021265E"/>
    <w:rsid w:val="00213706"/>
    <w:rsid w:val="00215E03"/>
    <w:rsid w:val="00224268"/>
    <w:rsid w:val="0022554A"/>
    <w:rsid w:val="00226A29"/>
    <w:rsid w:val="002552FD"/>
    <w:rsid w:val="002602FB"/>
    <w:rsid w:val="0027384A"/>
    <w:rsid w:val="0027584B"/>
    <w:rsid w:val="00296804"/>
    <w:rsid w:val="002B385C"/>
    <w:rsid w:val="002C731D"/>
    <w:rsid w:val="002D06D0"/>
    <w:rsid w:val="002D1ABE"/>
    <w:rsid w:val="002D7420"/>
    <w:rsid w:val="002F1A87"/>
    <w:rsid w:val="002F4B3F"/>
    <w:rsid w:val="00304FB1"/>
    <w:rsid w:val="0031120A"/>
    <w:rsid w:val="003161A9"/>
    <w:rsid w:val="003354B7"/>
    <w:rsid w:val="003468CE"/>
    <w:rsid w:val="003508EF"/>
    <w:rsid w:val="00372129"/>
    <w:rsid w:val="00385050"/>
    <w:rsid w:val="003864E8"/>
    <w:rsid w:val="003A3FDD"/>
    <w:rsid w:val="003C4C15"/>
    <w:rsid w:val="003D494D"/>
    <w:rsid w:val="003E6B2C"/>
    <w:rsid w:val="00404D2C"/>
    <w:rsid w:val="004060E6"/>
    <w:rsid w:val="00407BEA"/>
    <w:rsid w:val="004165DC"/>
    <w:rsid w:val="004243C8"/>
    <w:rsid w:val="00451AA4"/>
    <w:rsid w:val="00451C95"/>
    <w:rsid w:val="0045419E"/>
    <w:rsid w:val="0045734B"/>
    <w:rsid w:val="00465542"/>
    <w:rsid w:val="00472DF5"/>
    <w:rsid w:val="00484896"/>
    <w:rsid w:val="00495204"/>
    <w:rsid w:val="004A31B3"/>
    <w:rsid w:val="004A32C8"/>
    <w:rsid w:val="004B6DC9"/>
    <w:rsid w:val="004B7AFA"/>
    <w:rsid w:val="004C08BB"/>
    <w:rsid w:val="004C4B71"/>
    <w:rsid w:val="004C5305"/>
    <w:rsid w:val="004C5F26"/>
    <w:rsid w:val="004D311B"/>
    <w:rsid w:val="004E1263"/>
    <w:rsid w:val="004F37D8"/>
    <w:rsid w:val="005044A6"/>
    <w:rsid w:val="00517788"/>
    <w:rsid w:val="005548E2"/>
    <w:rsid w:val="00560728"/>
    <w:rsid w:val="00590F64"/>
    <w:rsid w:val="005923E5"/>
    <w:rsid w:val="005A456A"/>
    <w:rsid w:val="005B567D"/>
    <w:rsid w:val="005B7340"/>
    <w:rsid w:val="005C6546"/>
    <w:rsid w:val="005D0CFC"/>
    <w:rsid w:val="005D19F4"/>
    <w:rsid w:val="005E1973"/>
    <w:rsid w:val="005E6D7E"/>
    <w:rsid w:val="005F0AA6"/>
    <w:rsid w:val="005F254A"/>
    <w:rsid w:val="006073AD"/>
    <w:rsid w:val="006149D3"/>
    <w:rsid w:val="006448F0"/>
    <w:rsid w:val="00647E3B"/>
    <w:rsid w:val="00654872"/>
    <w:rsid w:val="0065657F"/>
    <w:rsid w:val="00666336"/>
    <w:rsid w:val="00683E42"/>
    <w:rsid w:val="00691D46"/>
    <w:rsid w:val="006A2F18"/>
    <w:rsid w:val="006A5DD9"/>
    <w:rsid w:val="006A7C5A"/>
    <w:rsid w:val="006B2915"/>
    <w:rsid w:val="006B56D7"/>
    <w:rsid w:val="006C0B63"/>
    <w:rsid w:val="006C59A1"/>
    <w:rsid w:val="006C7601"/>
    <w:rsid w:val="006D16AA"/>
    <w:rsid w:val="006E4098"/>
    <w:rsid w:val="006F0E53"/>
    <w:rsid w:val="006F44D4"/>
    <w:rsid w:val="006F66AC"/>
    <w:rsid w:val="006F7BF8"/>
    <w:rsid w:val="00701AC5"/>
    <w:rsid w:val="00711D81"/>
    <w:rsid w:val="007203D0"/>
    <w:rsid w:val="0074576C"/>
    <w:rsid w:val="0074758E"/>
    <w:rsid w:val="00754BA5"/>
    <w:rsid w:val="007562C3"/>
    <w:rsid w:val="007563E4"/>
    <w:rsid w:val="00766C0C"/>
    <w:rsid w:val="00773F0A"/>
    <w:rsid w:val="0078037C"/>
    <w:rsid w:val="00787276"/>
    <w:rsid w:val="00787952"/>
    <w:rsid w:val="00794BE1"/>
    <w:rsid w:val="007952B9"/>
    <w:rsid w:val="007A5862"/>
    <w:rsid w:val="007C72F6"/>
    <w:rsid w:val="007F7FA0"/>
    <w:rsid w:val="00816966"/>
    <w:rsid w:val="00816F51"/>
    <w:rsid w:val="00817D26"/>
    <w:rsid w:val="00821CD4"/>
    <w:rsid w:val="00823774"/>
    <w:rsid w:val="008423A7"/>
    <w:rsid w:val="0084335B"/>
    <w:rsid w:val="008440CC"/>
    <w:rsid w:val="00880CAE"/>
    <w:rsid w:val="00880DA2"/>
    <w:rsid w:val="0089107E"/>
    <w:rsid w:val="00891604"/>
    <w:rsid w:val="00895407"/>
    <w:rsid w:val="008C6BEA"/>
    <w:rsid w:val="008D225B"/>
    <w:rsid w:val="00903364"/>
    <w:rsid w:val="00906037"/>
    <w:rsid w:val="00921BF8"/>
    <w:rsid w:val="00926FC4"/>
    <w:rsid w:val="00935021"/>
    <w:rsid w:val="009367F9"/>
    <w:rsid w:val="00942F4A"/>
    <w:rsid w:val="00944203"/>
    <w:rsid w:val="00961DEF"/>
    <w:rsid w:val="0096397A"/>
    <w:rsid w:val="009642BE"/>
    <w:rsid w:val="00976EE1"/>
    <w:rsid w:val="009872CC"/>
    <w:rsid w:val="009B10F1"/>
    <w:rsid w:val="009B368D"/>
    <w:rsid w:val="009C24D4"/>
    <w:rsid w:val="009E0429"/>
    <w:rsid w:val="009F2E6E"/>
    <w:rsid w:val="009F5211"/>
    <w:rsid w:val="009F5772"/>
    <w:rsid w:val="00A13C96"/>
    <w:rsid w:val="00A23E5A"/>
    <w:rsid w:val="00A37C02"/>
    <w:rsid w:val="00A42352"/>
    <w:rsid w:val="00A47189"/>
    <w:rsid w:val="00A527E4"/>
    <w:rsid w:val="00A5640D"/>
    <w:rsid w:val="00A729D6"/>
    <w:rsid w:val="00A737AD"/>
    <w:rsid w:val="00A762DF"/>
    <w:rsid w:val="00A80604"/>
    <w:rsid w:val="00A904E0"/>
    <w:rsid w:val="00A938BF"/>
    <w:rsid w:val="00AA379E"/>
    <w:rsid w:val="00AA746F"/>
    <w:rsid w:val="00AB7BC4"/>
    <w:rsid w:val="00AD460D"/>
    <w:rsid w:val="00AD6544"/>
    <w:rsid w:val="00AE23EB"/>
    <w:rsid w:val="00AE2C57"/>
    <w:rsid w:val="00AF4615"/>
    <w:rsid w:val="00B342DD"/>
    <w:rsid w:val="00B4521A"/>
    <w:rsid w:val="00B50DF8"/>
    <w:rsid w:val="00B51B2A"/>
    <w:rsid w:val="00B54EA0"/>
    <w:rsid w:val="00B60EFB"/>
    <w:rsid w:val="00B65366"/>
    <w:rsid w:val="00B77807"/>
    <w:rsid w:val="00B940E9"/>
    <w:rsid w:val="00BA1206"/>
    <w:rsid w:val="00BC7FE6"/>
    <w:rsid w:val="00BD44A0"/>
    <w:rsid w:val="00BE3709"/>
    <w:rsid w:val="00C1269A"/>
    <w:rsid w:val="00C23DA8"/>
    <w:rsid w:val="00C645C4"/>
    <w:rsid w:val="00C718D0"/>
    <w:rsid w:val="00C76168"/>
    <w:rsid w:val="00C93265"/>
    <w:rsid w:val="00CA489B"/>
    <w:rsid w:val="00CB6CC8"/>
    <w:rsid w:val="00CC4C93"/>
    <w:rsid w:val="00CC6E47"/>
    <w:rsid w:val="00D059DF"/>
    <w:rsid w:val="00D1121F"/>
    <w:rsid w:val="00D120D2"/>
    <w:rsid w:val="00D20D7C"/>
    <w:rsid w:val="00D26FCA"/>
    <w:rsid w:val="00D470AC"/>
    <w:rsid w:val="00D47DEE"/>
    <w:rsid w:val="00D6407C"/>
    <w:rsid w:val="00D77BFE"/>
    <w:rsid w:val="00D87AF7"/>
    <w:rsid w:val="00DA120C"/>
    <w:rsid w:val="00DB1E91"/>
    <w:rsid w:val="00DB585B"/>
    <w:rsid w:val="00DB6570"/>
    <w:rsid w:val="00DB6E80"/>
    <w:rsid w:val="00DC4BEF"/>
    <w:rsid w:val="00DC5A2F"/>
    <w:rsid w:val="00DF33DB"/>
    <w:rsid w:val="00E10628"/>
    <w:rsid w:val="00E11F8F"/>
    <w:rsid w:val="00E13C67"/>
    <w:rsid w:val="00E14009"/>
    <w:rsid w:val="00E144CD"/>
    <w:rsid w:val="00E2292B"/>
    <w:rsid w:val="00E30BCC"/>
    <w:rsid w:val="00E341E9"/>
    <w:rsid w:val="00E51F6C"/>
    <w:rsid w:val="00E65123"/>
    <w:rsid w:val="00E760F3"/>
    <w:rsid w:val="00E76BD7"/>
    <w:rsid w:val="00E85246"/>
    <w:rsid w:val="00EA6E28"/>
    <w:rsid w:val="00F0752A"/>
    <w:rsid w:val="00F11998"/>
    <w:rsid w:val="00F30348"/>
    <w:rsid w:val="00F378D0"/>
    <w:rsid w:val="00F51771"/>
    <w:rsid w:val="00F71FD0"/>
    <w:rsid w:val="00F76A7F"/>
    <w:rsid w:val="00F838E1"/>
    <w:rsid w:val="00F842DC"/>
    <w:rsid w:val="00F8694B"/>
    <w:rsid w:val="00F876FF"/>
    <w:rsid w:val="00F93397"/>
    <w:rsid w:val="00F93A89"/>
    <w:rsid w:val="00F970FA"/>
    <w:rsid w:val="00FA2721"/>
    <w:rsid w:val="00FA3D11"/>
    <w:rsid w:val="00FD3CD4"/>
    <w:rsid w:val="00FF3B06"/>
    <w:rsid w:val="00FF5FF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1E24161"/>
  <w15:docId w15:val="{4E46E29D-5BAB-4FB4-8ADF-217E03AF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2022">
      <w:bodyDiv w:val="1"/>
      <w:marLeft w:val="0"/>
      <w:marRight w:val="0"/>
      <w:marTop w:val="0"/>
      <w:marBottom w:val="0"/>
      <w:divBdr>
        <w:top w:val="none" w:sz="0" w:space="0" w:color="auto"/>
        <w:left w:val="none" w:sz="0" w:space="0" w:color="auto"/>
        <w:bottom w:val="none" w:sz="0" w:space="0" w:color="auto"/>
        <w:right w:val="none" w:sz="0" w:space="0" w:color="auto"/>
      </w:divBdr>
    </w:div>
    <w:div w:id="13270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8</Pages>
  <Words>1758</Words>
  <Characters>10026</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Heidi Clift</cp:lastModifiedBy>
  <cp:revision>2</cp:revision>
  <cp:lastPrinted>2014-09-01T08:36:00Z</cp:lastPrinted>
  <dcterms:created xsi:type="dcterms:W3CDTF">2022-04-13T20:50:00Z</dcterms:created>
  <dcterms:modified xsi:type="dcterms:W3CDTF">2022-04-13T20:50:00Z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