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EE86A" w14:textId="62F1809C" w:rsidR="005C73A8" w:rsidRPr="005C73A8" w:rsidRDefault="005C73A8" w:rsidP="00EA29A3">
      <w:pPr>
        <w:spacing w:line="480" w:lineRule="auto"/>
        <w:rPr>
          <w:rFonts w:ascii="Times New Roman" w:hAnsi="Times New Roman" w:cs="Times New Roman"/>
          <w:b/>
          <w:bCs/>
        </w:rPr>
      </w:pPr>
      <w:r w:rsidRPr="005C73A8">
        <w:rPr>
          <w:rFonts w:ascii="Times New Roman" w:hAnsi="Times New Roman" w:cs="Times New Roman"/>
          <w:b/>
          <w:bCs/>
        </w:rPr>
        <w:t>Supplemental Material</w:t>
      </w:r>
      <w:r w:rsidR="006F1E2C">
        <w:rPr>
          <w:rFonts w:ascii="Times New Roman" w:hAnsi="Times New Roman" w:cs="Times New Roman"/>
          <w:b/>
          <w:bCs/>
        </w:rPr>
        <w:t xml:space="preserve"> (Part II)</w:t>
      </w:r>
    </w:p>
    <w:p w14:paraId="0383F492" w14:textId="7F45E419" w:rsidR="005C73A8" w:rsidRPr="005C73A8" w:rsidRDefault="005C73A8" w:rsidP="00EA29A3">
      <w:pPr>
        <w:spacing w:line="480" w:lineRule="auto"/>
        <w:rPr>
          <w:rFonts w:ascii="Times New Roman" w:hAnsi="Times New Roman" w:cs="Times New Roman"/>
          <w:b/>
          <w:bCs/>
        </w:rPr>
      </w:pPr>
      <w:r w:rsidRPr="005C73A8">
        <w:rPr>
          <w:rFonts w:ascii="Times New Roman" w:hAnsi="Times New Roman" w:cs="Times New Roman"/>
          <w:b/>
          <w:bCs/>
        </w:rPr>
        <w:t>Cloacal and intestinal swab communities</w:t>
      </w:r>
    </w:p>
    <w:p w14:paraId="17B6F105" w14:textId="77777777" w:rsidR="005C73A8" w:rsidRPr="005C73A8" w:rsidRDefault="005C73A8" w:rsidP="00EA29A3">
      <w:pPr>
        <w:spacing w:line="480" w:lineRule="auto"/>
        <w:rPr>
          <w:rFonts w:ascii="Times New Roman" w:hAnsi="Times New Roman" w:cs="Times New Roman"/>
          <w:b/>
          <w:bCs/>
        </w:rPr>
      </w:pPr>
    </w:p>
    <w:p w14:paraId="6048FD5E" w14:textId="77777777" w:rsidR="005C73A8" w:rsidRPr="005C73A8" w:rsidRDefault="005C73A8" w:rsidP="00FB10FB">
      <w:pPr>
        <w:spacing w:line="480" w:lineRule="auto"/>
        <w:rPr>
          <w:rFonts w:ascii="Times New Roman" w:hAnsi="Times New Roman" w:cs="Times New Roman"/>
          <w:b/>
          <w:bCs/>
        </w:rPr>
      </w:pPr>
      <w:r w:rsidRPr="005C73A8">
        <w:rPr>
          <w:rFonts w:ascii="Times New Roman" w:hAnsi="Times New Roman" w:cs="Times New Roman"/>
          <w:b/>
          <w:bCs/>
        </w:rPr>
        <w:t>TITLE:</w:t>
      </w:r>
    </w:p>
    <w:p w14:paraId="19655CA4" w14:textId="77777777" w:rsidR="00FB10FB" w:rsidRDefault="00FB10FB" w:rsidP="00FB10FB">
      <w:pPr>
        <w:autoSpaceDE w:val="0"/>
        <w:autoSpaceDN w:val="0"/>
        <w:adjustRightInd w:val="0"/>
        <w:spacing w:line="480" w:lineRule="auto"/>
        <w:rPr>
          <w:rFonts w:ascii="Times New Roman" w:hAnsi="Times New Roman" w:cs="Times New Roman"/>
        </w:rPr>
      </w:pPr>
      <w:r>
        <w:rPr>
          <w:rFonts w:ascii="Times New Roman" w:hAnsi="Times New Roman" w:cs="Times New Roman"/>
        </w:rPr>
        <w:t>Antibiotic perturbation of gut bacteria does not significantly alter host responses to ocular</w:t>
      </w:r>
    </w:p>
    <w:p w14:paraId="7FE8EAAF" w14:textId="609FB6CC" w:rsidR="00FB10FB" w:rsidRPr="005C73A8" w:rsidRDefault="00FB10FB" w:rsidP="00FB10FB">
      <w:pPr>
        <w:tabs>
          <w:tab w:val="left" w:pos="6930"/>
        </w:tabs>
        <w:spacing w:line="480" w:lineRule="auto"/>
        <w:rPr>
          <w:rFonts w:ascii="Times New Roman" w:hAnsi="Times New Roman" w:cs="Times New Roman"/>
        </w:rPr>
      </w:pPr>
      <w:r>
        <w:rPr>
          <w:rFonts w:ascii="Times New Roman" w:hAnsi="Times New Roman" w:cs="Times New Roman"/>
        </w:rPr>
        <w:t>disease in a songbird species</w:t>
      </w:r>
    </w:p>
    <w:p w14:paraId="36980507" w14:textId="77777777" w:rsidR="005C73A8" w:rsidRPr="005C73A8" w:rsidRDefault="005C73A8" w:rsidP="00FB10FB">
      <w:pPr>
        <w:spacing w:line="480" w:lineRule="auto"/>
        <w:rPr>
          <w:rFonts w:ascii="Times New Roman" w:hAnsi="Times New Roman" w:cs="Times New Roman"/>
          <w:b/>
          <w:bCs/>
        </w:rPr>
      </w:pPr>
    </w:p>
    <w:p w14:paraId="01059D50" w14:textId="77777777" w:rsidR="005C73A8" w:rsidRPr="005C73A8" w:rsidRDefault="005C73A8" w:rsidP="00EA29A3">
      <w:pPr>
        <w:spacing w:line="480" w:lineRule="auto"/>
        <w:rPr>
          <w:rFonts w:ascii="Times New Roman" w:hAnsi="Times New Roman" w:cs="Times New Roman"/>
          <w:b/>
          <w:bCs/>
        </w:rPr>
      </w:pPr>
      <w:r w:rsidRPr="005C73A8">
        <w:rPr>
          <w:rFonts w:ascii="Times New Roman" w:hAnsi="Times New Roman" w:cs="Times New Roman"/>
          <w:b/>
          <w:bCs/>
        </w:rPr>
        <w:t>AUTHORS:</w:t>
      </w:r>
    </w:p>
    <w:p w14:paraId="301AF0DF" w14:textId="7C2568D3" w:rsidR="005C73A8" w:rsidRPr="005C73A8" w:rsidRDefault="005C73A8" w:rsidP="00EA29A3">
      <w:pPr>
        <w:spacing w:line="480" w:lineRule="auto"/>
        <w:rPr>
          <w:rFonts w:ascii="Times New Roman" w:hAnsi="Times New Roman" w:cs="Times New Roman"/>
        </w:rPr>
      </w:pPr>
      <w:r w:rsidRPr="005C73A8">
        <w:rPr>
          <w:rFonts w:ascii="Times New Roman" w:hAnsi="Times New Roman" w:cs="Times New Roman"/>
        </w:rPr>
        <w:t xml:space="preserve">Chava L. Weitzman*, Lisa K. Belden, Meghan May, </w:t>
      </w:r>
      <w:r w:rsidR="006E5BD9">
        <w:rPr>
          <w:rFonts w:ascii="Times New Roman" w:hAnsi="Times New Roman" w:cs="Times New Roman"/>
        </w:rPr>
        <w:t xml:space="preserve">Marissa M. </w:t>
      </w:r>
      <w:proofErr w:type="spellStart"/>
      <w:r w:rsidR="006E5BD9">
        <w:rPr>
          <w:rFonts w:ascii="Times New Roman" w:hAnsi="Times New Roman" w:cs="Times New Roman"/>
        </w:rPr>
        <w:t>Langager</w:t>
      </w:r>
      <w:proofErr w:type="spellEnd"/>
      <w:r w:rsidR="006E5BD9">
        <w:rPr>
          <w:rFonts w:ascii="Times New Roman" w:hAnsi="Times New Roman" w:cs="Times New Roman"/>
        </w:rPr>
        <w:t xml:space="preserve">, </w:t>
      </w:r>
      <w:r w:rsidRPr="005C73A8">
        <w:rPr>
          <w:rFonts w:ascii="Times New Roman" w:hAnsi="Times New Roman" w:cs="Times New Roman"/>
        </w:rPr>
        <w:t xml:space="preserve">Rami A. </w:t>
      </w:r>
      <w:proofErr w:type="spellStart"/>
      <w:r w:rsidRPr="005C73A8">
        <w:rPr>
          <w:rFonts w:ascii="Times New Roman" w:hAnsi="Times New Roman" w:cs="Times New Roman"/>
        </w:rPr>
        <w:t>Dalloul</w:t>
      </w:r>
      <w:proofErr w:type="spellEnd"/>
      <w:r w:rsidRPr="005C73A8">
        <w:rPr>
          <w:rFonts w:ascii="Times New Roman" w:hAnsi="Times New Roman" w:cs="Times New Roman"/>
        </w:rPr>
        <w:t>, and Dana M. Hawley</w:t>
      </w:r>
    </w:p>
    <w:p w14:paraId="1497656B" w14:textId="460E53B2" w:rsidR="005C73A8" w:rsidRPr="005C73A8" w:rsidRDefault="005C73A8" w:rsidP="00EA29A3">
      <w:pPr>
        <w:spacing w:line="480" w:lineRule="auto"/>
        <w:rPr>
          <w:rFonts w:ascii="Times New Roman" w:hAnsi="Times New Roman" w:cs="Times New Roman"/>
        </w:rPr>
      </w:pPr>
      <w:r w:rsidRPr="005C73A8">
        <w:rPr>
          <w:rFonts w:ascii="Times New Roman" w:hAnsi="Times New Roman" w:cs="Times New Roman"/>
        </w:rPr>
        <w:t xml:space="preserve">* </w:t>
      </w:r>
      <w:r w:rsidR="006F1E2C">
        <w:rPr>
          <w:rFonts w:ascii="Times New Roman" w:hAnsi="Times New Roman" w:cs="Times New Roman"/>
        </w:rPr>
        <w:t>weitzman.chava@gmail.com</w:t>
      </w:r>
    </w:p>
    <w:p w14:paraId="0F1A7B83" w14:textId="77777777" w:rsidR="005C73A8" w:rsidRPr="005C73A8" w:rsidRDefault="005C73A8" w:rsidP="00EA29A3">
      <w:pPr>
        <w:spacing w:line="480" w:lineRule="auto"/>
        <w:rPr>
          <w:rFonts w:ascii="Times New Roman" w:hAnsi="Times New Roman" w:cs="Times New Roman"/>
          <w:b/>
          <w:bCs/>
          <w:u w:val="single"/>
        </w:rPr>
      </w:pPr>
    </w:p>
    <w:p w14:paraId="06010891" w14:textId="77777777" w:rsidR="005C73A8" w:rsidRPr="005C73A8" w:rsidRDefault="005C73A8" w:rsidP="00EA29A3">
      <w:pPr>
        <w:spacing w:line="480" w:lineRule="auto"/>
        <w:rPr>
          <w:rFonts w:ascii="Times New Roman" w:hAnsi="Times New Roman" w:cs="Times New Roman"/>
          <w:b/>
          <w:bCs/>
        </w:rPr>
      </w:pPr>
      <w:r w:rsidRPr="005C73A8">
        <w:rPr>
          <w:rFonts w:ascii="Times New Roman" w:hAnsi="Times New Roman" w:cs="Times New Roman"/>
          <w:b/>
          <w:bCs/>
        </w:rPr>
        <w:t>Summary:</w:t>
      </w:r>
    </w:p>
    <w:p w14:paraId="02D11CAA" w14:textId="3C246E13" w:rsidR="005C73A8" w:rsidRDefault="005C73A8" w:rsidP="00EA29A3">
      <w:pPr>
        <w:spacing w:line="480" w:lineRule="auto"/>
        <w:rPr>
          <w:rFonts w:ascii="Times New Roman" w:hAnsi="Times New Roman" w:cs="Times New Roman"/>
        </w:rPr>
      </w:pPr>
      <w:r w:rsidRPr="005C73A8">
        <w:rPr>
          <w:rFonts w:ascii="Times New Roman" w:hAnsi="Times New Roman" w:cs="Times New Roman"/>
        </w:rPr>
        <w:t>Contains methods and results of cloacal and intestinal swab sampling and sequencing from house finches conducted in 2014/2015.</w:t>
      </w:r>
      <w:r w:rsidR="00EA29A3">
        <w:rPr>
          <w:rFonts w:ascii="Times New Roman" w:hAnsi="Times New Roman" w:cs="Times New Roman"/>
        </w:rPr>
        <w:t xml:space="preserve"> Contains Table S</w:t>
      </w:r>
      <w:r w:rsidR="00C653FB">
        <w:rPr>
          <w:rFonts w:ascii="Times New Roman" w:hAnsi="Times New Roman" w:cs="Times New Roman"/>
        </w:rPr>
        <w:t>5</w:t>
      </w:r>
      <w:r w:rsidR="00EA29A3">
        <w:rPr>
          <w:rFonts w:ascii="Times New Roman" w:hAnsi="Times New Roman" w:cs="Times New Roman"/>
        </w:rPr>
        <w:t xml:space="preserve"> and Figure S</w:t>
      </w:r>
      <w:r w:rsidR="00FB10FB">
        <w:rPr>
          <w:rFonts w:ascii="Times New Roman" w:hAnsi="Times New Roman" w:cs="Times New Roman"/>
        </w:rPr>
        <w:t>6</w:t>
      </w:r>
      <w:r w:rsidR="00EA29A3">
        <w:rPr>
          <w:rFonts w:ascii="Times New Roman" w:hAnsi="Times New Roman" w:cs="Times New Roman"/>
        </w:rPr>
        <w:t>.</w:t>
      </w:r>
    </w:p>
    <w:p w14:paraId="3E088CCC" w14:textId="77777777" w:rsidR="005C73A8" w:rsidRPr="005C73A8" w:rsidRDefault="005C73A8" w:rsidP="00EA29A3">
      <w:pPr>
        <w:spacing w:line="480" w:lineRule="auto"/>
        <w:rPr>
          <w:rFonts w:ascii="Times New Roman" w:hAnsi="Times New Roman" w:cs="Times New Roman"/>
        </w:rPr>
      </w:pPr>
    </w:p>
    <w:p w14:paraId="26B9F571" w14:textId="31BE8952" w:rsidR="00337737" w:rsidRPr="005C73A8" w:rsidRDefault="00AB7F62" w:rsidP="00EA29A3">
      <w:pPr>
        <w:spacing w:line="480" w:lineRule="auto"/>
        <w:rPr>
          <w:rFonts w:ascii="Times New Roman" w:hAnsi="Times New Roman" w:cs="Times New Roman"/>
          <w:b/>
          <w:bCs/>
        </w:rPr>
      </w:pPr>
      <w:r w:rsidRPr="005C73A8">
        <w:rPr>
          <w:rFonts w:ascii="Times New Roman" w:hAnsi="Times New Roman" w:cs="Times New Roman"/>
          <w:b/>
          <w:bCs/>
        </w:rPr>
        <w:t>Methods</w:t>
      </w:r>
    </w:p>
    <w:p w14:paraId="75A6E720" w14:textId="0F80B947" w:rsidR="00AB7F62" w:rsidRPr="005C73A8" w:rsidRDefault="00AB7F62" w:rsidP="00EA29A3">
      <w:pPr>
        <w:spacing w:line="480" w:lineRule="auto"/>
        <w:rPr>
          <w:rFonts w:ascii="Times New Roman" w:hAnsi="Times New Roman" w:cs="Times New Roman"/>
          <w:i/>
          <w:iCs/>
        </w:rPr>
      </w:pPr>
      <w:r w:rsidRPr="005C73A8">
        <w:rPr>
          <w:rFonts w:ascii="Times New Roman" w:hAnsi="Times New Roman" w:cs="Times New Roman"/>
          <w:i/>
          <w:iCs/>
        </w:rPr>
        <w:t>Cloacal and Intestinal Swab</w:t>
      </w:r>
      <w:r w:rsidR="00591B0D" w:rsidRPr="005C73A8">
        <w:rPr>
          <w:rFonts w:ascii="Times New Roman" w:hAnsi="Times New Roman" w:cs="Times New Roman"/>
          <w:i/>
          <w:iCs/>
        </w:rPr>
        <w:t xml:space="preserve"> Bacteria</w:t>
      </w:r>
    </w:p>
    <w:p w14:paraId="5E593414" w14:textId="77777777" w:rsidR="00770D4F" w:rsidRDefault="00591B0D" w:rsidP="00EA29A3">
      <w:pPr>
        <w:spacing w:line="480" w:lineRule="auto"/>
        <w:ind w:firstLine="720"/>
        <w:rPr>
          <w:rFonts w:ascii="Times New Roman" w:hAnsi="Times New Roman" w:cs="Times New Roman"/>
        </w:rPr>
      </w:pPr>
      <w:r w:rsidRPr="005C73A8">
        <w:rPr>
          <w:rFonts w:ascii="Times New Roman" w:hAnsi="Times New Roman" w:cs="Times New Roman"/>
        </w:rPr>
        <w:t xml:space="preserve">We use </w:t>
      </w:r>
      <w:r w:rsidR="00770D4F">
        <w:rPr>
          <w:rFonts w:ascii="Times New Roman" w:hAnsi="Times New Roman" w:cs="Times New Roman"/>
        </w:rPr>
        <w:t xml:space="preserve">paired microbiome </w:t>
      </w:r>
      <w:r w:rsidRPr="005C73A8">
        <w:rPr>
          <w:rFonts w:ascii="Times New Roman" w:hAnsi="Times New Roman" w:cs="Times New Roman"/>
        </w:rPr>
        <w:t xml:space="preserve">data from </w:t>
      </w:r>
      <w:r w:rsidR="00770D4F">
        <w:rPr>
          <w:rFonts w:ascii="Times New Roman" w:hAnsi="Times New Roman" w:cs="Times New Roman"/>
        </w:rPr>
        <w:t xml:space="preserve">house finch </w:t>
      </w:r>
      <w:r w:rsidRPr="005C73A8">
        <w:rPr>
          <w:rFonts w:ascii="Times New Roman" w:hAnsi="Times New Roman" w:cs="Times New Roman"/>
        </w:rPr>
        <w:t xml:space="preserve">cloacal and intestinal swab samples </w:t>
      </w:r>
      <w:r w:rsidR="00770D4F">
        <w:rPr>
          <w:rFonts w:ascii="Times New Roman" w:hAnsi="Times New Roman" w:cs="Times New Roman"/>
        </w:rPr>
        <w:t>used in a prior study</w:t>
      </w:r>
      <w:r w:rsidRPr="005C73A8">
        <w:rPr>
          <w:rFonts w:ascii="Times New Roman" w:hAnsi="Times New Roman" w:cs="Times New Roman"/>
        </w:rPr>
        <w:t xml:space="preserve"> to provide preliminary insight into the extent to which cloacal swabs represent bacterial communities higher in the gastro-intestinal tract. </w:t>
      </w:r>
      <w:r w:rsidR="00AB7F62" w:rsidRPr="005C73A8">
        <w:rPr>
          <w:rFonts w:ascii="Times New Roman" w:hAnsi="Times New Roman" w:cs="Times New Roman"/>
        </w:rPr>
        <w:t xml:space="preserve">In the winter of 2014, swab samples were collected from the cloaca and lower intestine of five house finches to compare bacterial communities between the two regions. These samples were collected at the culmination </w:t>
      </w:r>
      <w:r w:rsidR="00AB7F62" w:rsidRPr="005C73A8">
        <w:rPr>
          <w:rFonts w:ascii="Times New Roman" w:hAnsi="Times New Roman" w:cs="Times New Roman"/>
        </w:rPr>
        <w:lastRenderedPageBreak/>
        <w:t>of a separate study (Leon and Hawley</w:t>
      </w:r>
      <w:r w:rsidR="00EA29A3">
        <w:rPr>
          <w:rFonts w:ascii="Times New Roman" w:hAnsi="Times New Roman" w:cs="Times New Roman"/>
        </w:rPr>
        <w:t>,</w:t>
      </w:r>
      <w:r w:rsidR="00AB7F62" w:rsidRPr="005C73A8">
        <w:rPr>
          <w:rFonts w:ascii="Times New Roman" w:hAnsi="Times New Roman" w:cs="Times New Roman"/>
        </w:rPr>
        <w:t xml:space="preserve"> 2017), </w:t>
      </w:r>
      <w:r w:rsidR="00804E01" w:rsidRPr="005C73A8">
        <w:rPr>
          <w:rFonts w:ascii="Times New Roman" w:hAnsi="Times New Roman" w:cs="Times New Roman"/>
        </w:rPr>
        <w:t xml:space="preserve">29 days after they were inoculated with a dose of </w:t>
      </w:r>
      <w:r w:rsidR="00804E01" w:rsidRPr="005C73A8">
        <w:rPr>
          <w:rFonts w:ascii="Times New Roman" w:hAnsi="Times New Roman" w:cs="Times New Roman"/>
          <w:i/>
          <w:iCs/>
        </w:rPr>
        <w:t>Mycoplasma gallisepticum</w:t>
      </w:r>
      <w:r w:rsidR="00804E01" w:rsidRPr="005C73A8">
        <w:rPr>
          <w:rFonts w:ascii="Times New Roman" w:hAnsi="Times New Roman" w:cs="Times New Roman"/>
        </w:rPr>
        <w:t>, and after all birds recovered from any mycoplasmal conjunctivitis experienced during the experiment. C</w:t>
      </w:r>
      <w:r w:rsidR="00AB7F62" w:rsidRPr="005C73A8">
        <w:rPr>
          <w:rFonts w:ascii="Times New Roman" w:hAnsi="Times New Roman" w:cs="Times New Roman"/>
        </w:rPr>
        <w:t>loacal swab samples were collected from five house finches</w:t>
      </w:r>
      <w:r w:rsidR="00770D4F">
        <w:rPr>
          <w:rFonts w:ascii="Times New Roman" w:hAnsi="Times New Roman" w:cs="Times New Roman"/>
        </w:rPr>
        <w:t xml:space="preserve"> using individually-wrapped, sterile swabs</w:t>
      </w:r>
      <w:r w:rsidR="00AB7F62" w:rsidRPr="005C73A8">
        <w:rPr>
          <w:rFonts w:ascii="Times New Roman" w:hAnsi="Times New Roman" w:cs="Times New Roman"/>
        </w:rPr>
        <w:t xml:space="preserve">, after which, birds were euthanized with a lethal dose of </w:t>
      </w:r>
      <w:r w:rsidR="001603B9" w:rsidRPr="005C73A8">
        <w:rPr>
          <w:rFonts w:ascii="Times New Roman" w:hAnsi="Times New Roman" w:cs="Times New Roman"/>
        </w:rPr>
        <w:t>carbon dioxide</w:t>
      </w:r>
      <w:r w:rsidR="00AB7F62" w:rsidRPr="005C73A8">
        <w:rPr>
          <w:rFonts w:ascii="Times New Roman" w:hAnsi="Times New Roman" w:cs="Times New Roman"/>
        </w:rPr>
        <w:t xml:space="preserve"> gas. Birds were dissected, and their lower intestines were swabbed. All swab samples were placed in 1.5 mL microcentrifuge tubes and frozen at –20 ˚C until DNA extraction. </w:t>
      </w:r>
    </w:p>
    <w:p w14:paraId="3BAF001A" w14:textId="7421F24E" w:rsidR="00AB7F62" w:rsidRPr="005C73A8" w:rsidRDefault="00AB7F62" w:rsidP="00EA29A3">
      <w:pPr>
        <w:spacing w:line="480" w:lineRule="auto"/>
        <w:ind w:firstLine="720"/>
        <w:rPr>
          <w:rFonts w:ascii="Times New Roman" w:hAnsi="Times New Roman" w:cs="Times New Roman"/>
        </w:rPr>
      </w:pPr>
      <w:r w:rsidRPr="005C73A8">
        <w:rPr>
          <w:rFonts w:ascii="Times New Roman" w:hAnsi="Times New Roman" w:cs="Times New Roman"/>
        </w:rPr>
        <w:t>DNA was extracted</w:t>
      </w:r>
      <w:r w:rsidR="00770D4F">
        <w:rPr>
          <w:rFonts w:ascii="Times New Roman" w:hAnsi="Times New Roman" w:cs="Times New Roman"/>
        </w:rPr>
        <w:t xml:space="preserve"> from swabs</w:t>
      </w:r>
      <w:r w:rsidRPr="005C73A8">
        <w:rPr>
          <w:rFonts w:ascii="Times New Roman" w:hAnsi="Times New Roman" w:cs="Times New Roman"/>
        </w:rPr>
        <w:t xml:space="preserve"> using the Qiagen </w:t>
      </w:r>
      <w:proofErr w:type="spellStart"/>
      <w:r w:rsidRPr="005C73A8">
        <w:rPr>
          <w:rFonts w:ascii="Times New Roman" w:hAnsi="Times New Roman" w:cs="Times New Roman"/>
        </w:rPr>
        <w:t>DNeasy</w:t>
      </w:r>
      <w:proofErr w:type="spellEnd"/>
      <w:r w:rsidRPr="005C73A8">
        <w:rPr>
          <w:rFonts w:ascii="Times New Roman" w:hAnsi="Times New Roman" w:cs="Times New Roman"/>
        </w:rPr>
        <w:t xml:space="preserve"> Blood and Tissue kit using the</w:t>
      </w:r>
      <w:r w:rsidR="001603B9" w:rsidRPr="005C73A8">
        <w:rPr>
          <w:rFonts w:ascii="Times New Roman" w:hAnsi="Times New Roman" w:cs="Times New Roman"/>
        </w:rPr>
        <w:t xml:space="preserve"> protocol for</w:t>
      </w:r>
      <w:r w:rsidRPr="005C73A8">
        <w:rPr>
          <w:rFonts w:ascii="Times New Roman" w:hAnsi="Times New Roman" w:cs="Times New Roman"/>
        </w:rPr>
        <w:t xml:space="preserve"> Gram-positive</w:t>
      </w:r>
      <w:r w:rsidR="001603B9" w:rsidRPr="005C73A8">
        <w:rPr>
          <w:rFonts w:ascii="Times New Roman" w:hAnsi="Times New Roman" w:cs="Times New Roman"/>
        </w:rPr>
        <w:t xml:space="preserve"> bacteria</w:t>
      </w:r>
      <w:r w:rsidRPr="005C73A8">
        <w:rPr>
          <w:rFonts w:ascii="Times New Roman" w:hAnsi="Times New Roman" w:cs="Times New Roman"/>
        </w:rPr>
        <w:t xml:space="preserve">. Library prep </w:t>
      </w:r>
      <w:r w:rsidR="00804E01" w:rsidRPr="005C73A8">
        <w:rPr>
          <w:rFonts w:ascii="Times New Roman" w:hAnsi="Times New Roman" w:cs="Times New Roman"/>
        </w:rPr>
        <w:t xml:space="preserve">for Illumina </w:t>
      </w:r>
      <w:proofErr w:type="spellStart"/>
      <w:r w:rsidR="00804E01" w:rsidRPr="005C73A8">
        <w:rPr>
          <w:rFonts w:ascii="Times New Roman" w:hAnsi="Times New Roman" w:cs="Times New Roman"/>
        </w:rPr>
        <w:t>MiSeq</w:t>
      </w:r>
      <w:proofErr w:type="spellEnd"/>
      <w:r w:rsidR="00804E01" w:rsidRPr="005C73A8">
        <w:rPr>
          <w:rFonts w:ascii="Times New Roman" w:hAnsi="Times New Roman" w:cs="Times New Roman"/>
        </w:rPr>
        <w:t xml:space="preserve"> sequencing was conducted as outlined in the </w:t>
      </w:r>
      <w:r w:rsidR="00804E01" w:rsidRPr="00EA29A3">
        <w:rPr>
          <w:rFonts w:ascii="Times New Roman" w:hAnsi="Times New Roman" w:cs="Times New Roman"/>
          <w:i/>
          <w:iCs/>
        </w:rPr>
        <w:t>Main Text</w:t>
      </w:r>
      <w:r w:rsidR="00804E01" w:rsidRPr="005C73A8">
        <w:rPr>
          <w:rFonts w:ascii="Times New Roman" w:hAnsi="Times New Roman" w:cs="Times New Roman"/>
        </w:rPr>
        <w:t xml:space="preserve">. </w:t>
      </w:r>
      <w:r w:rsidR="00770D4F">
        <w:rPr>
          <w:rFonts w:ascii="Times New Roman" w:hAnsi="Times New Roman" w:cs="Times New Roman"/>
        </w:rPr>
        <w:t>In total, we obtained</w:t>
      </w:r>
      <w:r w:rsidR="00804E01" w:rsidRPr="005C73A8">
        <w:rPr>
          <w:rFonts w:ascii="Times New Roman" w:hAnsi="Times New Roman" w:cs="Times New Roman"/>
        </w:rPr>
        <w:t xml:space="preserve"> 16S rRNA amplicons of four cloacal and four intestinal swab samples, including pairs of samples from three birds.</w:t>
      </w:r>
      <w:r w:rsidR="00591B0D" w:rsidRPr="005C73A8">
        <w:rPr>
          <w:rFonts w:ascii="Times New Roman" w:hAnsi="Times New Roman" w:cs="Times New Roman"/>
        </w:rPr>
        <w:t xml:space="preserve"> </w:t>
      </w:r>
      <w:r w:rsidR="003D07C7" w:rsidRPr="00086FFE">
        <w:rPr>
          <w:rFonts w:ascii="Times New Roman" w:hAnsi="Times New Roman" w:cs="Times New Roman"/>
        </w:rPr>
        <w:t xml:space="preserve">Sequences are openly available on </w:t>
      </w:r>
      <w:proofErr w:type="spellStart"/>
      <w:r w:rsidR="003D07C7" w:rsidRPr="00086FFE">
        <w:rPr>
          <w:rFonts w:ascii="Times New Roman" w:hAnsi="Times New Roman" w:cs="Times New Roman"/>
        </w:rPr>
        <w:t>figshare</w:t>
      </w:r>
      <w:proofErr w:type="spellEnd"/>
      <w:r w:rsidR="003D07C7" w:rsidRPr="00086FFE" w:rsidDel="006169D8">
        <w:rPr>
          <w:rFonts w:ascii="Times New Roman" w:hAnsi="Times New Roman" w:cs="Times New Roman"/>
        </w:rPr>
        <w:t xml:space="preserve"> </w:t>
      </w:r>
      <w:r w:rsidR="003D07C7" w:rsidRPr="00086FFE">
        <w:rPr>
          <w:rFonts w:ascii="Times New Roman" w:hAnsi="Times New Roman" w:cs="Times New Roman"/>
        </w:rPr>
        <w:t>(</w:t>
      </w:r>
      <w:r w:rsidR="003D07C7" w:rsidRPr="006F69C3">
        <w:rPr>
          <w:rFonts w:ascii="Times New Roman" w:hAnsi="Times New Roman" w:cs="Times New Roman"/>
        </w:rPr>
        <w:t xml:space="preserve">DOI: </w:t>
      </w:r>
      <w:r w:rsidR="003D07C7" w:rsidRPr="00086FFE">
        <w:rPr>
          <w:rFonts w:ascii="Times New Roman" w:eastAsia="Times New Roman" w:hAnsi="Times New Roman" w:cs="Times New Roman"/>
        </w:rPr>
        <w:t>10.6084/m9.figshare.16766602</w:t>
      </w:r>
      <w:r w:rsidR="003D07C7" w:rsidRPr="00086FFE">
        <w:rPr>
          <w:rFonts w:ascii="Times New Roman" w:hAnsi="Times New Roman" w:cs="Times New Roman"/>
        </w:rPr>
        <w:t>).</w:t>
      </w:r>
    </w:p>
    <w:p w14:paraId="2B70A869" w14:textId="6B725378" w:rsidR="00591B0D" w:rsidRPr="005C73A8" w:rsidRDefault="00804E01" w:rsidP="00EA29A3">
      <w:pPr>
        <w:spacing w:line="480" w:lineRule="auto"/>
        <w:rPr>
          <w:rFonts w:ascii="Times New Roman" w:hAnsi="Times New Roman" w:cs="Times New Roman"/>
        </w:rPr>
      </w:pPr>
      <w:r w:rsidRPr="005C73A8">
        <w:rPr>
          <w:rFonts w:ascii="Times New Roman" w:hAnsi="Times New Roman" w:cs="Times New Roman"/>
        </w:rPr>
        <w:tab/>
        <w:t xml:space="preserve">Single-end sequence reads were processed </w:t>
      </w:r>
      <w:r w:rsidR="00591B0D" w:rsidRPr="005C73A8">
        <w:rPr>
          <w:rFonts w:ascii="Times New Roman" w:hAnsi="Times New Roman" w:cs="Times New Roman"/>
        </w:rPr>
        <w:t xml:space="preserve">to ASVs </w:t>
      </w:r>
      <w:r w:rsidRPr="005C73A8">
        <w:rPr>
          <w:rFonts w:ascii="Times New Roman" w:hAnsi="Times New Roman" w:cs="Times New Roman"/>
        </w:rPr>
        <w:t xml:space="preserve">in QIIME2 and R as outlined in the </w:t>
      </w:r>
      <w:r w:rsidRPr="005C73A8">
        <w:rPr>
          <w:rFonts w:ascii="Times New Roman" w:hAnsi="Times New Roman" w:cs="Times New Roman"/>
          <w:i/>
          <w:iCs/>
        </w:rPr>
        <w:t>Main Text.</w:t>
      </w:r>
      <w:r w:rsidRPr="005C73A8">
        <w:rPr>
          <w:rFonts w:ascii="Times New Roman" w:hAnsi="Times New Roman" w:cs="Times New Roman"/>
        </w:rPr>
        <w:t xml:space="preserve"> </w:t>
      </w:r>
      <w:r w:rsidR="00D14793" w:rsidRPr="005C73A8">
        <w:rPr>
          <w:rFonts w:ascii="Times New Roman" w:hAnsi="Times New Roman" w:cs="Times New Roman"/>
        </w:rPr>
        <w:t xml:space="preserve">Data were rarefied to the lowest sampling depth (18,972 reads per sample). </w:t>
      </w:r>
      <w:r w:rsidR="00591B0D" w:rsidRPr="005C73A8">
        <w:rPr>
          <w:rFonts w:ascii="Times New Roman" w:hAnsi="Times New Roman" w:cs="Times New Roman"/>
        </w:rPr>
        <w:t>We used QIIME2 to calculate core diversity metrics, including ASV richness, evenness, Shannon’s diversity, Faith’s phylogenetic diversity, and beta diversity metrics of Jaccard, Bray</w:t>
      </w:r>
      <w:r w:rsidR="00E312D5">
        <w:rPr>
          <w:rFonts w:ascii="Times New Roman" w:hAnsi="Times New Roman" w:cs="Times New Roman"/>
        </w:rPr>
        <w:t>–</w:t>
      </w:r>
      <w:r w:rsidR="00591B0D" w:rsidRPr="005C73A8">
        <w:rPr>
          <w:rFonts w:ascii="Times New Roman" w:hAnsi="Times New Roman" w:cs="Times New Roman"/>
        </w:rPr>
        <w:t xml:space="preserve">Curtis, and weighted and unweighted </w:t>
      </w:r>
      <w:proofErr w:type="spellStart"/>
      <w:r w:rsidR="00591B0D" w:rsidRPr="005C73A8">
        <w:rPr>
          <w:rFonts w:ascii="Times New Roman" w:hAnsi="Times New Roman" w:cs="Times New Roman"/>
        </w:rPr>
        <w:t>UniFrac</w:t>
      </w:r>
      <w:proofErr w:type="spellEnd"/>
      <w:r w:rsidR="00591B0D" w:rsidRPr="005C73A8">
        <w:rPr>
          <w:rFonts w:ascii="Times New Roman" w:hAnsi="Times New Roman" w:cs="Times New Roman"/>
        </w:rPr>
        <w:t xml:space="preserve"> distances. We used Kruskal</w:t>
      </w:r>
      <w:r w:rsidR="00E312D5">
        <w:rPr>
          <w:rFonts w:ascii="Times New Roman" w:hAnsi="Times New Roman" w:cs="Times New Roman"/>
        </w:rPr>
        <w:t>–</w:t>
      </w:r>
      <w:r w:rsidR="00591B0D" w:rsidRPr="005C73A8">
        <w:rPr>
          <w:rFonts w:ascii="Times New Roman" w:hAnsi="Times New Roman" w:cs="Times New Roman"/>
        </w:rPr>
        <w:t xml:space="preserve">Wallis tests to compare alpha diversity, and PERMANOVAs to compare beta diversity, between cloacal and intestinal swab </w:t>
      </w:r>
      <w:r w:rsidR="001603B9" w:rsidRPr="005C73A8">
        <w:rPr>
          <w:rFonts w:ascii="Times New Roman" w:hAnsi="Times New Roman" w:cs="Times New Roman"/>
        </w:rPr>
        <w:t>bacterial communities</w:t>
      </w:r>
      <w:r w:rsidR="00591B0D" w:rsidRPr="005C73A8">
        <w:rPr>
          <w:rFonts w:ascii="Times New Roman" w:hAnsi="Times New Roman" w:cs="Times New Roman"/>
        </w:rPr>
        <w:t>.</w:t>
      </w:r>
    </w:p>
    <w:p w14:paraId="3F086C96" w14:textId="77777777" w:rsidR="005C73A8" w:rsidRPr="005C73A8" w:rsidRDefault="005C73A8" w:rsidP="00EA29A3">
      <w:pPr>
        <w:spacing w:line="480" w:lineRule="auto"/>
        <w:rPr>
          <w:rFonts w:ascii="Times New Roman" w:hAnsi="Times New Roman" w:cs="Times New Roman"/>
        </w:rPr>
      </w:pPr>
    </w:p>
    <w:p w14:paraId="5090B0D7" w14:textId="43FF1443" w:rsidR="00591B0D" w:rsidRPr="005C73A8" w:rsidRDefault="00591B0D" w:rsidP="00EA29A3">
      <w:pPr>
        <w:spacing w:line="480" w:lineRule="auto"/>
        <w:rPr>
          <w:rFonts w:ascii="Times New Roman" w:hAnsi="Times New Roman" w:cs="Times New Roman"/>
          <w:b/>
          <w:bCs/>
        </w:rPr>
      </w:pPr>
      <w:r w:rsidRPr="005C73A8">
        <w:rPr>
          <w:rFonts w:ascii="Times New Roman" w:hAnsi="Times New Roman" w:cs="Times New Roman"/>
          <w:b/>
          <w:bCs/>
        </w:rPr>
        <w:t>Results</w:t>
      </w:r>
    </w:p>
    <w:p w14:paraId="2BB93A50" w14:textId="0953EB84" w:rsidR="00591B0D" w:rsidRPr="005C73A8" w:rsidRDefault="00591B0D" w:rsidP="00EA29A3">
      <w:pPr>
        <w:spacing w:line="480" w:lineRule="auto"/>
        <w:rPr>
          <w:rFonts w:ascii="Times New Roman" w:hAnsi="Times New Roman" w:cs="Times New Roman"/>
          <w:i/>
          <w:iCs/>
        </w:rPr>
      </w:pPr>
      <w:r w:rsidRPr="005C73A8">
        <w:rPr>
          <w:rFonts w:ascii="Times New Roman" w:hAnsi="Times New Roman" w:cs="Times New Roman"/>
          <w:i/>
          <w:iCs/>
        </w:rPr>
        <w:t>Cloacal and Intestinal Swab Bacteria</w:t>
      </w:r>
    </w:p>
    <w:p w14:paraId="7836AFFF" w14:textId="2B590EC2" w:rsidR="00AB7F62" w:rsidRPr="005C73A8" w:rsidRDefault="00591B0D" w:rsidP="00EA29A3">
      <w:pPr>
        <w:spacing w:line="480" w:lineRule="auto"/>
        <w:rPr>
          <w:rFonts w:ascii="Times New Roman" w:hAnsi="Times New Roman" w:cs="Times New Roman"/>
        </w:rPr>
      </w:pPr>
      <w:r w:rsidRPr="005C73A8">
        <w:rPr>
          <w:rFonts w:ascii="Times New Roman" w:hAnsi="Times New Roman" w:cs="Times New Roman"/>
        </w:rPr>
        <w:lastRenderedPageBreak/>
        <w:tab/>
        <w:t xml:space="preserve"> Based on</w:t>
      </w:r>
      <w:r w:rsidR="00770D4F">
        <w:rPr>
          <w:rFonts w:ascii="Times New Roman" w:hAnsi="Times New Roman" w:cs="Times New Roman"/>
        </w:rPr>
        <w:t xml:space="preserve"> our</w:t>
      </w:r>
      <w:r w:rsidRPr="005C73A8">
        <w:rPr>
          <w:rFonts w:ascii="Times New Roman" w:hAnsi="Times New Roman" w:cs="Times New Roman"/>
        </w:rPr>
        <w:t xml:space="preserve"> </w:t>
      </w:r>
      <w:r w:rsidR="001126F0" w:rsidRPr="005C73A8">
        <w:rPr>
          <w:rFonts w:ascii="Times New Roman" w:hAnsi="Times New Roman" w:cs="Times New Roman"/>
        </w:rPr>
        <w:t>limited data</w:t>
      </w:r>
      <w:r w:rsidRPr="005C73A8">
        <w:rPr>
          <w:rFonts w:ascii="Times New Roman" w:hAnsi="Times New Roman" w:cs="Times New Roman"/>
        </w:rPr>
        <w:t xml:space="preserve"> from cloacal and intestinal swab samples from house finches, </w:t>
      </w:r>
      <w:r w:rsidR="001126F0" w:rsidRPr="005C73A8">
        <w:rPr>
          <w:rFonts w:ascii="Times New Roman" w:hAnsi="Times New Roman" w:cs="Times New Roman"/>
        </w:rPr>
        <w:t xml:space="preserve">bacterial </w:t>
      </w:r>
      <w:r w:rsidRPr="005C73A8">
        <w:rPr>
          <w:rFonts w:ascii="Times New Roman" w:hAnsi="Times New Roman" w:cs="Times New Roman"/>
        </w:rPr>
        <w:t xml:space="preserve">communities in the cloaca loosely represent </w:t>
      </w:r>
      <w:r w:rsidR="00BD0054" w:rsidRPr="005C73A8">
        <w:rPr>
          <w:rFonts w:ascii="Times New Roman" w:hAnsi="Times New Roman" w:cs="Times New Roman"/>
        </w:rPr>
        <w:t xml:space="preserve">those in the </w:t>
      </w:r>
      <w:r w:rsidR="00770D4F">
        <w:rPr>
          <w:rFonts w:ascii="Times New Roman" w:hAnsi="Times New Roman" w:cs="Times New Roman"/>
        </w:rPr>
        <w:t xml:space="preserve">lower </w:t>
      </w:r>
      <w:r w:rsidR="00BD0054" w:rsidRPr="005C73A8">
        <w:rPr>
          <w:rFonts w:ascii="Times New Roman" w:hAnsi="Times New Roman" w:cs="Times New Roman"/>
        </w:rPr>
        <w:t>gastro-intestinal tract.</w:t>
      </w:r>
      <w:r w:rsidR="00935A49" w:rsidRPr="005C73A8">
        <w:rPr>
          <w:rFonts w:ascii="Times New Roman" w:hAnsi="Times New Roman" w:cs="Times New Roman"/>
        </w:rPr>
        <w:t xml:space="preserve"> </w:t>
      </w:r>
      <w:r w:rsidR="00B70AB5" w:rsidRPr="005C73A8">
        <w:rPr>
          <w:rFonts w:ascii="Times New Roman" w:hAnsi="Times New Roman" w:cs="Times New Roman"/>
        </w:rPr>
        <w:t xml:space="preserve">The majority of all eight communities consisted of </w:t>
      </w:r>
      <w:r w:rsidR="00B70AB5" w:rsidRPr="005C73A8">
        <w:rPr>
          <w:rFonts w:ascii="Times New Roman" w:hAnsi="Times New Roman" w:cs="Times New Roman"/>
          <w:i/>
          <w:iCs/>
        </w:rPr>
        <w:t>Cellulomonas</w:t>
      </w:r>
      <w:r w:rsidR="00B70AB5" w:rsidRPr="005C73A8">
        <w:rPr>
          <w:rFonts w:ascii="Times New Roman" w:hAnsi="Times New Roman" w:cs="Times New Roman"/>
        </w:rPr>
        <w:t xml:space="preserve"> and </w:t>
      </w:r>
      <w:r w:rsidR="00B70AB5" w:rsidRPr="005C73A8">
        <w:rPr>
          <w:rFonts w:ascii="Times New Roman" w:hAnsi="Times New Roman" w:cs="Times New Roman"/>
          <w:i/>
          <w:iCs/>
        </w:rPr>
        <w:t>Pseudomonas</w:t>
      </w:r>
      <w:r w:rsidR="00B70AB5" w:rsidRPr="005C73A8">
        <w:rPr>
          <w:rFonts w:ascii="Times New Roman" w:hAnsi="Times New Roman" w:cs="Times New Roman"/>
        </w:rPr>
        <w:t xml:space="preserve"> (Fig. S</w:t>
      </w:r>
      <w:r w:rsidR="00FB10FB">
        <w:rPr>
          <w:rFonts w:ascii="Times New Roman" w:hAnsi="Times New Roman" w:cs="Times New Roman"/>
        </w:rPr>
        <w:t>6</w:t>
      </w:r>
      <w:r w:rsidR="00B70AB5" w:rsidRPr="005C73A8">
        <w:rPr>
          <w:rFonts w:ascii="Times New Roman" w:hAnsi="Times New Roman" w:cs="Times New Roman"/>
        </w:rPr>
        <w:t xml:space="preserve">). </w:t>
      </w:r>
      <w:r w:rsidR="00935A49" w:rsidRPr="005C73A8">
        <w:rPr>
          <w:rFonts w:ascii="Times New Roman" w:hAnsi="Times New Roman" w:cs="Times New Roman"/>
        </w:rPr>
        <w:t xml:space="preserve">Communities </w:t>
      </w:r>
      <w:r w:rsidR="001126F0" w:rsidRPr="005C73A8">
        <w:rPr>
          <w:rFonts w:ascii="Times New Roman" w:hAnsi="Times New Roman" w:cs="Times New Roman"/>
        </w:rPr>
        <w:t xml:space="preserve">only </w:t>
      </w:r>
      <w:r w:rsidR="00935A49" w:rsidRPr="005C73A8">
        <w:rPr>
          <w:rFonts w:ascii="Times New Roman" w:hAnsi="Times New Roman" w:cs="Times New Roman"/>
        </w:rPr>
        <w:t xml:space="preserve">significantly differed in </w:t>
      </w:r>
      <w:proofErr w:type="spellStart"/>
      <w:r w:rsidR="00935A49" w:rsidRPr="005C73A8">
        <w:rPr>
          <w:rFonts w:ascii="Times New Roman" w:hAnsi="Times New Roman" w:cs="Times New Roman"/>
        </w:rPr>
        <w:t>Pielou’s</w:t>
      </w:r>
      <w:proofErr w:type="spellEnd"/>
      <w:r w:rsidR="00935A49" w:rsidRPr="005C73A8">
        <w:rPr>
          <w:rFonts w:ascii="Times New Roman" w:hAnsi="Times New Roman" w:cs="Times New Roman"/>
        </w:rPr>
        <w:t xml:space="preserve"> evenness</w:t>
      </w:r>
      <w:r w:rsidR="00B70AB5" w:rsidRPr="005C73A8">
        <w:rPr>
          <w:rFonts w:ascii="Times New Roman" w:hAnsi="Times New Roman" w:cs="Times New Roman"/>
        </w:rPr>
        <w:t xml:space="preserve"> (Table S</w:t>
      </w:r>
      <w:r w:rsidR="00FB10FB">
        <w:rPr>
          <w:rFonts w:ascii="Times New Roman" w:hAnsi="Times New Roman" w:cs="Times New Roman"/>
        </w:rPr>
        <w:t>5</w:t>
      </w:r>
      <w:r w:rsidR="00B70AB5" w:rsidRPr="005C73A8">
        <w:rPr>
          <w:rFonts w:ascii="Times New Roman" w:hAnsi="Times New Roman" w:cs="Times New Roman"/>
        </w:rPr>
        <w:t>)</w:t>
      </w:r>
      <w:r w:rsidR="001126F0" w:rsidRPr="005C73A8">
        <w:rPr>
          <w:rFonts w:ascii="Times New Roman" w:hAnsi="Times New Roman" w:cs="Times New Roman"/>
        </w:rPr>
        <w:t>. Additional,</w:t>
      </w:r>
      <w:r w:rsidR="00935A49" w:rsidRPr="005C73A8">
        <w:rPr>
          <w:rFonts w:ascii="Times New Roman" w:hAnsi="Times New Roman" w:cs="Times New Roman"/>
        </w:rPr>
        <w:t xml:space="preserve"> non-significant </w:t>
      </w:r>
      <w:r w:rsidR="001126F0" w:rsidRPr="005C73A8">
        <w:rPr>
          <w:rFonts w:ascii="Times New Roman" w:hAnsi="Times New Roman" w:cs="Times New Roman"/>
        </w:rPr>
        <w:t xml:space="preserve">trends were detected in </w:t>
      </w:r>
      <w:r w:rsidR="00935A49" w:rsidRPr="005C73A8">
        <w:rPr>
          <w:rFonts w:ascii="Times New Roman" w:hAnsi="Times New Roman" w:cs="Times New Roman"/>
        </w:rPr>
        <w:t xml:space="preserve">Shannon’s diversity and </w:t>
      </w:r>
      <w:r w:rsidR="001126F0" w:rsidRPr="005C73A8">
        <w:rPr>
          <w:rFonts w:ascii="Times New Roman" w:hAnsi="Times New Roman" w:cs="Times New Roman"/>
        </w:rPr>
        <w:t xml:space="preserve">weighted </w:t>
      </w:r>
      <w:proofErr w:type="spellStart"/>
      <w:r w:rsidR="001126F0" w:rsidRPr="005C73A8">
        <w:rPr>
          <w:rFonts w:ascii="Times New Roman" w:hAnsi="Times New Roman" w:cs="Times New Roman"/>
        </w:rPr>
        <w:t>UniFrac</w:t>
      </w:r>
      <w:proofErr w:type="spellEnd"/>
      <w:r w:rsidR="001126F0" w:rsidRPr="005C73A8">
        <w:rPr>
          <w:rFonts w:ascii="Times New Roman" w:hAnsi="Times New Roman" w:cs="Times New Roman"/>
        </w:rPr>
        <w:t>.</w:t>
      </w:r>
    </w:p>
    <w:p w14:paraId="40C48272" w14:textId="4DCD2223" w:rsidR="00BD0054" w:rsidRPr="005C73A8" w:rsidRDefault="00BD0054" w:rsidP="00EA29A3">
      <w:pPr>
        <w:spacing w:line="480" w:lineRule="auto"/>
        <w:rPr>
          <w:rFonts w:ascii="Times New Roman" w:hAnsi="Times New Roman" w:cs="Times New Roman"/>
        </w:rPr>
      </w:pPr>
    </w:p>
    <w:p w14:paraId="7DCDAD44" w14:textId="533F1BD7" w:rsidR="00D14793" w:rsidRDefault="00293F2A" w:rsidP="00EA29A3">
      <w:pPr>
        <w:spacing w:line="480" w:lineRule="auto"/>
        <w:rPr>
          <w:rFonts w:ascii="Times New Roman" w:hAnsi="Times New Roman" w:cs="Times New Roman"/>
        </w:rPr>
      </w:pPr>
      <w:r w:rsidRPr="005C73A8">
        <w:rPr>
          <w:rFonts w:ascii="Times New Roman" w:hAnsi="Times New Roman" w:cs="Times New Roman"/>
          <w:b/>
          <w:bCs/>
        </w:rPr>
        <w:t>Table S</w:t>
      </w:r>
      <w:r w:rsidR="00C653FB">
        <w:rPr>
          <w:rFonts w:ascii="Times New Roman" w:hAnsi="Times New Roman" w:cs="Times New Roman"/>
          <w:b/>
          <w:bCs/>
        </w:rPr>
        <w:t>5</w:t>
      </w:r>
      <w:r w:rsidRPr="005C73A8">
        <w:rPr>
          <w:rFonts w:ascii="Times New Roman" w:hAnsi="Times New Roman" w:cs="Times New Roman"/>
          <w:b/>
          <w:bCs/>
        </w:rPr>
        <w:t>.</w:t>
      </w:r>
      <w:r w:rsidRPr="005C73A8">
        <w:rPr>
          <w:rFonts w:ascii="Times New Roman" w:hAnsi="Times New Roman" w:cs="Times New Roman"/>
        </w:rPr>
        <w:t xml:space="preserve"> Comparisons between cloacal and intestinal bacterial communities</w:t>
      </w:r>
      <w:r w:rsidR="00935A49" w:rsidRPr="005C73A8">
        <w:rPr>
          <w:rFonts w:ascii="Times New Roman" w:hAnsi="Times New Roman" w:cs="Times New Roman"/>
        </w:rPr>
        <w:t xml:space="preserve"> in house finches</w:t>
      </w:r>
      <w:r w:rsidRPr="005C73A8">
        <w:rPr>
          <w:rFonts w:ascii="Times New Roman" w:hAnsi="Times New Roman" w:cs="Times New Roman"/>
        </w:rPr>
        <w:t xml:space="preserve"> </w:t>
      </w:r>
      <w:r w:rsidR="00935A49" w:rsidRPr="005C73A8">
        <w:rPr>
          <w:rFonts w:ascii="Times New Roman" w:hAnsi="Times New Roman" w:cs="Times New Roman"/>
        </w:rPr>
        <w:t>based on</w:t>
      </w:r>
      <w:r w:rsidR="00D14793" w:rsidRPr="005C73A8">
        <w:rPr>
          <w:rFonts w:ascii="Times New Roman" w:hAnsi="Times New Roman" w:cs="Times New Roman"/>
        </w:rPr>
        <w:t xml:space="preserve"> metrics of alpha and beta diversity. </w:t>
      </w:r>
      <w:r w:rsidR="00D14793" w:rsidRPr="005C73A8">
        <w:rPr>
          <w:rFonts w:ascii="Times New Roman" w:hAnsi="Times New Roman" w:cs="Times New Roman"/>
          <w:b/>
          <w:bCs/>
        </w:rPr>
        <w:t>Bold</w:t>
      </w:r>
      <w:r w:rsidR="00D14793" w:rsidRPr="005C73A8">
        <w:rPr>
          <w:rFonts w:ascii="Times New Roman" w:hAnsi="Times New Roman" w:cs="Times New Roman"/>
        </w:rPr>
        <w:t xml:space="preserve"> indicates p-values below 0.1.</w:t>
      </w:r>
    </w:p>
    <w:p w14:paraId="69DECF12" w14:textId="77777777" w:rsidR="002927D1" w:rsidRPr="005C73A8" w:rsidRDefault="002927D1" w:rsidP="00EA29A3">
      <w:pPr>
        <w:spacing w:line="480" w:lineRule="auto"/>
        <w:rPr>
          <w:rFonts w:ascii="Times New Roman" w:hAnsi="Times New Roman" w:cs="Times New Roman"/>
        </w:rPr>
      </w:pPr>
    </w:p>
    <w:tbl>
      <w:tblPr>
        <w:tblStyle w:val="TableGrid"/>
        <w:tblW w:w="9445" w:type="dxa"/>
        <w:tblBorders>
          <w:left w:val="none" w:sz="0" w:space="0" w:color="auto"/>
          <w:right w:val="none" w:sz="0" w:space="0" w:color="auto"/>
          <w:insideV w:val="none" w:sz="0" w:space="0" w:color="auto"/>
        </w:tblBorders>
        <w:tblLook w:val="04A0" w:firstRow="1" w:lastRow="0" w:firstColumn="1" w:lastColumn="0" w:noHBand="0" w:noVBand="1"/>
      </w:tblPr>
      <w:tblGrid>
        <w:gridCol w:w="1404"/>
        <w:gridCol w:w="1737"/>
        <w:gridCol w:w="1915"/>
        <w:gridCol w:w="1925"/>
        <w:gridCol w:w="1236"/>
        <w:gridCol w:w="1228"/>
      </w:tblGrid>
      <w:tr w:rsidR="00D14793" w:rsidRPr="005C73A8" w14:paraId="2736C770" w14:textId="77777777" w:rsidTr="003E4251">
        <w:trPr>
          <w:trHeight w:hRule="exact" w:val="432"/>
        </w:trPr>
        <w:tc>
          <w:tcPr>
            <w:tcW w:w="9445" w:type="dxa"/>
            <w:gridSpan w:val="6"/>
            <w:vAlign w:val="center"/>
          </w:tcPr>
          <w:p w14:paraId="518CF243" w14:textId="02BB7973" w:rsidR="00D14793" w:rsidRPr="005C73A8" w:rsidRDefault="00D14793" w:rsidP="00EA29A3">
            <w:pPr>
              <w:spacing w:line="480" w:lineRule="auto"/>
              <w:jc w:val="center"/>
              <w:rPr>
                <w:rFonts w:ascii="Times New Roman" w:hAnsi="Times New Roman" w:cs="Times New Roman"/>
                <w:color w:val="000000"/>
              </w:rPr>
            </w:pPr>
            <w:r w:rsidRPr="005C73A8">
              <w:rPr>
                <w:rFonts w:ascii="Times New Roman" w:hAnsi="Times New Roman" w:cs="Times New Roman"/>
                <w:color w:val="000000"/>
              </w:rPr>
              <w:t>Alpha Diversity</w:t>
            </w:r>
          </w:p>
        </w:tc>
      </w:tr>
      <w:tr w:rsidR="00293F2A" w:rsidRPr="005C73A8" w14:paraId="4D34B875" w14:textId="77777777" w:rsidTr="003E4251">
        <w:trPr>
          <w:trHeight w:hRule="exact" w:val="634"/>
        </w:trPr>
        <w:tc>
          <w:tcPr>
            <w:tcW w:w="1405" w:type="dxa"/>
          </w:tcPr>
          <w:p w14:paraId="7B8DD805" w14:textId="57CA9EE6" w:rsidR="00293F2A" w:rsidRPr="005C73A8" w:rsidRDefault="00293F2A" w:rsidP="003E4251">
            <w:pPr>
              <w:rPr>
                <w:rFonts w:ascii="Times New Roman" w:hAnsi="Times New Roman" w:cs="Times New Roman"/>
                <w:b/>
                <w:bCs/>
              </w:rPr>
            </w:pPr>
            <w:r w:rsidRPr="005C73A8">
              <w:rPr>
                <w:rFonts w:ascii="Times New Roman" w:hAnsi="Times New Roman" w:cs="Times New Roman"/>
                <w:b/>
                <w:bCs/>
                <w:color w:val="000000"/>
              </w:rPr>
              <w:t xml:space="preserve">Dependent </w:t>
            </w:r>
          </w:p>
        </w:tc>
        <w:tc>
          <w:tcPr>
            <w:tcW w:w="1610" w:type="dxa"/>
          </w:tcPr>
          <w:p w14:paraId="5A690053" w14:textId="6EC2361D" w:rsidR="00293F2A" w:rsidRPr="005C73A8" w:rsidRDefault="00293F2A" w:rsidP="003E4251">
            <w:pPr>
              <w:rPr>
                <w:rFonts w:ascii="Times New Roman" w:hAnsi="Times New Roman" w:cs="Times New Roman"/>
                <w:b/>
                <w:bCs/>
              </w:rPr>
            </w:pPr>
            <w:r w:rsidRPr="005C73A8">
              <w:rPr>
                <w:rFonts w:ascii="Times New Roman" w:hAnsi="Times New Roman" w:cs="Times New Roman"/>
                <w:b/>
                <w:bCs/>
                <w:color w:val="000000"/>
              </w:rPr>
              <w:t>Test</w:t>
            </w:r>
          </w:p>
        </w:tc>
        <w:tc>
          <w:tcPr>
            <w:tcW w:w="1967" w:type="dxa"/>
          </w:tcPr>
          <w:p w14:paraId="6AFA3A02" w14:textId="7C1DC141" w:rsidR="00293F2A" w:rsidRPr="005C73A8" w:rsidRDefault="00293F2A" w:rsidP="003E4251">
            <w:pPr>
              <w:jc w:val="center"/>
              <w:rPr>
                <w:rFonts w:ascii="Times New Roman" w:hAnsi="Times New Roman" w:cs="Times New Roman"/>
                <w:b/>
                <w:bCs/>
              </w:rPr>
            </w:pPr>
            <w:r w:rsidRPr="005C73A8">
              <w:rPr>
                <w:rFonts w:ascii="Times New Roman" w:hAnsi="Times New Roman" w:cs="Times New Roman"/>
                <w:b/>
                <w:bCs/>
              </w:rPr>
              <w:t>Cloacal</w:t>
            </w:r>
          </w:p>
          <w:p w14:paraId="093E4CEB" w14:textId="4F723223" w:rsidR="00293F2A" w:rsidRPr="005C73A8" w:rsidRDefault="00293F2A" w:rsidP="003E4251">
            <w:pPr>
              <w:jc w:val="center"/>
              <w:rPr>
                <w:rFonts w:ascii="Times New Roman" w:hAnsi="Times New Roman" w:cs="Times New Roman"/>
                <w:b/>
                <w:bCs/>
              </w:rPr>
            </w:pPr>
            <w:r w:rsidRPr="005C73A8">
              <w:rPr>
                <w:rFonts w:ascii="Times New Roman" w:hAnsi="Times New Roman" w:cs="Times New Roman"/>
                <w:b/>
                <w:bCs/>
              </w:rPr>
              <w:t xml:space="preserve">(avg </w:t>
            </w:r>
            <w:r w:rsidRPr="005C73A8">
              <w:rPr>
                <w:rFonts w:ascii="Times New Roman" w:eastAsia="Times New Roman" w:hAnsi="Times New Roman" w:cs="Times New Roman"/>
                <w:b/>
                <w:bCs/>
                <w:color w:val="000000"/>
              </w:rPr>
              <w:t xml:space="preserve">± </w:t>
            </w:r>
            <w:r w:rsidRPr="005C73A8">
              <w:rPr>
                <w:rFonts w:ascii="Times New Roman" w:hAnsi="Times New Roman" w:cs="Times New Roman"/>
                <w:b/>
                <w:bCs/>
              </w:rPr>
              <w:t>SD)</w:t>
            </w:r>
          </w:p>
        </w:tc>
        <w:tc>
          <w:tcPr>
            <w:tcW w:w="1967" w:type="dxa"/>
          </w:tcPr>
          <w:p w14:paraId="6A0C7CD4" w14:textId="1C8BDE91" w:rsidR="00293F2A" w:rsidRPr="005C73A8" w:rsidRDefault="00293F2A" w:rsidP="003E4251">
            <w:pPr>
              <w:jc w:val="center"/>
              <w:rPr>
                <w:rFonts w:ascii="Times New Roman" w:hAnsi="Times New Roman" w:cs="Times New Roman"/>
                <w:b/>
                <w:bCs/>
              </w:rPr>
            </w:pPr>
            <w:r w:rsidRPr="005C73A8">
              <w:rPr>
                <w:rFonts w:ascii="Times New Roman" w:hAnsi="Times New Roman" w:cs="Times New Roman"/>
                <w:b/>
                <w:bCs/>
              </w:rPr>
              <w:t>Intestinal</w:t>
            </w:r>
          </w:p>
          <w:p w14:paraId="361981E7" w14:textId="1C906201" w:rsidR="00293F2A" w:rsidRPr="005C73A8" w:rsidRDefault="00293F2A" w:rsidP="003E4251">
            <w:pPr>
              <w:jc w:val="center"/>
              <w:rPr>
                <w:rFonts w:ascii="Times New Roman" w:hAnsi="Times New Roman" w:cs="Times New Roman"/>
                <w:b/>
                <w:bCs/>
              </w:rPr>
            </w:pPr>
            <w:r w:rsidRPr="005C73A8">
              <w:rPr>
                <w:rFonts w:ascii="Times New Roman" w:hAnsi="Times New Roman" w:cs="Times New Roman"/>
                <w:b/>
                <w:bCs/>
              </w:rPr>
              <w:t xml:space="preserve">(avg </w:t>
            </w:r>
            <w:r w:rsidRPr="005C73A8">
              <w:rPr>
                <w:rFonts w:ascii="Times New Roman" w:eastAsia="Times New Roman" w:hAnsi="Times New Roman" w:cs="Times New Roman"/>
                <w:b/>
                <w:bCs/>
                <w:color w:val="000000"/>
              </w:rPr>
              <w:t xml:space="preserve">± </w:t>
            </w:r>
            <w:r w:rsidRPr="005C73A8">
              <w:rPr>
                <w:rFonts w:ascii="Times New Roman" w:hAnsi="Times New Roman" w:cs="Times New Roman"/>
                <w:b/>
                <w:bCs/>
              </w:rPr>
              <w:t>SD)</w:t>
            </w:r>
          </w:p>
        </w:tc>
        <w:tc>
          <w:tcPr>
            <w:tcW w:w="1248" w:type="dxa"/>
          </w:tcPr>
          <w:p w14:paraId="0B994D0B" w14:textId="1CF0CEF6" w:rsidR="00293F2A" w:rsidRPr="005C73A8" w:rsidRDefault="00293F2A" w:rsidP="003E4251">
            <w:pPr>
              <w:jc w:val="center"/>
              <w:rPr>
                <w:rFonts w:ascii="Times New Roman" w:hAnsi="Times New Roman" w:cs="Times New Roman"/>
                <w:b/>
                <w:bCs/>
              </w:rPr>
            </w:pPr>
            <w:r w:rsidRPr="005C73A8">
              <w:rPr>
                <w:rFonts w:ascii="Times New Roman" w:hAnsi="Times New Roman" w:cs="Times New Roman"/>
                <w:b/>
                <w:bCs/>
                <w:color w:val="000000"/>
              </w:rPr>
              <w:t>H</w:t>
            </w:r>
          </w:p>
        </w:tc>
        <w:tc>
          <w:tcPr>
            <w:tcW w:w="1248" w:type="dxa"/>
          </w:tcPr>
          <w:p w14:paraId="132D5579" w14:textId="5D406E8F" w:rsidR="00293F2A" w:rsidRPr="005C73A8" w:rsidRDefault="00293F2A" w:rsidP="003E4251">
            <w:pPr>
              <w:jc w:val="center"/>
              <w:rPr>
                <w:rFonts w:ascii="Times New Roman" w:hAnsi="Times New Roman" w:cs="Times New Roman"/>
                <w:b/>
                <w:bCs/>
              </w:rPr>
            </w:pPr>
            <w:r w:rsidRPr="005C73A8">
              <w:rPr>
                <w:rFonts w:ascii="Times New Roman" w:hAnsi="Times New Roman" w:cs="Times New Roman"/>
                <w:b/>
                <w:bCs/>
                <w:color w:val="000000"/>
              </w:rPr>
              <w:t>P</w:t>
            </w:r>
          </w:p>
        </w:tc>
      </w:tr>
      <w:tr w:rsidR="00293F2A" w:rsidRPr="005C73A8" w14:paraId="5A616F12" w14:textId="77777777" w:rsidTr="003E4251">
        <w:trPr>
          <w:trHeight w:hRule="exact" w:val="317"/>
        </w:trPr>
        <w:tc>
          <w:tcPr>
            <w:tcW w:w="1405" w:type="dxa"/>
          </w:tcPr>
          <w:p w14:paraId="7A952E80" w14:textId="193814AF" w:rsidR="00293F2A" w:rsidRPr="005C73A8" w:rsidRDefault="00293F2A" w:rsidP="00EA29A3">
            <w:pPr>
              <w:spacing w:line="480" w:lineRule="auto"/>
              <w:rPr>
                <w:rFonts w:ascii="Times New Roman" w:hAnsi="Times New Roman" w:cs="Times New Roman"/>
              </w:rPr>
            </w:pPr>
            <w:r w:rsidRPr="005C73A8">
              <w:rPr>
                <w:rFonts w:ascii="Times New Roman" w:hAnsi="Times New Roman" w:cs="Times New Roman"/>
                <w:color w:val="000000"/>
              </w:rPr>
              <w:t>Richness</w:t>
            </w:r>
          </w:p>
        </w:tc>
        <w:tc>
          <w:tcPr>
            <w:tcW w:w="1610" w:type="dxa"/>
          </w:tcPr>
          <w:p w14:paraId="7144F93D" w14:textId="568A5D4D" w:rsidR="00293F2A" w:rsidRPr="005C73A8" w:rsidRDefault="00293F2A" w:rsidP="00EA29A3">
            <w:pPr>
              <w:spacing w:line="480" w:lineRule="auto"/>
              <w:rPr>
                <w:rFonts w:ascii="Times New Roman" w:hAnsi="Times New Roman" w:cs="Times New Roman"/>
              </w:rPr>
            </w:pPr>
            <w:r w:rsidRPr="005C73A8">
              <w:rPr>
                <w:rFonts w:ascii="Times New Roman" w:hAnsi="Times New Roman" w:cs="Times New Roman"/>
                <w:color w:val="000000"/>
              </w:rPr>
              <w:t>Kruskal</w:t>
            </w:r>
            <w:r w:rsidR="00B67019">
              <w:rPr>
                <w:rFonts w:ascii="Times New Roman" w:hAnsi="Times New Roman" w:cs="Times New Roman"/>
                <w:color w:val="000000"/>
              </w:rPr>
              <w:t>–</w:t>
            </w:r>
            <w:r w:rsidRPr="005C73A8">
              <w:rPr>
                <w:rFonts w:ascii="Times New Roman" w:hAnsi="Times New Roman" w:cs="Times New Roman"/>
                <w:color w:val="000000"/>
              </w:rPr>
              <w:t>Wallis</w:t>
            </w:r>
          </w:p>
        </w:tc>
        <w:tc>
          <w:tcPr>
            <w:tcW w:w="1967" w:type="dxa"/>
          </w:tcPr>
          <w:p w14:paraId="7E1A9F47" w14:textId="46E1185E" w:rsidR="00293F2A" w:rsidRPr="005C73A8" w:rsidRDefault="00293F2A" w:rsidP="00EA29A3">
            <w:pPr>
              <w:spacing w:line="480" w:lineRule="auto"/>
              <w:jc w:val="center"/>
              <w:rPr>
                <w:rFonts w:ascii="Times New Roman" w:hAnsi="Times New Roman" w:cs="Times New Roman"/>
              </w:rPr>
            </w:pPr>
            <w:r w:rsidRPr="005C73A8">
              <w:rPr>
                <w:rFonts w:ascii="Times New Roman" w:hAnsi="Times New Roman" w:cs="Times New Roman"/>
                <w:color w:val="000000"/>
              </w:rPr>
              <w:t>80.5</w:t>
            </w:r>
            <w:r w:rsidRPr="005C73A8">
              <w:rPr>
                <w:rFonts w:ascii="Times New Roman" w:hAnsi="Times New Roman" w:cs="Times New Roman"/>
              </w:rPr>
              <w:t xml:space="preserve"> </w:t>
            </w:r>
            <w:r w:rsidRPr="005C73A8">
              <w:rPr>
                <w:rFonts w:ascii="Times New Roman" w:eastAsia="Times New Roman" w:hAnsi="Times New Roman" w:cs="Times New Roman"/>
                <w:color w:val="000000"/>
              </w:rPr>
              <w:t>± 6.03</w:t>
            </w:r>
          </w:p>
        </w:tc>
        <w:tc>
          <w:tcPr>
            <w:tcW w:w="1967" w:type="dxa"/>
          </w:tcPr>
          <w:p w14:paraId="5E5D6C63" w14:textId="1934A809" w:rsidR="00293F2A" w:rsidRPr="005C73A8" w:rsidRDefault="00293F2A" w:rsidP="00EA29A3">
            <w:pPr>
              <w:spacing w:line="480" w:lineRule="auto"/>
              <w:jc w:val="center"/>
              <w:rPr>
                <w:rFonts w:ascii="Times New Roman" w:hAnsi="Times New Roman" w:cs="Times New Roman"/>
              </w:rPr>
            </w:pPr>
            <w:r w:rsidRPr="005C73A8">
              <w:rPr>
                <w:rFonts w:ascii="Times New Roman" w:hAnsi="Times New Roman" w:cs="Times New Roman"/>
                <w:color w:val="000000"/>
              </w:rPr>
              <w:t>80</w:t>
            </w:r>
            <w:r w:rsidRPr="005C73A8">
              <w:rPr>
                <w:rFonts w:ascii="Times New Roman" w:hAnsi="Times New Roman" w:cs="Times New Roman"/>
              </w:rPr>
              <w:t xml:space="preserve"> </w:t>
            </w:r>
            <w:r w:rsidRPr="005C73A8">
              <w:rPr>
                <w:rFonts w:ascii="Times New Roman" w:eastAsia="Times New Roman" w:hAnsi="Times New Roman" w:cs="Times New Roman"/>
                <w:color w:val="000000"/>
              </w:rPr>
              <w:t>± 3.92</w:t>
            </w:r>
          </w:p>
        </w:tc>
        <w:tc>
          <w:tcPr>
            <w:tcW w:w="1248" w:type="dxa"/>
          </w:tcPr>
          <w:p w14:paraId="41140D13" w14:textId="0BDE50D3" w:rsidR="00293F2A" w:rsidRPr="005C73A8" w:rsidRDefault="00293F2A" w:rsidP="00EA29A3">
            <w:pPr>
              <w:spacing w:line="480" w:lineRule="auto"/>
              <w:jc w:val="center"/>
              <w:rPr>
                <w:rFonts w:ascii="Times New Roman" w:hAnsi="Times New Roman" w:cs="Times New Roman"/>
              </w:rPr>
            </w:pPr>
            <w:r w:rsidRPr="005C73A8">
              <w:rPr>
                <w:rFonts w:ascii="Times New Roman" w:hAnsi="Times New Roman" w:cs="Times New Roman"/>
                <w:color w:val="000000"/>
              </w:rPr>
              <w:t>0.0833</w:t>
            </w:r>
          </w:p>
        </w:tc>
        <w:tc>
          <w:tcPr>
            <w:tcW w:w="1248" w:type="dxa"/>
          </w:tcPr>
          <w:p w14:paraId="39465616" w14:textId="6ACF5F34" w:rsidR="00293F2A" w:rsidRPr="005C73A8" w:rsidRDefault="00293F2A" w:rsidP="00EA29A3">
            <w:pPr>
              <w:spacing w:line="480" w:lineRule="auto"/>
              <w:jc w:val="center"/>
              <w:rPr>
                <w:rFonts w:ascii="Times New Roman" w:hAnsi="Times New Roman" w:cs="Times New Roman"/>
              </w:rPr>
            </w:pPr>
            <w:r w:rsidRPr="005C73A8">
              <w:rPr>
                <w:rFonts w:ascii="Times New Roman" w:hAnsi="Times New Roman" w:cs="Times New Roman"/>
                <w:color w:val="000000"/>
              </w:rPr>
              <w:t>0.77</w:t>
            </w:r>
          </w:p>
        </w:tc>
      </w:tr>
      <w:tr w:rsidR="00293F2A" w:rsidRPr="005C73A8" w14:paraId="454399CB" w14:textId="77777777" w:rsidTr="003E4251">
        <w:trPr>
          <w:trHeight w:hRule="exact" w:val="317"/>
        </w:trPr>
        <w:tc>
          <w:tcPr>
            <w:tcW w:w="1405" w:type="dxa"/>
          </w:tcPr>
          <w:p w14:paraId="66EEE0A6" w14:textId="57B875E4" w:rsidR="00293F2A" w:rsidRPr="005C73A8" w:rsidRDefault="00293F2A" w:rsidP="00EA29A3">
            <w:pPr>
              <w:spacing w:line="480" w:lineRule="auto"/>
              <w:rPr>
                <w:rFonts w:ascii="Times New Roman" w:hAnsi="Times New Roman" w:cs="Times New Roman"/>
              </w:rPr>
            </w:pPr>
            <w:r w:rsidRPr="005C73A8">
              <w:rPr>
                <w:rFonts w:ascii="Times New Roman" w:hAnsi="Times New Roman" w:cs="Times New Roman"/>
                <w:color w:val="000000"/>
              </w:rPr>
              <w:t>Shannon</w:t>
            </w:r>
          </w:p>
        </w:tc>
        <w:tc>
          <w:tcPr>
            <w:tcW w:w="1610" w:type="dxa"/>
          </w:tcPr>
          <w:p w14:paraId="6358952C" w14:textId="0CEC45E9" w:rsidR="00293F2A" w:rsidRPr="005C73A8" w:rsidRDefault="00293F2A" w:rsidP="00EA29A3">
            <w:pPr>
              <w:spacing w:line="480" w:lineRule="auto"/>
              <w:rPr>
                <w:rFonts w:ascii="Times New Roman" w:hAnsi="Times New Roman" w:cs="Times New Roman"/>
              </w:rPr>
            </w:pPr>
            <w:r w:rsidRPr="005C73A8">
              <w:rPr>
                <w:rFonts w:ascii="Times New Roman" w:hAnsi="Times New Roman" w:cs="Times New Roman"/>
                <w:color w:val="000000"/>
              </w:rPr>
              <w:t>Kruskal</w:t>
            </w:r>
            <w:r w:rsidR="00B67019">
              <w:rPr>
                <w:rFonts w:ascii="Times New Roman" w:hAnsi="Times New Roman" w:cs="Times New Roman"/>
                <w:color w:val="000000"/>
              </w:rPr>
              <w:t>–</w:t>
            </w:r>
            <w:r w:rsidRPr="005C73A8">
              <w:rPr>
                <w:rFonts w:ascii="Times New Roman" w:hAnsi="Times New Roman" w:cs="Times New Roman"/>
                <w:color w:val="000000"/>
              </w:rPr>
              <w:t>Wallis</w:t>
            </w:r>
          </w:p>
        </w:tc>
        <w:tc>
          <w:tcPr>
            <w:tcW w:w="1967" w:type="dxa"/>
          </w:tcPr>
          <w:p w14:paraId="585FB417" w14:textId="10BCB48F" w:rsidR="00293F2A" w:rsidRPr="005C73A8" w:rsidRDefault="00293F2A" w:rsidP="00EA29A3">
            <w:pPr>
              <w:spacing w:line="480" w:lineRule="auto"/>
              <w:jc w:val="center"/>
              <w:rPr>
                <w:rFonts w:ascii="Times New Roman" w:hAnsi="Times New Roman" w:cs="Times New Roman"/>
              </w:rPr>
            </w:pPr>
            <w:r w:rsidRPr="005C73A8">
              <w:rPr>
                <w:rFonts w:ascii="Times New Roman" w:hAnsi="Times New Roman" w:cs="Times New Roman"/>
                <w:color w:val="000000"/>
              </w:rPr>
              <w:t>3.10</w:t>
            </w:r>
            <w:r w:rsidRPr="005C73A8">
              <w:rPr>
                <w:rFonts w:ascii="Times New Roman" w:hAnsi="Times New Roman" w:cs="Times New Roman"/>
              </w:rPr>
              <w:t xml:space="preserve"> </w:t>
            </w:r>
            <w:r w:rsidRPr="005C73A8">
              <w:rPr>
                <w:rFonts w:ascii="Times New Roman" w:eastAsia="Times New Roman" w:hAnsi="Times New Roman" w:cs="Times New Roman"/>
                <w:color w:val="000000"/>
              </w:rPr>
              <w:t>± 0.171</w:t>
            </w:r>
          </w:p>
        </w:tc>
        <w:tc>
          <w:tcPr>
            <w:tcW w:w="1967" w:type="dxa"/>
          </w:tcPr>
          <w:p w14:paraId="6A8CC0E7" w14:textId="6F383B8B" w:rsidR="00293F2A" w:rsidRPr="005C73A8" w:rsidRDefault="00293F2A" w:rsidP="00EA29A3">
            <w:pPr>
              <w:spacing w:line="480" w:lineRule="auto"/>
              <w:jc w:val="center"/>
              <w:rPr>
                <w:rFonts w:ascii="Times New Roman" w:hAnsi="Times New Roman" w:cs="Times New Roman"/>
              </w:rPr>
            </w:pPr>
            <w:r w:rsidRPr="005C73A8">
              <w:rPr>
                <w:rFonts w:ascii="Times New Roman" w:hAnsi="Times New Roman" w:cs="Times New Roman"/>
                <w:color w:val="000000"/>
              </w:rPr>
              <w:t>3.52</w:t>
            </w:r>
            <w:r w:rsidRPr="005C73A8">
              <w:rPr>
                <w:rFonts w:ascii="Times New Roman" w:hAnsi="Times New Roman" w:cs="Times New Roman"/>
              </w:rPr>
              <w:t xml:space="preserve"> </w:t>
            </w:r>
            <w:r w:rsidRPr="005C73A8">
              <w:rPr>
                <w:rFonts w:ascii="Times New Roman" w:eastAsia="Times New Roman" w:hAnsi="Times New Roman" w:cs="Times New Roman"/>
                <w:color w:val="000000"/>
              </w:rPr>
              <w:t>± 0.313</w:t>
            </w:r>
          </w:p>
        </w:tc>
        <w:tc>
          <w:tcPr>
            <w:tcW w:w="1248" w:type="dxa"/>
          </w:tcPr>
          <w:p w14:paraId="34D142FF" w14:textId="308442B5" w:rsidR="00293F2A" w:rsidRPr="005C73A8" w:rsidRDefault="00293F2A" w:rsidP="00EA29A3">
            <w:pPr>
              <w:spacing w:line="480" w:lineRule="auto"/>
              <w:jc w:val="center"/>
              <w:rPr>
                <w:rFonts w:ascii="Times New Roman" w:hAnsi="Times New Roman" w:cs="Times New Roman"/>
              </w:rPr>
            </w:pPr>
            <w:r w:rsidRPr="005C73A8">
              <w:rPr>
                <w:rFonts w:ascii="Times New Roman" w:hAnsi="Times New Roman" w:cs="Times New Roman"/>
                <w:b/>
                <w:bCs/>
                <w:color w:val="000000"/>
              </w:rPr>
              <w:t>3</w:t>
            </w:r>
          </w:p>
        </w:tc>
        <w:tc>
          <w:tcPr>
            <w:tcW w:w="1248" w:type="dxa"/>
          </w:tcPr>
          <w:p w14:paraId="5B040BC0" w14:textId="5CFFD41F" w:rsidR="00293F2A" w:rsidRPr="005C73A8" w:rsidRDefault="00293F2A" w:rsidP="00EA29A3">
            <w:pPr>
              <w:spacing w:line="480" w:lineRule="auto"/>
              <w:jc w:val="center"/>
              <w:rPr>
                <w:rFonts w:ascii="Times New Roman" w:hAnsi="Times New Roman" w:cs="Times New Roman"/>
              </w:rPr>
            </w:pPr>
            <w:r w:rsidRPr="005C73A8">
              <w:rPr>
                <w:rFonts w:ascii="Times New Roman" w:hAnsi="Times New Roman" w:cs="Times New Roman"/>
                <w:b/>
                <w:bCs/>
                <w:color w:val="000000"/>
              </w:rPr>
              <w:t>0.0833</w:t>
            </w:r>
          </w:p>
        </w:tc>
      </w:tr>
      <w:tr w:rsidR="00293F2A" w:rsidRPr="005C73A8" w14:paraId="5139306C" w14:textId="77777777" w:rsidTr="003E4251">
        <w:trPr>
          <w:trHeight w:hRule="exact" w:val="317"/>
        </w:trPr>
        <w:tc>
          <w:tcPr>
            <w:tcW w:w="1405" w:type="dxa"/>
          </w:tcPr>
          <w:p w14:paraId="4D6FE0CE" w14:textId="7B776A27" w:rsidR="00293F2A" w:rsidRPr="005C73A8" w:rsidRDefault="00293F2A" w:rsidP="00EA29A3">
            <w:pPr>
              <w:spacing w:line="480" w:lineRule="auto"/>
              <w:rPr>
                <w:rFonts w:ascii="Times New Roman" w:hAnsi="Times New Roman" w:cs="Times New Roman"/>
              </w:rPr>
            </w:pPr>
            <w:r w:rsidRPr="005C73A8">
              <w:rPr>
                <w:rFonts w:ascii="Times New Roman" w:hAnsi="Times New Roman" w:cs="Times New Roman"/>
                <w:color w:val="000000"/>
              </w:rPr>
              <w:t>Evenness</w:t>
            </w:r>
          </w:p>
        </w:tc>
        <w:tc>
          <w:tcPr>
            <w:tcW w:w="1610" w:type="dxa"/>
          </w:tcPr>
          <w:p w14:paraId="7BC63F92" w14:textId="1F3BE7CB" w:rsidR="00293F2A" w:rsidRPr="005C73A8" w:rsidRDefault="00293F2A" w:rsidP="00EA29A3">
            <w:pPr>
              <w:spacing w:line="480" w:lineRule="auto"/>
              <w:rPr>
                <w:rFonts w:ascii="Times New Roman" w:hAnsi="Times New Roman" w:cs="Times New Roman"/>
              </w:rPr>
            </w:pPr>
            <w:r w:rsidRPr="005C73A8">
              <w:rPr>
                <w:rFonts w:ascii="Times New Roman" w:hAnsi="Times New Roman" w:cs="Times New Roman"/>
                <w:color w:val="000000"/>
              </w:rPr>
              <w:t>Kruskal</w:t>
            </w:r>
            <w:r w:rsidR="00B67019">
              <w:rPr>
                <w:rFonts w:ascii="Times New Roman" w:hAnsi="Times New Roman" w:cs="Times New Roman"/>
                <w:color w:val="000000"/>
              </w:rPr>
              <w:t>–</w:t>
            </w:r>
            <w:r w:rsidRPr="005C73A8">
              <w:rPr>
                <w:rFonts w:ascii="Times New Roman" w:hAnsi="Times New Roman" w:cs="Times New Roman"/>
                <w:color w:val="000000"/>
              </w:rPr>
              <w:t>Wallis</w:t>
            </w:r>
          </w:p>
        </w:tc>
        <w:tc>
          <w:tcPr>
            <w:tcW w:w="1967" w:type="dxa"/>
          </w:tcPr>
          <w:p w14:paraId="7F81B15B" w14:textId="09C0AEB9" w:rsidR="00293F2A" w:rsidRPr="005C73A8" w:rsidRDefault="00293F2A" w:rsidP="00EA29A3">
            <w:pPr>
              <w:spacing w:line="480" w:lineRule="auto"/>
              <w:jc w:val="center"/>
              <w:rPr>
                <w:rFonts w:ascii="Times New Roman" w:hAnsi="Times New Roman" w:cs="Times New Roman"/>
              </w:rPr>
            </w:pPr>
            <w:r w:rsidRPr="005C73A8">
              <w:rPr>
                <w:rFonts w:ascii="Times New Roman" w:hAnsi="Times New Roman" w:cs="Times New Roman"/>
                <w:color w:val="000000"/>
              </w:rPr>
              <w:t>0.490</w:t>
            </w:r>
            <w:r w:rsidRPr="005C73A8">
              <w:rPr>
                <w:rFonts w:ascii="Times New Roman" w:hAnsi="Times New Roman" w:cs="Times New Roman"/>
              </w:rPr>
              <w:t xml:space="preserve"> </w:t>
            </w:r>
            <w:r w:rsidRPr="005C73A8">
              <w:rPr>
                <w:rFonts w:ascii="Times New Roman" w:eastAsia="Times New Roman" w:hAnsi="Times New Roman" w:cs="Times New Roman"/>
                <w:color w:val="000000"/>
              </w:rPr>
              <w:t>± 0.0235</w:t>
            </w:r>
          </w:p>
        </w:tc>
        <w:tc>
          <w:tcPr>
            <w:tcW w:w="1967" w:type="dxa"/>
          </w:tcPr>
          <w:p w14:paraId="2D7DF0DD" w14:textId="2BB51A44" w:rsidR="00293F2A" w:rsidRPr="005C73A8" w:rsidRDefault="00293F2A" w:rsidP="00EA29A3">
            <w:pPr>
              <w:spacing w:line="480" w:lineRule="auto"/>
              <w:jc w:val="center"/>
              <w:rPr>
                <w:rFonts w:ascii="Times New Roman" w:hAnsi="Times New Roman" w:cs="Times New Roman"/>
              </w:rPr>
            </w:pPr>
            <w:r w:rsidRPr="005C73A8">
              <w:rPr>
                <w:rFonts w:ascii="Times New Roman" w:hAnsi="Times New Roman" w:cs="Times New Roman"/>
                <w:color w:val="000000"/>
              </w:rPr>
              <w:t>0.557</w:t>
            </w:r>
            <w:r w:rsidRPr="005C73A8">
              <w:rPr>
                <w:rFonts w:ascii="Times New Roman" w:hAnsi="Times New Roman" w:cs="Times New Roman"/>
              </w:rPr>
              <w:t xml:space="preserve"> </w:t>
            </w:r>
            <w:r w:rsidRPr="005C73A8">
              <w:rPr>
                <w:rFonts w:ascii="Times New Roman" w:eastAsia="Times New Roman" w:hAnsi="Times New Roman" w:cs="Times New Roman"/>
                <w:color w:val="000000"/>
              </w:rPr>
              <w:t>± 0.0442</w:t>
            </w:r>
          </w:p>
        </w:tc>
        <w:tc>
          <w:tcPr>
            <w:tcW w:w="1248" w:type="dxa"/>
          </w:tcPr>
          <w:p w14:paraId="538E0B0D" w14:textId="5D799635" w:rsidR="00293F2A" w:rsidRPr="005C73A8" w:rsidRDefault="00293F2A" w:rsidP="00EA29A3">
            <w:pPr>
              <w:spacing w:line="480" w:lineRule="auto"/>
              <w:jc w:val="center"/>
              <w:rPr>
                <w:rFonts w:ascii="Times New Roman" w:hAnsi="Times New Roman" w:cs="Times New Roman"/>
              </w:rPr>
            </w:pPr>
            <w:r w:rsidRPr="005C73A8">
              <w:rPr>
                <w:rFonts w:ascii="Times New Roman" w:hAnsi="Times New Roman" w:cs="Times New Roman"/>
                <w:b/>
                <w:bCs/>
                <w:color w:val="000000"/>
              </w:rPr>
              <w:t>4.083</w:t>
            </w:r>
          </w:p>
        </w:tc>
        <w:tc>
          <w:tcPr>
            <w:tcW w:w="1248" w:type="dxa"/>
          </w:tcPr>
          <w:p w14:paraId="0B4AD77B" w14:textId="1C844D24" w:rsidR="00293F2A" w:rsidRPr="005C73A8" w:rsidRDefault="00293F2A" w:rsidP="00EA29A3">
            <w:pPr>
              <w:spacing w:line="480" w:lineRule="auto"/>
              <w:jc w:val="center"/>
              <w:rPr>
                <w:rFonts w:ascii="Times New Roman" w:hAnsi="Times New Roman" w:cs="Times New Roman"/>
              </w:rPr>
            </w:pPr>
            <w:r w:rsidRPr="005C73A8">
              <w:rPr>
                <w:rFonts w:ascii="Times New Roman" w:hAnsi="Times New Roman" w:cs="Times New Roman"/>
                <w:b/>
                <w:bCs/>
                <w:color w:val="000000"/>
              </w:rPr>
              <w:t>0.043</w:t>
            </w:r>
          </w:p>
        </w:tc>
      </w:tr>
      <w:tr w:rsidR="00293F2A" w:rsidRPr="005C73A8" w14:paraId="5B381973" w14:textId="77777777" w:rsidTr="003E4251">
        <w:trPr>
          <w:trHeight w:hRule="exact" w:val="317"/>
        </w:trPr>
        <w:tc>
          <w:tcPr>
            <w:tcW w:w="1405" w:type="dxa"/>
          </w:tcPr>
          <w:p w14:paraId="1A03758E" w14:textId="31316811" w:rsidR="00293F2A" w:rsidRPr="005C73A8" w:rsidRDefault="00293F2A" w:rsidP="00EA29A3">
            <w:pPr>
              <w:spacing w:line="480" w:lineRule="auto"/>
              <w:rPr>
                <w:rFonts w:ascii="Times New Roman" w:hAnsi="Times New Roman" w:cs="Times New Roman"/>
              </w:rPr>
            </w:pPr>
            <w:r w:rsidRPr="005C73A8">
              <w:rPr>
                <w:rFonts w:ascii="Times New Roman" w:hAnsi="Times New Roman" w:cs="Times New Roman"/>
                <w:color w:val="000000"/>
              </w:rPr>
              <w:t>Faith PD</w:t>
            </w:r>
          </w:p>
        </w:tc>
        <w:tc>
          <w:tcPr>
            <w:tcW w:w="1610" w:type="dxa"/>
          </w:tcPr>
          <w:p w14:paraId="483132EE" w14:textId="7C8A94BC" w:rsidR="00293F2A" w:rsidRPr="005C73A8" w:rsidRDefault="00293F2A" w:rsidP="00EA29A3">
            <w:pPr>
              <w:spacing w:line="480" w:lineRule="auto"/>
              <w:rPr>
                <w:rFonts w:ascii="Times New Roman" w:hAnsi="Times New Roman" w:cs="Times New Roman"/>
              </w:rPr>
            </w:pPr>
            <w:r w:rsidRPr="005C73A8">
              <w:rPr>
                <w:rFonts w:ascii="Times New Roman" w:hAnsi="Times New Roman" w:cs="Times New Roman"/>
                <w:color w:val="000000"/>
              </w:rPr>
              <w:t>Kruskal</w:t>
            </w:r>
            <w:r w:rsidR="00B67019">
              <w:rPr>
                <w:rFonts w:ascii="Times New Roman" w:hAnsi="Times New Roman" w:cs="Times New Roman"/>
                <w:color w:val="000000"/>
              </w:rPr>
              <w:t>–</w:t>
            </w:r>
            <w:r w:rsidRPr="005C73A8">
              <w:rPr>
                <w:rFonts w:ascii="Times New Roman" w:hAnsi="Times New Roman" w:cs="Times New Roman"/>
                <w:color w:val="000000"/>
              </w:rPr>
              <w:t>Wallis</w:t>
            </w:r>
          </w:p>
        </w:tc>
        <w:tc>
          <w:tcPr>
            <w:tcW w:w="1967" w:type="dxa"/>
          </w:tcPr>
          <w:p w14:paraId="227BB771" w14:textId="6BF9F3AE" w:rsidR="00293F2A" w:rsidRPr="005C73A8" w:rsidRDefault="00293F2A" w:rsidP="00EA29A3">
            <w:pPr>
              <w:spacing w:line="480" w:lineRule="auto"/>
              <w:jc w:val="center"/>
              <w:rPr>
                <w:rFonts w:ascii="Times New Roman" w:hAnsi="Times New Roman" w:cs="Times New Roman"/>
              </w:rPr>
            </w:pPr>
            <w:r w:rsidRPr="005C73A8">
              <w:rPr>
                <w:rFonts w:ascii="Times New Roman" w:hAnsi="Times New Roman" w:cs="Times New Roman"/>
                <w:color w:val="000000"/>
              </w:rPr>
              <w:t>6.67</w:t>
            </w:r>
            <w:r w:rsidRPr="005C73A8">
              <w:rPr>
                <w:rFonts w:ascii="Times New Roman" w:hAnsi="Times New Roman" w:cs="Times New Roman"/>
              </w:rPr>
              <w:t xml:space="preserve"> </w:t>
            </w:r>
            <w:r w:rsidRPr="005C73A8">
              <w:rPr>
                <w:rFonts w:ascii="Times New Roman" w:eastAsia="Times New Roman" w:hAnsi="Times New Roman" w:cs="Times New Roman"/>
                <w:color w:val="000000"/>
              </w:rPr>
              <w:t>± 0.716</w:t>
            </w:r>
          </w:p>
        </w:tc>
        <w:tc>
          <w:tcPr>
            <w:tcW w:w="1967" w:type="dxa"/>
          </w:tcPr>
          <w:p w14:paraId="7F3941DD" w14:textId="2E93557E" w:rsidR="00293F2A" w:rsidRPr="005C73A8" w:rsidRDefault="00293F2A" w:rsidP="00EA29A3">
            <w:pPr>
              <w:spacing w:line="480" w:lineRule="auto"/>
              <w:jc w:val="center"/>
              <w:rPr>
                <w:rFonts w:ascii="Times New Roman" w:hAnsi="Times New Roman" w:cs="Times New Roman"/>
              </w:rPr>
            </w:pPr>
            <w:r w:rsidRPr="005C73A8">
              <w:rPr>
                <w:rFonts w:ascii="Times New Roman" w:hAnsi="Times New Roman" w:cs="Times New Roman"/>
                <w:color w:val="000000"/>
              </w:rPr>
              <w:t>6.74</w:t>
            </w:r>
            <w:r w:rsidRPr="005C73A8">
              <w:rPr>
                <w:rFonts w:ascii="Times New Roman" w:hAnsi="Times New Roman" w:cs="Times New Roman"/>
              </w:rPr>
              <w:t xml:space="preserve"> </w:t>
            </w:r>
            <w:r w:rsidRPr="005C73A8">
              <w:rPr>
                <w:rFonts w:ascii="Times New Roman" w:eastAsia="Times New Roman" w:hAnsi="Times New Roman" w:cs="Times New Roman"/>
                <w:color w:val="000000"/>
              </w:rPr>
              <w:t>± 0.259</w:t>
            </w:r>
          </w:p>
        </w:tc>
        <w:tc>
          <w:tcPr>
            <w:tcW w:w="1248" w:type="dxa"/>
          </w:tcPr>
          <w:p w14:paraId="52A0B6FE" w14:textId="1A902869" w:rsidR="00293F2A" w:rsidRPr="005C73A8" w:rsidRDefault="00293F2A" w:rsidP="00EA29A3">
            <w:pPr>
              <w:spacing w:line="480" w:lineRule="auto"/>
              <w:jc w:val="center"/>
              <w:rPr>
                <w:rFonts w:ascii="Times New Roman" w:hAnsi="Times New Roman" w:cs="Times New Roman"/>
              </w:rPr>
            </w:pPr>
            <w:r w:rsidRPr="005C73A8">
              <w:rPr>
                <w:rFonts w:ascii="Times New Roman" w:hAnsi="Times New Roman" w:cs="Times New Roman"/>
                <w:color w:val="000000"/>
              </w:rPr>
              <w:t>0</w:t>
            </w:r>
          </w:p>
        </w:tc>
        <w:tc>
          <w:tcPr>
            <w:tcW w:w="1248" w:type="dxa"/>
          </w:tcPr>
          <w:p w14:paraId="7A9903EA" w14:textId="276AFED1" w:rsidR="00293F2A" w:rsidRPr="005C73A8" w:rsidRDefault="00293F2A" w:rsidP="00EA29A3">
            <w:pPr>
              <w:spacing w:line="480" w:lineRule="auto"/>
              <w:jc w:val="center"/>
              <w:rPr>
                <w:rFonts w:ascii="Times New Roman" w:hAnsi="Times New Roman" w:cs="Times New Roman"/>
              </w:rPr>
            </w:pPr>
            <w:r w:rsidRPr="005C73A8">
              <w:rPr>
                <w:rFonts w:ascii="Times New Roman" w:hAnsi="Times New Roman" w:cs="Times New Roman"/>
                <w:color w:val="000000"/>
              </w:rPr>
              <w:t>1</w:t>
            </w:r>
          </w:p>
        </w:tc>
      </w:tr>
      <w:tr w:rsidR="00293F2A" w:rsidRPr="005C73A8" w14:paraId="09B7E1E1" w14:textId="77777777" w:rsidTr="003E4251">
        <w:trPr>
          <w:trHeight w:hRule="exact" w:val="317"/>
        </w:trPr>
        <w:tc>
          <w:tcPr>
            <w:tcW w:w="1405" w:type="dxa"/>
          </w:tcPr>
          <w:p w14:paraId="12352AEB" w14:textId="77777777" w:rsidR="00293F2A" w:rsidRPr="005C73A8" w:rsidRDefault="00293F2A" w:rsidP="00EA29A3">
            <w:pPr>
              <w:spacing w:line="480" w:lineRule="auto"/>
              <w:rPr>
                <w:rFonts w:ascii="Times New Roman" w:hAnsi="Times New Roman" w:cs="Times New Roman"/>
              </w:rPr>
            </w:pPr>
          </w:p>
        </w:tc>
        <w:tc>
          <w:tcPr>
            <w:tcW w:w="1610" w:type="dxa"/>
          </w:tcPr>
          <w:p w14:paraId="7D05507D" w14:textId="77777777" w:rsidR="00293F2A" w:rsidRPr="005C73A8" w:rsidRDefault="00293F2A" w:rsidP="00EA29A3">
            <w:pPr>
              <w:spacing w:line="480" w:lineRule="auto"/>
              <w:rPr>
                <w:rFonts w:ascii="Times New Roman" w:hAnsi="Times New Roman" w:cs="Times New Roman"/>
              </w:rPr>
            </w:pPr>
          </w:p>
        </w:tc>
        <w:tc>
          <w:tcPr>
            <w:tcW w:w="1967" w:type="dxa"/>
          </w:tcPr>
          <w:p w14:paraId="4FEDC17F" w14:textId="77777777" w:rsidR="00293F2A" w:rsidRPr="005C73A8" w:rsidRDefault="00293F2A" w:rsidP="00EA29A3">
            <w:pPr>
              <w:spacing w:line="480" w:lineRule="auto"/>
              <w:jc w:val="center"/>
              <w:rPr>
                <w:rFonts w:ascii="Times New Roman" w:hAnsi="Times New Roman" w:cs="Times New Roman"/>
              </w:rPr>
            </w:pPr>
          </w:p>
        </w:tc>
        <w:tc>
          <w:tcPr>
            <w:tcW w:w="1967" w:type="dxa"/>
          </w:tcPr>
          <w:p w14:paraId="6F25092A" w14:textId="77777777" w:rsidR="00293F2A" w:rsidRPr="005C73A8" w:rsidRDefault="00293F2A" w:rsidP="00EA29A3">
            <w:pPr>
              <w:spacing w:line="480" w:lineRule="auto"/>
              <w:jc w:val="center"/>
              <w:rPr>
                <w:rFonts w:ascii="Times New Roman" w:hAnsi="Times New Roman" w:cs="Times New Roman"/>
              </w:rPr>
            </w:pPr>
          </w:p>
        </w:tc>
        <w:tc>
          <w:tcPr>
            <w:tcW w:w="1248" w:type="dxa"/>
          </w:tcPr>
          <w:p w14:paraId="7ADD7CE7" w14:textId="77777777" w:rsidR="00293F2A" w:rsidRPr="005C73A8" w:rsidRDefault="00293F2A" w:rsidP="00EA29A3">
            <w:pPr>
              <w:spacing w:line="480" w:lineRule="auto"/>
              <w:jc w:val="center"/>
              <w:rPr>
                <w:rFonts w:ascii="Times New Roman" w:hAnsi="Times New Roman" w:cs="Times New Roman"/>
              </w:rPr>
            </w:pPr>
          </w:p>
        </w:tc>
        <w:tc>
          <w:tcPr>
            <w:tcW w:w="1248" w:type="dxa"/>
          </w:tcPr>
          <w:p w14:paraId="1E0D9272" w14:textId="77777777" w:rsidR="00293F2A" w:rsidRPr="005C73A8" w:rsidRDefault="00293F2A" w:rsidP="00EA29A3">
            <w:pPr>
              <w:spacing w:line="480" w:lineRule="auto"/>
              <w:jc w:val="center"/>
              <w:rPr>
                <w:rFonts w:ascii="Times New Roman" w:hAnsi="Times New Roman" w:cs="Times New Roman"/>
              </w:rPr>
            </w:pPr>
          </w:p>
        </w:tc>
      </w:tr>
      <w:tr w:rsidR="00D14793" w:rsidRPr="005C73A8" w14:paraId="62D49049" w14:textId="77777777" w:rsidTr="003E4251">
        <w:trPr>
          <w:trHeight w:hRule="exact" w:val="432"/>
        </w:trPr>
        <w:tc>
          <w:tcPr>
            <w:tcW w:w="9445" w:type="dxa"/>
            <w:gridSpan w:val="6"/>
            <w:vAlign w:val="bottom"/>
          </w:tcPr>
          <w:p w14:paraId="00F8C61A" w14:textId="6D2EF27D" w:rsidR="00D14793" w:rsidRPr="005C73A8" w:rsidRDefault="00D14793" w:rsidP="003E4251">
            <w:pPr>
              <w:spacing w:line="480" w:lineRule="auto"/>
              <w:jc w:val="center"/>
              <w:rPr>
                <w:rFonts w:ascii="Times New Roman" w:hAnsi="Times New Roman" w:cs="Times New Roman"/>
                <w:color w:val="000000"/>
              </w:rPr>
            </w:pPr>
            <w:r w:rsidRPr="005C73A8">
              <w:rPr>
                <w:rFonts w:ascii="Times New Roman" w:hAnsi="Times New Roman" w:cs="Times New Roman"/>
                <w:color w:val="000000"/>
              </w:rPr>
              <w:t>Beta Diversity</w:t>
            </w:r>
          </w:p>
        </w:tc>
      </w:tr>
      <w:tr w:rsidR="00293F2A" w:rsidRPr="005C73A8" w14:paraId="659B79F1" w14:textId="77777777" w:rsidTr="003E4251">
        <w:trPr>
          <w:trHeight w:hRule="exact" w:val="317"/>
        </w:trPr>
        <w:tc>
          <w:tcPr>
            <w:tcW w:w="1405" w:type="dxa"/>
          </w:tcPr>
          <w:p w14:paraId="0FB02D3F" w14:textId="133EBE4A" w:rsidR="00293F2A" w:rsidRPr="005C73A8" w:rsidRDefault="00293F2A" w:rsidP="00EA29A3">
            <w:pPr>
              <w:spacing w:line="480" w:lineRule="auto"/>
              <w:rPr>
                <w:rFonts w:ascii="Times New Roman" w:hAnsi="Times New Roman" w:cs="Times New Roman"/>
                <w:b/>
                <w:bCs/>
              </w:rPr>
            </w:pPr>
            <w:r w:rsidRPr="005C73A8">
              <w:rPr>
                <w:rFonts w:ascii="Times New Roman" w:hAnsi="Times New Roman" w:cs="Times New Roman"/>
                <w:b/>
                <w:bCs/>
                <w:color w:val="000000"/>
              </w:rPr>
              <w:t xml:space="preserve">Dependent </w:t>
            </w:r>
          </w:p>
        </w:tc>
        <w:tc>
          <w:tcPr>
            <w:tcW w:w="1610" w:type="dxa"/>
          </w:tcPr>
          <w:p w14:paraId="303B33C5" w14:textId="2498D127" w:rsidR="00293F2A" w:rsidRPr="005C73A8" w:rsidRDefault="00293F2A" w:rsidP="00EA29A3">
            <w:pPr>
              <w:spacing w:line="480" w:lineRule="auto"/>
              <w:rPr>
                <w:rFonts w:ascii="Times New Roman" w:hAnsi="Times New Roman" w:cs="Times New Roman"/>
                <w:b/>
                <w:bCs/>
              </w:rPr>
            </w:pPr>
            <w:r w:rsidRPr="005C73A8">
              <w:rPr>
                <w:rFonts w:ascii="Times New Roman" w:hAnsi="Times New Roman" w:cs="Times New Roman"/>
                <w:b/>
                <w:bCs/>
                <w:color w:val="000000"/>
              </w:rPr>
              <w:t>Test</w:t>
            </w:r>
          </w:p>
        </w:tc>
        <w:tc>
          <w:tcPr>
            <w:tcW w:w="1967" w:type="dxa"/>
          </w:tcPr>
          <w:p w14:paraId="6A3DDBEA" w14:textId="77777777" w:rsidR="00293F2A" w:rsidRPr="005C73A8" w:rsidRDefault="00293F2A" w:rsidP="00EA29A3">
            <w:pPr>
              <w:spacing w:line="480" w:lineRule="auto"/>
              <w:rPr>
                <w:rFonts w:ascii="Times New Roman" w:hAnsi="Times New Roman" w:cs="Times New Roman"/>
                <w:b/>
                <w:bCs/>
              </w:rPr>
            </w:pPr>
          </w:p>
        </w:tc>
        <w:tc>
          <w:tcPr>
            <w:tcW w:w="1967" w:type="dxa"/>
          </w:tcPr>
          <w:p w14:paraId="622A878F" w14:textId="77777777" w:rsidR="00293F2A" w:rsidRPr="005C73A8" w:rsidRDefault="00293F2A" w:rsidP="00EA29A3">
            <w:pPr>
              <w:spacing w:line="480" w:lineRule="auto"/>
              <w:rPr>
                <w:rFonts w:ascii="Times New Roman" w:hAnsi="Times New Roman" w:cs="Times New Roman"/>
                <w:b/>
                <w:bCs/>
              </w:rPr>
            </w:pPr>
          </w:p>
        </w:tc>
        <w:tc>
          <w:tcPr>
            <w:tcW w:w="1248" w:type="dxa"/>
          </w:tcPr>
          <w:p w14:paraId="149F53D7" w14:textId="5C59C9EE" w:rsidR="00293F2A" w:rsidRPr="005C73A8" w:rsidRDefault="00293F2A" w:rsidP="00EA29A3">
            <w:pPr>
              <w:spacing w:line="480" w:lineRule="auto"/>
              <w:jc w:val="center"/>
              <w:rPr>
                <w:rFonts w:ascii="Times New Roman" w:hAnsi="Times New Roman" w:cs="Times New Roman"/>
                <w:b/>
                <w:bCs/>
              </w:rPr>
            </w:pPr>
            <w:r w:rsidRPr="005C73A8">
              <w:rPr>
                <w:rFonts w:ascii="Times New Roman" w:hAnsi="Times New Roman" w:cs="Times New Roman"/>
                <w:b/>
                <w:bCs/>
                <w:color w:val="000000"/>
              </w:rPr>
              <w:t>pseudo-F</w:t>
            </w:r>
          </w:p>
        </w:tc>
        <w:tc>
          <w:tcPr>
            <w:tcW w:w="1248" w:type="dxa"/>
          </w:tcPr>
          <w:p w14:paraId="3F601F3F" w14:textId="7BA49CC7" w:rsidR="00293F2A" w:rsidRPr="005C73A8" w:rsidRDefault="00293F2A" w:rsidP="00EA29A3">
            <w:pPr>
              <w:spacing w:line="480" w:lineRule="auto"/>
              <w:jc w:val="center"/>
              <w:rPr>
                <w:rFonts w:ascii="Times New Roman" w:hAnsi="Times New Roman" w:cs="Times New Roman"/>
                <w:b/>
                <w:bCs/>
              </w:rPr>
            </w:pPr>
            <w:r w:rsidRPr="005C73A8">
              <w:rPr>
                <w:rFonts w:ascii="Times New Roman" w:hAnsi="Times New Roman" w:cs="Times New Roman"/>
                <w:b/>
                <w:bCs/>
                <w:color w:val="000000"/>
              </w:rPr>
              <w:t>P</w:t>
            </w:r>
          </w:p>
        </w:tc>
      </w:tr>
      <w:tr w:rsidR="00293F2A" w:rsidRPr="005C73A8" w14:paraId="439D2BFA" w14:textId="77777777" w:rsidTr="003E4251">
        <w:trPr>
          <w:trHeight w:hRule="exact" w:val="317"/>
        </w:trPr>
        <w:tc>
          <w:tcPr>
            <w:tcW w:w="1405" w:type="dxa"/>
          </w:tcPr>
          <w:p w14:paraId="18A20C63" w14:textId="3973C288" w:rsidR="00293F2A" w:rsidRPr="005C73A8" w:rsidRDefault="00293F2A" w:rsidP="00EA29A3">
            <w:pPr>
              <w:spacing w:line="480" w:lineRule="auto"/>
              <w:rPr>
                <w:rFonts w:ascii="Times New Roman" w:hAnsi="Times New Roman" w:cs="Times New Roman"/>
              </w:rPr>
            </w:pPr>
            <w:r w:rsidRPr="005C73A8">
              <w:rPr>
                <w:rFonts w:ascii="Times New Roman" w:hAnsi="Times New Roman" w:cs="Times New Roman"/>
                <w:color w:val="000000"/>
              </w:rPr>
              <w:t>Jaccard</w:t>
            </w:r>
          </w:p>
        </w:tc>
        <w:tc>
          <w:tcPr>
            <w:tcW w:w="1610" w:type="dxa"/>
          </w:tcPr>
          <w:p w14:paraId="7A8B9AB3" w14:textId="348C691F" w:rsidR="00293F2A" w:rsidRPr="005C73A8" w:rsidRDefault="00293F2A" w:rsidP="00EA29A3">
            <w:pPr>
              <w:spacing w:line="480" w:lineRule="auto"/>
              <w:rPr>
                <w:rFonts w:ascii="Times New Roman" w:hAnsi="Times New Roman" w:cs="Times New Roman"/>
              </w:rPr>
            </w:pPr>
            <w:r w:rsidRPr="005C73A8">
              <w:rPr>
                <w:rFonts w:ascii="Times New Roman" w:hAnsi="Times New Roman" w:cs="Times New Roman"/>
                <w:color w:val="000000"/>
              </w:rPr>
              <w:t>PERMANOVA</w:t>
            </w:r>
          </w:p>
        </w:tc>
        <w:tc>
          <w:tcPr>
            <w:tcW w:w="1967" w:type="dxa"/>
          </w:tcPr>
          <w:p w14:paraId="58BAC022" w14:textId="77777777" w:rsidR="00293F2A" w:rsidRPr="005C73A8" w:rsidRDefault="00293F2A" w:rsidP="00EA29A3">
            <w:pPr>
              <w:spacing w:line="480" w:lineRule="auto"/>
              <w:rPr>
                <w:rFonts w:ascii="Times New Roman" w:hAnsi="Times New Roman" w:cs="Times New Roman"/>
              </w:rPr>
            </w:pPr>
          </w:p>
        </w:tc>
        <w:tc>
          <w:tcPr>
            <w:tcW w:w="1967" w:type="dxa"/>
          </w:tcPr>
          <w:p w14:paraId="0F69C2FA" w14:textId="77777777" w:rsidR="00293F2A" w:rsidRPr="005C73A8" w:rsidRDefault="00293F2A" w:rsidP="00EA29A3">
            <w:pPr>
              <w:spacing w:line="480" w:lineRule="auto"/>
              <w:rPr>
                <w:rFonts w:ascii="Times New Roman" w:hAnsi="Times New Roman" w:cs="Times New Roman"/>
              </w:rPr>
            </w:pPr>
          </w:p>
        </w:tc>
        <w:tc>
          <w:tcPr>
            <w:tcW w:w="1248" w:type="dxa"/>
          </w:tcPr>
          <w:p w14:paraId="6769B680" w14:textId="751F7F04" w:rsidR="00293F2A" w:rsidRPr="005C73A8" w:rsidRDefault="00293F2A" w:rsidP="00EA29A3">
            <w:pPr>
              <w:spacing w:line="480" w:lineRule="auto"/>
              <w:jc w:val="center"/>
              <w:rPr>
                <w:rFonts w:ascii="Times New Roman" w:hAnsi="Times New Roman" w:cs="Times New Roman"/>
              </w:rPr>
            </w:pPr>
            <w:r w:rsidRPr="005C73A8">
              <w:rPr>
                <w:rFonts w:ascii="Times New Roman" w:hAnsi="Times New Roman" w:cs="Times New Roman"/>
                <w:color w:val="000000"/>
              </w:rPr>
              <w:t>1.155</w:t>
            </w:r>
          </w:p>
        </w:tc>
        <w:tc>
          <w:tcPr>
            <w:tcW w:w="1248" w:type="dxa"/>
          </w:tcPr>
          <w:p w14:paraId="5D8B49DB" w14:textId="5458BF0D" w:rsidR="00293F2A" w:rsidRPr="005C73A8" w:rsidRDefault="00293F2A" w:rsidP="00EA29A3">
            <w:pPr>
              <w:spacing w:line="480" w:lineRule="auto"/>
              <w:jc w:val="center"/>
              <w:rPr>
                <w:rFonts w:ascii="Times New Roman" w:hAnsi="Times New Roman" w:cs="Times New Roman"/>
              </w:rPr>
            </w:pPr>
            <w:r w:rsidRPr="005C73A8">
              <w:rPr>
                <w:rFonts w:ascii="Times New Roman" w:hAnsi="Times New Roman" w:cs="Times New Roman"/>
                <w:color w:val="000000"/>
              </w:rPr>
              <w:t>0.12</w:t>
            </w:r>
          </w:p>
        </w:tc>
      </w:tr>
      <w:tr w:rsidR="00293F2A" w:rsidRPr="005C73A8" w14:paraId="3595D451" w14:textId="77777777" w:rsidTr="003E4251">
        <w:trPr>
          <w:trHeight w:hRule="exact" w:val="317"/>
        </w:trPr>
        <w:tc>
          <w:tcPr>
            <w:tcW w:w="1405" w:type="dxa"/>
          </w:tcPr>
          <w:p w14:paraId="7FACF25A" w14:textId="1639D815" w:rsidR="00293F2A" w:rsidRPr="005C73A8" w:rsidRDefault="00293F2A" w:rsidP="00EA29A3">
            <w:pPr>
              <w:spacing w:line="480" w:lineRule="auto"/>
              <w:rPr>
                <w:rFonts w:ascii="Times New Roman" w:hAnsi="Times New Roman" w:cs="Times New Roman"/>
              </w:rPr>
            </w:pPr>
            <w:r w:rsidRPr="005C73A8">
              <w:rPr>
                <w:rFonts w:ascii="Times New Roman" w:hAnsi="Times New Roman" w:cs="Times New Roman"/>
                <w:color w:val="000000"/>
              </w:rPr>
              <w:t>Bray</w:t>
            </w:r>
            <w:r w:rsidR="00B67019">
              <w:rPr>
                <w:rFonts w:ascii="Times New Roman" w:hAnsi="Times New Roman" w:cs="Times New Roman"/>
                <w:color w:val="000000"/>
              </w:rPr>
              <w:t>–</w:t>
            </w:r>
            <w:r w:rsidRPr="005C73A8">
              <w:rPr>
                <w:rFonts w:ascii="Times New Roman" w:hAnsi="Times New Roman" w:cs="Times New Roman"/>
                <w:color w:val="000000"/>
              </w:rPr>
              <w:t>Curtis</w:t>
            </w:r>
          </w:p>
        </w:tc>
        <w:tc>
          <w:tcPr>
            <w:tcW w:w="1610" w:type="dxa"/>
          </w:tcPr>
          <w:p w14:paraId="5F8A61C7" w14:textId="064A7345" w:rsidR="00293F2A" w:rsidRPr="005C73A8" w:rsidRDefault="00293F2A" w:rsidP="00EA29A3">
            <w:pPr>
              <w:spacing w:line="480" w:lineRule="auto"/>
              <w:rPr>
                <w:rFonts w:ascii="Times New Roman" w:hAnsi="Times New Roman" w:cs="Times New Roman"/>
              </w:rPr>
            </w:pPr>
            <w:r w:rsidRPr="005C73A8">
              <w:rPr>
                <w:rFonts w:ascii="Times New Roman" w:hAnsi="Times New Roman" w:cs="Times New Roman"/>
                <w:color w:val="000000"/>
              </w:rPr>
              <w:t>PERMANOVA</w:t>
            </w:r>
          </w:p>
        </w:tc>
        <w:tc>
          <w:tcPr>
            <w:tcW w:w="1967" w:type="dxa"/>
          </w:tcPr>
          <w:p w14:paraId="5AD5F8F1" w14:textId="77777777" w:rsidR="00293F2A" w:rsidRPr="005C73A8" w:rsidRDefault="00293F2A" w:rsidP="00EA29A3">
            <w:pPr>
              <w:spacing w:line="480" w:lineRule="auto"/>
              <w:rPr>
                <w:rFonts w:ascii="Times New Roman" w:hAnsi="Times New Roman" w:cs="Times New Roman"/>
              </w:rPr>
            </w:pPr>
          </w:p>
        </w:tc>
        <w:tc>
          <w:tcPr>
            <w:tcW w:w="1967" w:type="dxa"/>
          </w:tcPr>
          <w:p w14:paraId="5DBC13BC" w14:textId="77777777" w:rsidR="00293F2A" w:rsidRPr="005C73A8" w:rsidRDefault="00293F2A" w:rsidP="00EA29A3">
            <w:pPr>
              <w:spacing w:line="480" w:lineRule="auto"/>
              <w:rPr>
                <w:rFonts w:ascii="Times New Roman" w:hAnsi="Times New Roman" w:cs="Times New Roman"/>
              </w:rPr>
            </w:pPr>
          </w:p>
        </w:tc>
        <w:tc>
          <w:tcPr>
            <w:tcW w:w="1248" w:type="dxa"/>
          </w:tcPr>
          <w:p w14:paraId="134DF981" w14:textId="6BA646A3" w:rsidR="00293F2A" w:rsidRPr="005C73A8" w:rsidRDefault="00293F2A" w:rsidP="00EA29A3">
            <w:pPr>
              <w:spacing w:line="480" w:lineRule="auto"/>
              <w:jc w:val="center"/>
              <w:rPr>
                <w:rFonts w:ascii="Times New Roman" w:hAnsi="Times New Roman" w:cs="Times New Roman"/>
              </w:rPr>
            </w:pPr>
            <w:r w:rsidRPr="005C73A8">
              <w:rPr>
                <w:rFonts w:ascii="Times New Roman" w:hAnsi="Times New Roman" w:cs="Times New Roman"/>
                <w:color w:val="000000"/>
              </w:rPr>
              <w:t>1.26225</w:t>
            </w:r>
          </w:p>
        </w:tc>
        <w:tc>
          <w:tcPr>
            <w:tcW w:w="1248" w:type="dxa"/>
          </w:tcPr>
          <w:p w14:paraId="3169740D" w14:textId="64F0D126" w:rsidR="00293F2A" w:rsidRPr="005C73A8" w:rsidRDefault="00293F2A" w:rsidP="00EA29A3">
            <w:pPr>
              <w:spacing w:line="480" w:lineRule="auto"/>
              <w:jc w:val="center"/>
              <w:rPr>
                <w:rFonts w:ascii="Times New Roman" w:hAnsi="Times New Roman" w:cs="Times New Roman"/>
              </w:rPr>
            </w:pPr>
            <w:r w:rsidRPr="005C73A8">
              <w:rPr>
                <w:rFonts w:ascii="Times New Roman" w:hAnsi="Times New Roman" w:cs="Times New Roman"/>
                <w:color w:val="000000"/>
              </w:rPr>
              <w:t>0.272</w:t>
            </w:r>
          </w:p>
        </w:tc>
      </w:tr>
      <w:tr w:rsidR="00293F2A" w:rsidRPr="005C73A8" w14:paraId="46F77146" w14:textId="77777777" w:rsidTr="003E4251">
        <w:trPr>
          <w:trHeight w:hRule="exact" w:val="317"/>
        </w:trPr>
        <w:tc>
          <w:tcPr>
            <w:tcW w:w="1405" w:type="dxa"/>
          </w:tcPr>
          <w:p w14:paraId="4FFEE6BD" w14:textId="7134C759" w:rsidR="00293F2A" w:rsidRPr="005C73A8" w:rsidRDefault="00293F2A" w:rsidP="00EA29A3">
            <w:pPr>
              <w:spacing w:line="480" w:lineRule="auto"/>
              <w:rPr>
                <w:rFonts w:ascii="Times New Roman" w:hAnsi="Times New Roman" w:cs="Times New Roman"/>
              </w:rPr>
            </w:pPr>
            <w:r w:rsidRPr="005C73A8">
              <w:rPr>
                <w:rFonts w:ascii="Times New Roman" w:hAnsi="Times New Roman" w:cs="Times New Roman"/>
                <w:color w:val="000000"/>
              </w:rPr>
              <w:t xml:space="preserve">Unweighted </w:t>
            </w:r>
            <w:proofErr w:type="spellStart"/>
            <w:r w:rsidRPr="005C73A8">
              <w:rPr>
                <w:rFonts w:ascii="Times New Roman" w:hAnsi="Times New Roman" w:cs="Times New Roman"/>
                <w:color w:val="000000"/>
              </w:rPr>
              <w:t>UniFrac</w:t>
            </w:r>
            <w:proofErr w:type="spellEnd"/>
          </w:p>
        </w:tc>
        <w:tc>
          <w:tcPr>
            <w:tcW w:w="1610" w:type="dxa"/>
          </w:tcPr>
          <w:p w14:paraId="315951F9" w14:textId="2F4D7108" w:rsidR="00293F2A" w:rsidRPr="005C73A8" w:rsidRDefault="00293F2A" w:rsidP="00EA29A3">
            <w:pPr>
              <w:spacing w:line="480" w:lineRule="auto"/>
              <w:rPr>
                <w:rFonts w:ascii="Times New Roman" w:hAnsi="Times New Roman" w:cs="Times New Roman"/>
              </w:rPr>
            </w:pPr>
            <w:r w:rsidRPr="005C73A8">
              <w:rPr>
                <w:rFonts w:ascii="Times New Roman" w:hAnsi="Times New Roman" w:cs="Times New Roman"/>
                <w:color w:val="000000"/>
              </w:rPr>
              <w:t>PERMANOVA</w:t>
            </w:r>
          </w:p>
        </w:tc>
        <w:tc>
          <w:tcPr>
            <w:tcW w:w="1967" w:type="dxa"/>
          </w:tcPr>
          <w:p w14:paraId="4AAA7A26" w14:textId="77777777" w:rsidR="00293F2A" w:rsidRPr="005C73A8" w:rsidRDefault="00293F2A" w:rsidP="00EA29A3">
            <w:pPr>
              <w:spacing w:line="480" w:lineRule="auto"/>
              <w:rPr>
                <w:rFonts w:ascii="Times New Roman" w:hAnsi="Times New Roman" w:cs="Times New Roman"/>
              </w:rPr>
            </w:pPr>
          </w:p>
        </w:tc>
        <w:tc>
          <w:tcPr>
            <w:tcW w:w="1967" w:type="dxa"/>
          </w:tcPr>
          <w:p w14:paraId="091CEE18" w14:textId="77777777" w:rsidR="00293F2A" w:rsidRPr="005C73A8" w:rsidRDefault="00293F2A" w:rsidP="00EA29A3">
            <w:pPr>
              <w:spacing w:line="480" w:lineRule="auto"/>
              <w:rPr>
                <w:rFonts w:ascii="Times New Roman" w:hAnsi="Times New Roman" w:cs="Times New Roman"/>
              </w:rPr>
            </w:pPr>
          </w:p>
        </w:tc>
        <w:tc>
          <w:tcPr>
            <w:tcW w:w="1248" w:type="dxa"/>
          </w:tcPr>
          <w:p w14:paraId="35E6C844" w14:textId="05949B6A" w:rsidR="00293F2A" w:rsidRPr="005C73A8" w:rsidRDefault="00293F2A" w:rsidP="00EA29A3">
            <w:pPr>
              <w:spacing w:line="480" w:lineRule="auto"/>
              <w:jc w:val="center"/>
              <w:rPr>
                <w:rFonts w:ascii="Times New Roman" w:hAnsi="Times New Roman" w:cs="Times New Roman"/>
              </w:rPr>
            </w:pPr>
            <w:r w:rsidRPr="005C73A8">
              <w:rPr>
                <w:rFonts w:ascii="Times New Roman" w:hAnsi="Times New Roman" w:cs="Times New Roman"/>
                <w:color w:val="000000"/>
              </w:rPr>
              <w:t>1.0943</w:t>
            </w:r>
          </w:p>
        </w:tc>
        <w:tc>
          <w:tcPr>
            <w:tcW w:w="1248" w:type="dxa"/>
          </w:tcPr>
          <w:p w14:paraId="719D9F5C" w14:textId="311AE79B" w:rsidR="00293F2A" w:rsidRPr="005C73A8" w:rsidRDefault="00293F2A" w:rsidP="00EA29A3">
            <w:pPr>
              <w:spacing w:line="480" w:lineRule="auto"/>
              <w:jc w:val="center"/>
              <w:rPr>
                <w:rFonts w:ascii="Times New Roman" w:hAnsi="Times New Roman" w:cs="Times New Roman"/>
              </w:rPr>
            </w:pPr>
            <w:r w:rsidRPr="005C73A8">
              <w:rPr>
                <w:rFonts w:ascii="Times New Roman" w:hAnsi="Times New Roman" w:cs="Times New Roman"/>
                <w:color w:val="000000"/>
              </w:rPr>
              <w:t>0.342</w:t>
            </w:r>
          </w:p>
        </w:tc>
      </w:tr>
      <w:tr w:rsidR="00293F2A" w:rsidRPr="005C73A8" w14:paraId="0BACEAB1" w14:textId="77777777" w:rsidTr="003E4251">
        <w:trPr>
          <w:trHeight w:hRule="exact" w:val="317"/>
        </w:trPr>
        <w:tc>
          <w:tcPr>
            <w:tcW w:w="1405" w:type="dxa"/>
          </w:tcPr>
          <w:p w14:paraId="1DC17727" w14:textId="48F60F7B" w:rsidR="00293F2A" w:rsidRPr="005C73A8" w:rsidRDefault="00293F2A" w:rsidP="00EA29A3">
            <w:pPr>
              <w:spacing w:line="480" w:lineRule="auto"/>
              <w:rPr>
                <w:rFonts w:ascii="Times New Roman" w:hAnsi="Times New Roman" w:cs="Times New Roman"/>
              </w:rPr>
            </w:pPr>
            <w:r w:rsidRPr="005C73A8">
              <w:rPr>
                <w:rFonts w:ascii="Times New Roman" w:hAnsi="Times New Roman" w:cs="Times New Roman"/>
                <w:color w:val="000000"/>
              </w:rPr>
              <w:t xml:space="preserve">Weighted </w:t>
            </w:r>
            <w:proofErr w:type="spellStart"/>
            <w:r w:rsidRPr="005C73A8">
              <w:rPr>
                <w:rFonts w:ascii="Times New Roman" w:hAnsi="Times New Roman" w:cs="Times New Roman"/>
                <w:color w:val="000000"/>
              </w:rPr>
              <w:t>UniFrac</w:t>
            </w:r>
            <w:proofErr w:type="spellEnd"/>
          </w:p>
        </w:tc>
        <w:tc>
          <w:tcPr>
            <w:tcW w:w="1610" w:type="dxa"/>
          </w:tcPr>
          <w:p w14:paraId="2F7E7480" w14:textId="3CE31BD1" w:rsidR="00293F2A" w:rsidRPr="005C73A8" w:rsidRDefault="00293F2A" w:rsidP="00EA29A3">
            <w:pPr>
              <w:spacing w:line="480" w:lineRule="auto"/>
              <w:rPr>
                <w:rFonts w:ascii="Times New Roman" w:hAnsi="Times New Roman" w:cs="Times New Roman"/>
              </w:rPr>
            </w:pPr>
            <w:r w:rsidRPr="005C73A8">
              <w:rPr>
                <w:rFonts w:ascii="Times New Roman" w:hAnsi="Times New Roman" w:cs="Times New Roman"/>
                <w:color w:val="000000"/>
              </w:rPr>
              <w:t>PERMANOVA</w:t>
            </w:r>
          </w:p>
        </w:tc>
        <w:tc>
          <w:tcPr>
            <w:tcW w:w="1967" w:type="dxa"/>
          </w:tcPr>
          <w:p w14:paraId="21480C0C" w14:textId="77777777" w:rsidR="00293F2A" w:rsidRPr="005C73A8" w:rsidRDefault="00293F2A" w:rsidP="00EA29A3">
            <w:pPr>
              <w:spacing w:line="480" w:lineRule="auto"/>
              <w:rPr>
                <w:rFonts w:ascii="Times New Roman" w:hAnsi="Times New Roman" w:cs="Times New Roman"/>
              </w:rPr>
            </w:pPr>
          </w:p>
        </w:tc>
        <w:tc>
          <w:tcPr>
            <w:tcW w:w="1967" w:type="dxa"/>
          </w:tcPr>
          <w:p w14:paraId="6402EF04" w14:textId="77777777" w:rsidR="00293F2A" w:rsidRPr="005C73A8" w:rsidRDefault="00293F2A" w:rsidP="00EA29A3">
            <w:pPr>
              <w:spacing w:line="480" w:lineRule="auto"/>
              <w:rPr>
                <w:rFonts w:ascii="Times New Roman" w:hAnsi="Times New Roman" w:cs="Times New Roman"/>
              </w:rPr>
            </w:pPr>
          </w:p>
        </w:tc>
        <w:tc>
          <w:tcPr>
            <w:tcW w:w="1248" w:type="dxa"/>
          </w:tcPr>
          <w:p w14:paraId="5F98514E" w14:textId="703404B1" w:rsidR="00293F2A" w:rsidRPr="005C73A8" w:rsidRDefault="00293F2A" w:rsidP="00EA29A3">
            <w:pPr>
              <w:spacing w:line="480" w:lineRule="auto"/>
              <w:jc w:val="center"/>
              <w:rPr>
                <w:rFonts w:ascii="Times New Roman" w:hAnsi="Times New Roman" w:cs="Times New Roman"/>
              </w:rPr>
            </w:pPr>
            <w:r w:rsidRPr="005C73A8">
              <w:rPr>
                <w:rFonts w:ascii="Times New Roman" w:hAnsi="Times New Roman" w:cs="Times New Roman"/>
                <w:b/>
                <w:bCs/>
                <w:color w:val="000000"/>
              </w:rPr>
              <w:t>4.02995</w:t>
            </w:r>
          </w:p>
        </w:tc>
        <w:tc>
          <w:tcPr>
            <w:tcW w:w="1248" w:type="dxa"/>
          </w:tcPr>
          <w:p w14:paraId="717409E8" w14:textId="16A4DCE9" w:rsidR="00293F2A" w:rsidRPr="005C73A8" w:rsidRDefault="00293F2A" w:rsidP="00EA29A3">
            <w:pPr>
              <w:spacing w:line="480" w:lineRule="auto"/>
              <w:jc w:val="center"/>
              <w:rPr>
                <w:rFonts w:ascii="Times New Roman" w:hAnsi="Times New Roman" w:cs="Times New Roman"/>
              </w:rPr>
            </w:pPr>
            <w:r w:rsidRPr="005C73A8">
              <w:rPr>
                <w:rFonts w:ascii="Times New Roman" w:hAnsi="Times New Roman" w:cs="Times New Roman"/>
                <w:b/>
                <w:bCs/>
                <w:color w:val="000000"/>
              </w:rPr>
              <w:t>0.099</w:t>
            </w:r>
          </w:p>
        </w:tc>
      </w:tr>
    </w:tbl>
    <w:p w14:paraId="544124C7" w14:textId="77777777" w:rsidR="002927D1" w:rsidRDefault="002927D1" w:rsidP="00EA29A3">
      <w:pPr>
        <w:spacing w:line="480" w:lineRule="auto"/>
        <w:rPr>
          <w:rFonts w:ascii="Times New Roman" w:hAnsi="Times New Roman" w:cs="Times New Roman"/>
          <w:b/>
          <w:bCs/>
        </w:rPr>
      </w:pPr>
    </w:p>
    <w:p w14:paraId="6C20EF82" w14:textId="77777777" w:rsidR="002927D1" w:rsidRDefault="002927D1" w:rsidP="00EA29A3">
      <w:pPr>
        <w:spacing w:line="480" w:lineRule="auto"/>
        <w:rPr>
          <w:rFonts w:ascii="Times New Roman" w:hAnsi="Times New Roman" w:cs="Times New Roman"/>
          <w:b/>
          <w:bCs/>
        </w:rPr>
      </w:pPr>
    </w:p>
    <w:p w14:paraId="4F49C5FB" w14:textId="77777777" w:rsidR="002927D1" w:rsidRDefault="002927D1" w:rsidP="00EA29A3">
      <w:pPr>
        <w:spacing w:line="480" w:lineRule="auto"/>
        <w:rPr>
          <w:rFonts w:ascii="Times New Roman" w:hAnsi="Times New Roman" w:cs="Times New Roman"/>
          <w:b/>
          <w:bCs/>
        </w:rPr>
      </w:pPr>
    </w:p>
    <w:p w14:paraId="2D6F3416" w14:textId="77777777" w:rsidR="002927D1" w:rsidRDefault="002927D1" w:rsidP="00EA29A3">
      <w:pPr>
        <w:spacing w:line="480" w:lineRule="auto"/>
        <w:rPr>
          <w:rFonts w:ascii="Times New Roman" w:hAnsi="Times New Roman" w:cs="Times New Roman"/>
          <w:b/>
          <w:bCs/>
        </w:rPr>
      </w:pPr>
    </w:p>
    <w:p w14:paraId="62B5962B" w14:textId="77777777" w:rsidR="002927D1" w:rsidRDefault="002927D1" w:rsidP="00EA29A3">
      <w:pPr>
        <w:spacing w:line="480" w:lineRule="auto"/>
        <w:rPr>
          <w:rFonts w:ascii="Times New Roman" w:hAnsi="Times New Roman" w:cs="Times New Roman"/>
          <w:b/>
          <w:bCs/>
        </w:rPr>
      </w:pPr>
    </w:p>
    <w:p w14:paraId="4A2E930C" w14:textId="77777777" w:rsidR="002927D1" w:rsidRDefault="002927D1" w:rsidP="00EA29A3">
      <w:pPr>
        <w:spacing w:line="480" w:lineRule="auto"/>
        <w:rPr>
          <w:rFonts w:ascii="Times New Roman" w:hAnsi="Times New Roman" w:cs="Times New Roman"/>
          <w:b/>
          <w:bCs/>
        </w:rPr>
      </w:pPr>
    </w:p>
    <w:p w14:paraId="680107C5" w14:textId="77777777" w:rsidR="002927D1" w:rsidRDefault="002927D1" w:rsidP="00EA29A3">
      <w:pPr>
        <w:spacing w:line="480" w:lineRule="auto"/>
        <w:rPr>
          <w:rFonts w:ascii="Times New Roman" w:hAnsi="Times New Roman" w:cs="Times New Roman"/>
          <w:b/>
          <w:bCs/>
        </w:rPr>
      </w:pPr>
    </w:p>
    <w:p w14:paraId="6B365F43" w14:textId="77777777" w:rsidR="00FB10FB" w:rsidRDefault="00FB10FB" w:rsidP="00EA29A3">
      <w:pPr>
        <w:spacing w:line="480" w:lineRule="auto"/>
        <w:rPr>
          <w:rFonts w:ascii="Times New Roman" w:hAnsi="Times New Roman" w:cs="Times New Roman"/>
          <w:b/>
          <w:bCs/>
        </w:rPr>
      </w:pPr>
    </w:p>
    <w:p w14:paraId="0D7465D7" w14:textId="77777777" w:rsidR="00FB10FB" w:rsidRDefault="00FB10FB" w:rsidP="00EA29A3">
      <w:pPr>
        <w:spacing w:line="480" w:lineRule="auto"/>
        <w:rPr>
          <w:rFonts w:ascii="Times New Roman" w:hAnsi="Times New Roman" w:cs="Times New Roman"/>
          <w:b/>
          <w:bCs/>
        </w:rPr>
      </w:pPr>
    </w:p>
    <w:p w14:paraId="2282DE02" w14:textId="1FF17724" w:rsidR="00665B4C" w:rsidRPr="005C73A8" w:rsidRDefault="00665B4C" w:rsidP="00EA29A3">
      <w:pPr>
        <w:spacing w:line="480" w:lineRule="auto"/>
        <w:rPr>
          <w:rFonts w:ascii="Times New Roman" w:hAnsi="Times New Roman" w:cs="Times New Roman"/>
        </w:rPr>
      </w:pPr>
      <w:r w:rsidRPr="005C73A8">
        <w:rPr>
          <w:rFonts w:ascii="Times New Roman" w:hAnsi="Times New Roman" w:cs="Times New Roman"/>
          <w:b/>
          <w:bCs/>
        </w:rPr>
        <w:t>Fig</w:t>
      </w:r>
      <w:r w:rsidR="00EA29A3">
        <w:rPr>
          <w:rFonts w:ascii="Times New Roman" w:hAnsi="Times New Roman" w:cs="Times New Roman"/>
          <w:b/>
          <w:bCs/>
        </w:rPr>
        <w:t>ure</w:t>
      </w:r>
      <w:r w:rsidRPr="005C73A8">
        <w:rPr>
          <w:rFonts w:ascii="Times New Roman" w:hAnsi="Times New Roman" w:cs="Times New Roman"/>
          <w:b/>
          <w:bCs/>
        </w:rPr>
        <w:t xml:space="preserve"> S</w:t>
      </w:r>
      <w:r w:rsidR="00C653FB">
        <w:rPr>
          <w:rFonts w:ascii="Times New Roman" w:hAnsi="Times New Roman" w:cs="Times New Roman"/>
          <w:b/>
          <w:bCs/>
        </w:rPr>
        <w:t>6</w:t>
      </w:r>
      <w:r w:rsidRPr="005C73A8">
        <w:rPr>
          <w:rFonts w:ascii="Times New Roman" w:hAnsi="Times New Roman" w:cs="Times New Roman"/>
          <w:b/>
          <w:bCs/>
        </w:rPr>
        <w:t xml:space="preserve">. </w:t>
      </w:r>
      <w:r w:rsidR="00B70AB5" w:rsidRPr="005C73A8">
        <w:rPr>
          <w:rFonts w:ascii="Times New Roman" w:hAnsi="Times New Roman" w:cs="Times New Roman"/>
        </w:rPr>
        <w:t>Bacterial genera in four cloacal and four intestinal swabs from house finches. Each bar represents one sample. Only genera constituting &gt;2% relative abundance within the sample were identified.</w:t>
      </w:r>
      <w:r w:rsidR="00770D4F">
        <w:rPr>
          <w:rFonts w:ascii="Times New Roman" w:hAnsi="Times New Roman" w:cs="Times New Roman"/>
        </w:rPr>
        <w:t xml:space="preserve"> Samples are labeled by bird ID and sample type (C = cloacal, I = intestinal). Three samples are paired (i.e., cloacal and intestinal swab data from the same individual), while one sample of each type is unpaired.</w:t>
      </w:r>
    </w:p>
    <w:p w14:paraId="547138CB" w14:textId="77777777" w:rsidR="00B70AB5" w:rsidRPr="005C73A8" w:rsidRDefault="00B70AB5" w:rsidP="00EA29A3">
      <w:pPr>
        <w:spacing w:line="480" w:lineRule="auto"/>
        <w:rPr>
          <w:rFonts w:ascii="Times New Roman" w:hAnsi="Times New Roman" w:cs="Times New Roman"/>
        </w:rPr>
      </w:pPr>
    </w:p>
    <w:p w14:paraId="39C3B8E7" w14:textId="22E7ECC2" w:rsidR="00665B4C" w:rsidRPr="005C73A8" w:rsidRDefault="00B70AB5" w:rsidP="00EA29A3">
      <w:pPr>
        <w:spacing w:line="480" w:lineRule="auto"/>
        <w:rPr>
          <w:rFonts w:ascii="Times New Roman" w:hAnsi="Times New Roman" w:cs="Times New Roman"/>
          <w:b/>
          <w:bCs/>
        </w:rPr>
      </w:pPr>
      <w:r w:rsidRPr="005C73A8">
        <w:rPr>
          <w:rFonts w:ascii="Times New Roman" w:hAnsi="Times New Roman" w:cs="Times New Roman"/>
          <w:b/>
          <w:bCs/>
          <w:noProof/>
        </w:rPr>
        <w:drawing>
          <wp:inline distT="0" distB="0" distL="0" distR="0" wp14:anchorId="57A52FC3" wp14:editId="7E0863C1">
            <wp:extent cx="5943600" cy="3501390"/>
            <wp:effectExtent l="0" t="0" r="0" b="3810"/>
            <wp:docPr id="3" name="Picture 3"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5943600" cy="3501390"/>
                    </a:xfrm>
                    <a:prstGeom prst="rect">
                      <a:avLst/>
                    </a:prstGeom>
                  </pic:spPr>
                </pic:pic>
              </a:graphicData>
            </a:graphic>
          </wp:inline>
        </w:drawing>
      </w:r>
    </w:p>
    <w:p w14:paraId="027C6DDA" w14:textId="77777777" w:rsidR="00EA29A3" w:rsidRDefault="00EA29A3" w:rsidP="00EA29A3">
      <w:pPr>
        <w:spacing w:line="480" w:lineRule="auto"/>
        <w:rPr>
          <w:rFonts w:ascii="Times New Roman" w:hAnsi="Times New Roman" w:cs="Times New Roman"/>
          <w:b/>
          <w:bCs/>
        </w:rPr>
      </w:pPr>
    </w:p>
    <w:p w14:paraId="3C935EC9" w14:textId="37B62350" w:rsidR="00EA29A3" w:rsidRPr="00EA29A3" w:rsidRDefault="00EA29A3" w:rsidP="00EA29A3">
      <w:pPr>
        <w:spacing w:line="480" w:lineRule="auto"/>
        <w:rPr>
          <w:rFonts w:ascii="Times New Roman" w:hAnsi="Times New Roman" w:cs="Times New Roman"/>
          <w:b/>
          <w:bCs/>
        </w:rPr>
      </w:pPr>
      <w:r w:rsidRPr="00EA29A3">
        <w:rPr>
          <w:rFonts w:ascii="Times New Roman" w:hAnsi="Times New Roman" w:cs="Times New Roman"/>
          <w:b/>
          <w:bCs/>
        </w:rPr>
        <w:t>References</w:t>
      </w:r>
    </w:p>
    <w:p w14:paraId="4391DA21" w14:textId="4CBC878E" w:rsidR="00EA29A3" w:rsidRPr="005C73A8" w:rsidRDefault="00EA29A3" w:rsidP="00770D4F">
      <w:pPr>
        <w:pStyle w:val="Bibliography"/>
        <w:spacing w:line="480" w:lineRule="auto"/>
        <w:ind w:left="360" w:hanging="360"/>
        <w:rPr>
          <w:rFonts w:ascii="Times New Roman" w:hAnsi="Times New Roman" w:cs="Times New Roman"/>
        </w:rPr>
      </w:pPr>
      <w:r w:rsidRPr="00254CA0">
        <w:rPr>
          <w:rFonts w:ascii="Times New Roman" w:hAnsi="Times New Roman" w:cs="Times New Roman"/>
        </w:rPr>
        <w:t xml:space="preserve">Leon AE, Hawley DM. 2017. Host responses to pathogen priming in a natural songbird host. </w:t>
      </w:r>
      <w:proofErr w:type="spellStart"/>
      <w:r w:rsidRPr="00254CA0">
        <w:rPr>
          <w:rFonts w:ascii="Times New Roman" w:hAnsi="Times New Roman" w:cs="Times New Roman"/>
          <w:i/>
          <w:iCs/>
        </w:rPr>
        <w:t>Ecohealth</w:t>
      </w:r>
      <w:proofErr w:type="spellEnd"/>
      <w:r w:rsidRPr="00254CA0">
        <w:rPr>
          <w:rFonts w:ascii="Times New Roman" w:hAnsi="Times New Roman" w:cs="Times New Roman"/>
        </w:rPr>
        <w:t xml:space="preserve"> 14:793–804. DOI: 10.1007/s10393-017-1261-x.</w:t>
      </w:r>
    </w:p>
    <w:sectPr w:rsidR="00EA29A3" w:rsidRPr="005C73A8" w:rsidSect="00385C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F62"/>
    <w:rsid w:val="000B06C0"/>
    <w:rsid w:val="001126F0"/>
    <w:rsid w:val="001603B9"/>
    <w:rsid w:val="002927D1"/>
    <w:rsid w:val="00293F2A"/>
    <w:rsid w:val="00337737"/>
    <w:rsid w:val="00385C43"/>
    <w:rsid w:val="003D07C7"/>
    <w:rsid w:val="003E4251"/>
    <w:rsid w:val="00591B0D"/>
    <w:rsid w:val="005C73A8"/>
    <w:rsid w:val="00665B4C"/>
    <w:rsid w:val="006E5BD9"/>
    <w:rsid w:val="006F1E2C"/>
    <w:rsid w:val="00770D4F"/>
    <w:rsid w:val="00804E01"/>
    <w:rsid w:val="00935A49"/>
    <w:rsid w:val="00AB7F62"/>
    <w:rsid w:val="00B67019"/>
    <w:rsid w:val="00B70AB5"/>
    <w:rsid w:val="00BD0054"/>
    <w:rsid w:val="00C653FB"/>
    <w:rsid w:val="00C938B3"/>
    <w:rsid w:val="00D14793"/>
    <w:rsid w:val="00D5709F"/>
    <w:rsid w:val="00E312D5"/>
    <w:rsid w:val="00EA29A3"/>
    <w:rsid w:val="00F15D34"/>
    <w:rsid w:val="00FB10F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7374C"/>
  <w14:defaultImageDpi w14:val="32767"/>
  <w15:chartTrackingRefBased/>
  <w15:docId w15:val="{AB7A6757-6DE9-3A4A-9DA8-F529A1FE6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04E01"/>
    <w:rPr>
      <w:sz w:val="16"/>
      <w:szCs w:val="16"/>
    </w:rPr>
  </w:style>
  <w:style w:type="paragraph" w:styleId="CommentText">
    <w:name w:val="annotation text"/>
    <w:basedOn w:val="Normal"/>
    <w:link w:val="CommentTextChar"/>
    <w:uiPriority w:val="99"/>
    <w:semiHidden/>
    <w:unhideWhenUsed/>
    <w:rsid w:val="00804E01"/>
    <w:rPr>
      <w:sz w:val="20"/>
      <w:szCs w:val="20"/>
    </w:rPr>
  </w:style>
  <w:style w:type="character" w:customStyle="1" w:styleId="CommentTextChar">
    <w:name w:val="Comment Text Char"/>
    <w:basedOn w:val="DefaultParagraphFont"/>
    <w:link w:val="CommentText"/>
    <w:uiPriority w:val="99"/>
    <w:semiHidden/>
    <w:rsid w:val="00804E01"/>
    <w:rPr>
      <w:sz w:val="20"/>
      <w:szCs w:val="20"/>
    </w:rPr>
  </w:style>
  <w:style w:type="paragraph" w:styleId="CommentSubject">
    <w:name w:val="annotation subject"/>
    <w:basedOn w:val="CommentText"/>
    <w:next w:val="CommentText"/>
    <w:link w:val="CommentSubjectChar"/>
    <w:uiPriority w:val="99"/>
    <w:semiHidden/>
    <w:unhideWhenUsed/>
    <w:rsid w:val="00804E01"/>
    <w:rPr>
      <w:b/>
      <w:bCs/>
    </w:rPr>
  </w:style>
  <w:style w:type="character" w:customStyle="1" w:styleId="CommentSubjectChar">
    <w:name w:val="Comment Subject Char"/>
    <w:basedOn w:val="CommentTextChar"/>
    <w:link w:val="CommentSubject"/>
    <w:uiPriority w:val="99"/>
    <w:semiHidden/>
    <w:rsid w:val="00804E01"/>
    <w:rPr>
      <w:b/>
      <w:bCs/>
      <w:sz w:val="20"/>
      <w:szCs w:val="20"/>
    </w:rPr>
  </w:style>
  <w:style w:type="table" w:styleId="TableGrid">
    <w:name w:val="Table Grid"/>
    <w:basedOn w:val="TableNormal"/>
    <w:uiPriority w:val="39"/>
    <w:rsid w:val="00293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EA29A3"/>
  </w:style>
  <w:style w:type="character" w:styleId="Hyperlink">
    <w:name w:val="Hyperlink"/>
    <w:basedOn w:val="DefaultParagraphFont"/>
    <w:uiPriority w:val="99"/>
    <w:unhideWhenUsed/>
    <w:rsid w:val="003D07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555190">
      <w:bodyDiv w:val="1"/>
      <w:marLeft w:val="0"/>
      <w:marRight w:val="0"/>
      <w:marTop w:val="0"/>
      <w:marBottom w:val="0"/>
      <w:divBdr>
        <w:top w:val="none" w:sz="0" w:space="0" w:color="auto"/>
        <w:left w:val="none" w:sz="0" w:space="0" w:color="auto"/>
        <w:bottom w:val="none" w:sz="0" w:space="0" w:color="auto"/>
        <w:right w:val="none" w:sz="0" w:space="0" w:color="auto"/>
      </w:divBdr>
    </w:div>
    <w:div w:id="696656263">
      <w:bodyDiv w:val="1"/>
      <w:marLeft w:val="0"/>
      <w:marRight w:val="0"/>
      <w:marTop w:val="0"/>
      <w:marBottom w:val="0"/>
      <w:divBdr>
        <w:top w:val="none" w:sz="0" w:space="0" w:color="auto"/>
        <w:left w:val="none" w:sz="0" w:space="0" w:color="auto"/>
        <w:bottom w:val="none" w:sz="0" w:space="0" w:color="auto"/>
        <w:right w:val="none" w:sz="0" w:space="0" w:color="auto"/>
      </w:divBdr>
    </w:div>
    <w:div w:id="868638391">
      <w:bodyDiv w:val="1"/>
      <w:marLeft w:val="0"/>
      <w:marRight w:val="0"/>
      <w:marTop w:val="0"/>
      <w:marBottom w:val="0"/>
      <w:divBdr>
        <w:top w:val="none" w:sz="0" w:space="0" w:color="auto"/>
        <w:left w:val="none" w:sz="0" w:space="0" w:color="auto"/>
        <w:bottom w:val="none" w:sz="0" w:space="0" w:color="auto"/>
        <w:right w:val="none" w:sz="0" w:space="0" w:color="auto"/>
      </w:divBdr>
    </w:div>
    <w:div w:id="1153764120">
      <w:bodyDiv w:val="1"/>
      <w:marLeft w:val="0"/>
      <w:marRight w:val="0"/>
      <w:marTop w:val="0"/>
      <w:marBottom w:val="0"/>
      <w:divBdr>
        <w:top w:val="none" w:sz="0" w:space="0" w:color="auto"/>
        <w:left w:val="none" w:sz="0" w:space="0" w:color="auto"/>
        <w:bottom w:val="none" w:sz="0" w:space="0" w:color="auto"/>
        <w:right w:val="none" w:sz="0" w:space="0" w:color="auto"/>
      </w:divBdr>
    </w:div>
    <w:div w:id="181621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4</Pages>
  <Words>651</Words>
  <Characters>3716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Weitzman, Chava</dc:creator>
  <cp:keywords/>
  <dc:description/>
  <cp:lastModifiedBy>Chava Weitzman</cp:lastModifiedBy>
  <cp:revision>16</cp:revision>
  <cp:lastPrinted>2021-12-17T17:09:00Z</cp:lastPrinted>
  <dcterms:created xsi:type="dcterms:W3CDTF">2021-09-27T19:39:00Z</dcterms:created>
  <dcterms:modified xsi:type="dcterms:W3CDTF">2022-04-10T23:29:00Z</dcterms:modified>
</cp:coreProperties>
</file>