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DAA" w:rsidRDefault="00A72DAA" w:rsidP="00A72DAA">
      <w:pPr>
        <w:pStyle w:val="NormalWeb"/>
        <w:spacing w:before="0" w:beforeAutospacing="0" w:after="0" w:afterAutospacing="0"/>
      </w:pPr>
      <w:r>
        <w:rPr>
          <w:rFonts w:ascii="Arial" w:hAnsi="Arial" w:cs="Arial"/>
          <w:b/>
          <w:bCs/>
          <w:color w:val="000000"/>
        </w:rPr>
        <w:t xml:space="preserve">Geographically driven differences in microbiomes of </w:t>
      </w:r>
      <w:r>
        <w:rPr>
          <w:rFonts w:ascii="Arial" w:hAnsi="Arial" w:cs="Arial"/>
          <w:b/>
          <w:bCs/>
          <w:i/>
          <w:iCs/>
          <w:color w:val="000000"/>
        </w:rPr>
        <w:t>Acropora cervicornis</w:t>
      </w:r>
      <w:r>
        <w:rPr>
          <w:rFonts w:ascii="Arial" w:hAnsi="Arial" w:cs="Arial"/>
          <w:b/>
          <w:bCs/>
          <w:color w:val="000000"/>
        </w:rPr>
        <w:t xml:space="preserve"> originating from different regions of Florida’s Coral Reef </w:t>
      </w:r>
    </w:p>
    <w:p w:rsidR="00A72DAA" w:rsidRDefault="00A72DAA" w:rsidP="00A72DAA"/>
    <w:p w:rsidR="00A72DAA" w:rsidRPr="004811CB" w:rsidRDefault="00A72DAA" w:rsidP="00A72DAA">
      <w:pPr>
        <w:pStyle w:val="NormalWeb"/>
        <w:spacing w:before="0" w:beforeAutospacing="0" w:after="0" w:afterAutospacing="0"/>
      </w:pPr>
      <w:r w:rsidRPr="004811CB">
        <w:rPr>
          <w:color w:val="000000"/>
        </w:rPr>
        <w:t>Sara D. Williams</w:t>
      </w:r>
      <w:r w:rsidRPr="004811CB">
        <w:rPr>
          <w:color w:val="000000"/>
          <w:vertAlign w:val="superscript"/>
        </w:rPr>
        <w:t>1</w:t>
      </w:r>
      <w:r w:rsidRPr="004811CB">
        <w:rPr>
          <w:color w:val="000000"/>
        </w:rPr>
        <w:t>, J. Grace Klinges</w:t>
      </w:r>
      <w:r w:rsidRPr="004811CB">
        <w:rPr>
          <w:color w:val="000000"/>
          <w:vertAlign w:val="superscript"/>
        </w:rPr>
        <w:t>2</w:t>
      </w:r>
      <w:r w:rsidRPr="004811CB">
        <w:rPr>
          <w:color w:val="000000"/>
        </w:rPr>
        <w:t>, Samara Zinman</w:t>
      </w:r>
      <w:r w:rsidRPr="004811CB">
        <w:rPr>
          <w:color w:val="000000"/>
          <w:vertAlign w:val="superscript"/>
        </w:rPr>
        <w:t>1</w:t>
      </w:r>
      <w:r w:rsidRPr="004811CB">
        <w:rPr>
          <w:color w:val="000000"/>
        </w:rPr>
        <w:t>, Abigail S. Clark</w:t>
      </w:r>
      <w:r w:rsidRPr="004811CB">
        <w:rPr>
          <w:color w:val="000000"/>
          <w:vertAlign w:val="superscript"/>
        </w:rPr>
        <w:t>2,3</w:t>
      </w:r>
      <w:r w:rsidRPr="004811CB">
        <w:rPr>
          <w:color w:val="000000"/>
        </w:rPr>
        <w:t>,</w:t>
      </w:r>
      <w:r w:rsidRPr="004811CB">
        <w:rPr>
          <w:color w:val="000000"/>
          <w:vertAlign w:val="superscript"/>
        </w:rPr>
        <w:t xml:space="preserve"> </w:t>
      </w:r>
      <w:r w:rsidRPr="004811CB">
        <w:rPr>
          <w:color w:val="000000"/>
        </w:rPr>
        <w:t>Erich Bartels</w:t>
      </w:r>
      <w:r w:rsidRPr="004811CB">
        <w:rPr>
          <w:color w:val="000000"/>
          <w:vertAlign w:val="superscript"/>
        </w:rPr>
        <w:t>2</w:t>
      </w:r>
      <w:r w:rsidRPr="004811CB">
        <w:rPr>
          <w:color w:val="000000"/>
        </w:rPr>
        <w:t xml:space="preserve">, Marina </w:t>
      </w:r>
      <w:proofErr w:type="spellStart"/>
      <w:r w:rsidRPr="004811CB">
        <w:rPr>
          <w:color w:val="000000"/>
        </w:rPr>
        <w:t>Villoch</w:t>
      </w:r>
      <w:proofErr w:type="spellEnd"/>
      <w:r w:rsidRPr="004811CB">
        <w:rPr>
          <w:color w:val="000000"/>
        </w:rPr>
        <w:t xml:space="preserve"> Diaz-Mauri</w:t>
      </w:r>
      <w:r w:rsidRPr="004811CB">
        <w:rPr>
          <w:color w:val="333333"/>
          <w:shd w:val="clear" w:color="auto" w:fill="FFFFFF"/>
        </w:rPr>
        <w:t>ño</w:t>
      </w:r>
      <w:r w:rsidRPr="004811CB">
        <w:rPr>
          <w:color w:val="000000"/>
          <w:vertAlign w:val="superscript"/>
        </w:rPr>
        <w:t>2</w:t>
      </w:r>
      <w:r w:rsidRPr="004811CB">
        <w:rPr>
          <w:color w:val="000000"/>
        </w:rPr>
        <w:t>, Erinn M. Muller</w:t>
      </w:r>
      <w:r w:rsidRPr="004811CB">
        <w:rPr>
          <w:color w:val="000000"/>
          <w:vertAlign w:val="superscript"/>
        </w:rPr>
        <w:t>1</w:t>
      </w:r>
    </w:p>
    <w:p w:rsidR="00A72DAA" w:rsidRPr="004811CB" w:rsidRDefault="00A72DAA" w:rsidP="00A72DAA">
      <w:pPr>
        <w:rPr>
          <w:rFonts w:ascii="Times New Roman" w:hAnsi="Times New Roman" w:cs="Times New Roman"/>
          <w:sz w:val="24"/>
          <w:szCs w:val="24"/>
        </w:rPr>
      </w:pPr>
    </w:p>
    <w:p w:rsidR="00A72DAA" w:rsidRPr="004811CB" w:rsidRDefault="00A72DAA" w:rsidP="00A72DAA">
      <w:pPr>
        <w:pStyle w:val="NormalWeb"/>
        <w:spacing w:before="0" w:beforeAutospacing="0" w:after="0" w:afterAutospacing="0"/>
      </w:pPr>
      <w:r w:rsidRPr="004811CB">
        <w:rPr>
          <w:color w:val="000000"/>
          <w:vertAlign w:val="superscript"/>
        </w:rPr>
        <w:t>1</w:t>
      </w:r>
      <w:r w:rsidRPr="004811CB">
        <w:rPr>
          <w:color w:val="000000"/>
        </w:rPr>
        <w:t xml:space="preserve"> Mote Marine Laboratory, Sarasota, Florida, USA</w:t>
      </w:r>
    </w:p>
    <w:p w:rsidR="00A72DAA" w:rsidRPr="004811CB" w:rsidRDefault="00A72DAA" w:rsidP="00A72DAA">
      <w:pPr>
        <w:pStyle w:val="NormalWeb"/>
        <w:spacing w:before="0" w:beforeAutospacing="0" w:after="0" w:afterAutospacing="0"/>
      </w:pPr>
      <w:r w:rsidRPr="004811CB">
        <w:rPr>
          <w:color w:val="000000"/>
          <w:vertAlign w:val="superscript"/>
        </w:rPr>
        <w:t>2</w:t>
      </w:r>
      <w:r w:rsidRPr="004811CB">
        <w:rPr>
          <w:color w:val="000000"/>
        </w:rPr>
        <w:t xml:space="preserve"> Mote Marine Laboratory, Elizabeth Moore International Center for Coral Reef Research and Restoration, Summerland Key, Florida, USA</w:t>
      </w:r>
    </w:p>
    <w:p w:rsidR="00A72DAA" w:rsidRPr="004811CB" w:rsidRDefault="00A72DAA" w:rsidP="00A72DAA">
      <w:pPr>
        <w:pStyle w:val="NormalWeb"/>
        <w:spacing w:before="0" w:beforeAutospacing="0" w:after="0" w:afterAutospacing="0"/>
      </w:pPr>
      <w:r w:rsidRPr="004811CB">
        <w:rPr>
          <w:color w:val="000000"/>
          <w:vertAlign w:val="superscript"/>
        </w:rPr>
        <w:t xml:space="preserve">3 </w:t>
      </w:r>
      <w:r w:rsidRPr="004811CB">
        <w:rPr>
          <w:color w:val="000000"/>
        </w:rPr>
        <w:t>The College of the Florida Keys, Key West, Florida, USA</w:t>
      </w:r>
    </w:p>
    <w:p w:rsidR="00A72DAA" w:rsidRDefault="00A72DAA" w:rsidP="00A72DAA"/>
    <w:p w:rsidR="00A72DAA" w:rsidRDefault="00A72DAA" w:rsidP="00A72DAA">
      <w:pPr>
        <w:pStyle w:val="NormalWeb"/>
        <w:spacing w:before="0" w:beforeAutospacing="0" w:after="160" w:afterAutospacing="0"/>
      </w:pPr>
      <w:r>
        <w:rPr>
          <w:rFonts w:ascii="Arial" w:hAnsi="Arial" w:cs="Arial"/>
          <w:b/>
          <w:bCs/>
          <w:color w:val="000000"/>
          <w:sz w:val="28"/>
          <w:szCs w:val="28"/>
        </w:rPr>
        <w:t>Supplemental Material</w:t>
      </w:r>
    </w:p>
    <w:p w:rsidR="00A72DAA" w:rsidRPr="00604DA8" w:rsidRDefault="00604DA8" w:rsidP="00A72DAA">
      <w:pPr>
        <w:pStyle w:val="NormalWeb"/>
        <w:spacing w:before="0" w:beforeAutospacing="0" w:after="160" w:afterAutospacing="0"/>
        <w:rPr>
          <w:color w:val="000000"/>
        </w:rPr>
      </w:pPr>
      <w:r>
        <w:rPr>
          <w:color w:val="000000"/>
        </w:rPr>
        <w:t>Upon publication, al</w:t>
      </w:r>
      <w:r w:rsidR="00A72DAA">
        <w:rPr>
          <w:color w:val="000000"/>
        </w:rPr>
        <w:t xml:space="preserve">l data and code are available at </w:t>
      </w:r>
      <w:hyperlink r:id="rId5" w:history="1">
        <w:r w:rsidR="00A72DAA">
          <w:rPr>
            <w:rStyle w:val="Hyperlink"/>
            <w:color w:val="1155CC"/>
          </w:rPr>
          <w:t>https://github.com/MoteCHaDlab/FLKeys_AcerMicrobiome_geographicaldifferences</w:t>
        </w:r>
      </w:hyperlink>
      <w:r>
        <w:t>.</w:t>
      </w:r>
    </w:p>
    <w:p w:rsidR="00A72DAA" w:rsidRDefault="00A72DAA" w:rsidP="00A72DAA">
      <w:pPr>
        <w:pStyle w:val="NormalWeb"/>
        <w:spacing w:before="0" w:beforeAutospacing="0" w:after="160" w:afterAutospacing="0"/>
      </w:pPr>
      <w:r>
        <w:rPr>
          <w:b/>
          <w:bCs/>
          <w:color w:val="000000"/>
        </w:rPr>
        <w:t>Table S1:</w:t>
      </w:r>
      <w:r>
        <w:rPr>
          <w:color w:val="000000"/>
        </w:rPr>
        <w:t xml:space="preserve"> Information on number of genotypes from each region and time the genotypes had spent in the same nursery before sampling in 2019.</w:t>
      </w:r>
      <w:r w:rsidR="008249BA">
        <w:rPr>
          <w:color w:val="000000"/>
        </w:rPr>
        <w:t xml:space="preserve"> See the section below for further temporal </w:t>
      </w:r>
      <w:proofErr w:type="spellStart"/>
      <w:r w:rsidR="008249BA">
        <w:rPr>
          <w:color w:val="000000"/>
        </w:rPr>
        <w:t>analyes</w:t>
      </w:r>
      <w:proofErr w:type="spellEnd"/>
      <w:r w:rsidR="008249BA">
        <w:rPr>
          <w:color w:val="000000"/>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3818"/>
        <w:gridCol w:w="1327"/>
        <w:gridCol w:w="1394"/>
        <w:gridCol w:w="1300"/>
      </w:tblGrid>
      <w:tr w:rsidR="00A72DAA" w:rsidTr="00A72DAA">
        <w:trPr>
          <w:trHeight w:val="6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Region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Lower keys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Middle keys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Upper keys</w:t>
            </w:r>
          </w:p>
        </w:tc>
      </w:tr>
      <w:tr w:rsidR="00A72DAA" w:rsidTr="00A72DAA">
        <w:trPr>
          <w:trHeight w:val="5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Number of genotypes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19</w:t>
            </w:r>
          </w:p>
        </w:tc>
      </w:tr>
      <w:tr w:rsidR="00A72DAA" w:rsidTr="00A72DAA">
        <w:trPr>
          <w:trHeight w:val="4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Mean ± SE time in nursery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8.1±0.5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3.4±0.2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3.3±0.2</w:t>
            </w:r>
          </w:p>
        </w:tc>
      </w:tr>
      <w:tr w:rsidR="00A72DAA" w:rsidTr="00A72DAA">
        <w:trPr>
          <w:trHeight w:val="49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 xml:space="preserve">Median </w:t>
            </w:r>
            <w:proofErr w:type="gramStart"/>
            <w:r>
              <w:rPr>
                <w:color w:val="000000"/>
              </w:rPr>
              <w:t>±  SE</w:t>
            </w:r>
            <w:proofErr w:type="gramEnd"/>
            <w:r>
              <w:rPr>
                <w:color w:val="000000"/>
              </w:rPr>
              <w:t xml:space="preserve"> time in nursery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9.4±0.5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3.5±0.2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3.5±0.2</w:t>
            </w:r>
          </w:p>
        </w:tc>
      </w:tr>
    </w:tbl>
    <w:p w:rsidR="00A72DAA" w:rsidRDefault="00A72DAA" w:rsidP="00A72DAA">
      <w:pPr>
        <w:spacing w:after="240"/>
      </w:pPr>
      <w:r>
        <w:br/>
      </w:r>
      <w:r>
        <w:br/>
      </w:r>
      <w:r>
        <w:br/>
      </w:r>
      <w:r>
        <w:br/>
      </w:r>
      <w:r>
        <w:br/>
      </w: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bookmarkStart w:id="0" w:name="_GoBack"/>
      <w:bookmarkEnd w:id="0"/>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A72DAA" w:rsidRDefault="00A72DAA" w:rsidP="00A72DAA">
      <w:pPr>
        <w:pStyle w:val="NormalWeb"/>
        <w:spacing w:before="0" w:beforeAutospacing="0" w:after="160" w:afterAutospacing="0"/>
      </w:pPr>
      <w:r>
        <w:rPr>
          <w:b/>
          <w:bCs/>
          <w:color w:val="000000"/>
        </w:rPr>
        <w:lastRenderedPageBreak/>
        <w:t xml:space="preserve">Table S2. </w:t>
      </w:r>
      <w:r>
        <w:rPr>
          <w:color w:val="000000"/>
        </w:rPr>
        <w:t>Table of reads retained during the bioinformatic pipeline.</w:t>
      </w:r>
    </w:p>
    <w:tbl>
      <w:tblPr>
        <w:tblW w:w="9360" w:type="dxa"/>
        <w:tblCellMar>
          <w:top w:w="15" w:type="dxa"/>
          <w:left w:w="15" w:type="dxa"/>
          <w:bottom w:w="15" w:type="dxa"/>
          <w:right w:w="15" w:type="dxa"/>
        </w:tblCellMar>
        <w:tblLook w:val="04A0" w:firstRow="1" w:lastRow="0" w:firstColumn="1" w:lastColumn="0" w:noHBand="0" w:noVBand="1"/>
      </w:tblPr>
      <w:tblGrid>
        <w:gridCol w:w="8080"/>
        <w:gridCol w:w="1280"/>
      </w:tblGrid>
      <w:tr w:rsidR="00A72DAA" w:rsidTr="00A72D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Initial number of reads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24,392,378</w:t>
            </w:r>
          </w:p>
        </w:tc>
      </w:tr>
      <w:tr w:rsidR="00A72DAA" w:rsidTr="00A72D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Number of reads after filter and trim step in DADA2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21,770,005</w:t>
            </w:r>
          </w:p>
        </w:tc>
      </w:tr>
      <w:tr w:rsidR="00A72DAA" w:rsidTr="00A72D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Number of reads after removing any ASVs that were considerably off target length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19,989,462</w:t>
            </w:r>
          </w:p>
        </w:tc>
      </w:tr>
      <w:tr w:rsidR="00A72DAA" w:rsidTr="00A72D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Number of reads after chimeras were removed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19,821,934</w:t>
            </w:r>
          </w:p>
        </w:tc>
      </w:tr>
      <w:tr w:rsidR="00A72DAA" w:rsidTr="00A72D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Number of reads after chloroplasts (17,363) removed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19,804,571</w:t>
            </w:r>
          </w:p>
        </w:tc>
      </w:tr>
      <w:tr w:rsidR="00A72DAA" w:rsidTr="00A72D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Number of reads after mitochondria (82) removed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19,804,489</w:t>
            </w:r>
          </w:p>
        </w:tc>
      </w:tr>
      <w:tr w:rsidR="00A72DAA" w:rsidTr="00A72D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Number of reads after eukaryotes (56) removed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19,804,433</w:t>
            </w:r>
          </w:p>
        </w:tc>
      </w:tr>
      <w:tr w:rsidR="00A72DAA" w:rsidTr="00A72D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Final number of reads after the pruning step removed taxa with less than 10 reads in 10% of the samples (equated to 4,641 reads)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b/>
                <w:bCs/>
                <w:color w:val="000000"/>
              </w:rPr>
              <w:t>19,799,792</w:t>
            </w:r>
          </w:p>
        </w:tc>
      </w:tr>
    </w:tbl>
    <w:p w:rsidR="00A72DAA" w:rsidRDefault="00A72DAA" w:rsidP="00A72DAA">
      <w:pPr>
        <w:spacing w:after="240"/>
      </w:pPr>
      <w:r>
        <w:br/>
      </w:r>
      <w:r>
        <w:br/>
      </w:r>
      <w:r>
        <w:br/>
      </w:r>
      <w:r>
        <w:br/>
      </w:r>
      <w:r>
        <w:br/>
      </w:r>
      <w:r>
        <w:br/>
      </w:r>
      <w:r>
        <w:br/>
      </w:r>
      <w:r>
        <w:br/>
      </w:r>
      <w:r>
        <w:br/>
      </w:r>
      <w:r>
        <w:br/>
      </w:r>
      <w:r>
        <w:br/>
      </w: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604DA8" w:rsidRDefault="00604DA8" w:rsidP="00A72DAA">
      <w:pPr>
        <w:pStyle w:val="NormalWeb"/>
        <w:spacing w:before="0" w:beforeAutospacing="0" w:after="160" w:afterAutospacing="0"/>
        <w:rPr>
          <w:b/>
          <w:bCs/>
          <w:color w:val="000000"/>
        </w:rPr>
      </w:pPr>
    </w:p>
    <w:p w:rsidR="00A72DAA" w:rsidRDefault="00A72DAA" w:rsidP="00A72DAA">
      <w:pPr>
        <w:pStyle w:val="NormalWeb"/>
        <w:spacing w:before="0" w:beforeAutospacing="0" w:after="160" w:afterAutospacing="0"/>
      </w:pPr>
      <w:r>
        <w:rPr>
          <w:b/>
          <w:bCs/>
          <w:color w:val="000000"/>
        </w:rPr>
        <w:lastRenderedPageBreak/>
        <w:t>Table S3.</w:t>
      </w:r>
      <w:r>
        <w:rPr>
          <w:color w:val="000000"/>
        </w:rPr>
        <w:t xml:space="preserve"> Full PERMANOVA results for all datasets and results of the multiple PERMANOVA tests with Bonferroni adjusted p-values for the full and high</w:t>
      </w:r>
      <w:r>
        <w:rPr>
          <w:i/>
          <w:iCs/>
          <w:color w:val="000000"/>
        </w:rPr>
        <w:t>-Aquarickettsia</w:t>
      </w:r>
      <w:r>
        <w:rPr>
          <w:color w:val="000000"/>
        </w:rPr>
        <w:t xml:space="preserve"> datasets.</w:t>
      </w:r>
    </w:p>
    <w:p w:rsidR="00A72DAA" w:rsidRDefault="00A72DAA" w:rsidP="00A72DAA"/>
    <w:tbl>
      <w:tblPr>
        <w:tblW w:w="0" w:type="auto"/>
        <w:jc w:val="center"/>
        <w:tblCellMar>
          <w:top w:w="15" w:type="dxa"/>
          <w:left w:w="15" w:type="dxa"/>
          <w:bottom w:w="15" w:type="dxa"/>
          <w:right w:w="15" w:type="dxa"/>
        </w:tblCellMar>
        <w:tblLook w:val="04A0" w:firstRow="1" w:lastRow="0" w:firstColumn="1" w:lastColumn="0" w:noHBand="0" w:noVBand="1"/>
      </w:tblPr>
      <w:tblGrid>
        <w:gridCol w:w="1837"/>
        <w:gridCol w:w="1850"/>
        <w:gridCol w:w="1007"/>
        <w:gridCol w:w="740"/>
        <w:gridCol w:w="802"/>
        <w:gridCol w:w="1770"/>
        <w:gridCol w:w="1334"/>
      </w:tblGrid>
      <w:tr w:rsidR="00A72DAA" w:rsidTr="00A72DA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Dataset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Degrees of freedom / Residuals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F-statistic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R</w:t>
            </w:r>
            <w:r>
              <w:rPr>
                <w:color w:val="000000"/>
                <w:sz w:val="14"/>
                <w:szCs w:val="14"/>
                <w:vertAlign w:val="superscript"/>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p-value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Multiple Comparisons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Adjusted p-value</w:t>
            </w:r>
          </w:p>
        </w:tc>
      </w:tr>
      <w:tr w:rsidR="00A72DAA" w:rsidTr="00A72DAA">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Full dataset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2 / 71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6.464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0.154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Middle &amp; Upper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0.030</w:t>
            </w:r>
          </w:p>
        </w:tc>
      </w:tr>
      <w:tr w:rsidR="00A72DAA" w:rsidTr="00A72DAA">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Lower &amp; Upper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0.012</w:t>
            </w:r>
          </w:p>
        </w:tc>
      </w:tr>
      <w:tr w:rsidR="00A72DAA" w:rsidTr="00A72DAA">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Lower &amp; Middle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0.177</w:t>
            </w:r>
          </w:p>
        </w:tc>
      </w:tr>
      <w:tr w:rsidR="00A72DAA" w:rsidTr="00A72DA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Low-</w:t>
            </w:r>
            <w:r>
              <w:rPr>
                <w:i/>
                <w:iCs/>
                <w:color w:val="000000"/>
              </w:rPr>
              <w:t>Aquarickettsia</w:t>
            </w:r>
            <w:r>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 / 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5.176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0.393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NA</w:t>
            </w:r>
          </w:p>
        </w:tc>
      </w:tr>
      <w:tr w:rsidR="00A72DAA" w:rsidTr="00A72DAA">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High-</w:t>
            </w:r>
            <w:r>
              <w:rPr>
                <w:i/>
                <w:iCs/>
                <w:color w:val="000000"/>
              </w:rPr>
              <w:t>Aquarickettsia</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2 / 61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0.046</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0.339</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Middle &amp; Upper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0.555</w:t>
            </w:r>
          </w:p>
        </w:tc>
      </w:tr>
      <w:tr w:rsidR="00A72DAA" w:rsidTr="00A72DAA">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Lower &amp; Upper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0.003</w:t>
            </w:r>
          </w:p>
        </w:tc>
      </w:tr>
      <w:tr w:rsidR="00A72DAA" w:rsidTr="00A72DAA">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Lower &amp; Middle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0.003</w:t>
            </w:r>
          </w:p>
        </w:tc>
      </w:tr>
    </w:tbl>
    <w:p w:rsidR="00A72DAA" w:rsidRDefault="00A72DAA" w:rsidP="00A72DAA">
      <w:pPr>
        <w:spacing w:after="240"/>
      </w:pPr>
      <w:r>
        <w:br/>
      </w:r>
      <w:r>
        <w:br/>
      </w:r>
      <w:r>
        <w:br/>
      </w:r>
      <w:r>
        <w:br/>
      </w:r>
      <w:r>
        <w:br/>
      </w:r>
      <w:r>
        <w:br/>
      </w:r>
    </w:p>
    <w:p w:rsidR="00F602FF" w:rsidRDefault="00F602FF" w:rsidP="00A72DAA">
      <w:pPr>
        <w:spacing w:after="240"/>
      </w:pPr>
    </w:p>
    <w:p w:rsidR="00F602FF" w:rsidRDefault="00F602FF" w:rsidP="00A72DAA">
      <w:pPr>
        <w:spacing w:after="240"/>
      </w:pPr>
    </w:p>
    <w:p w:rsidR="00F602FF" w:rsidRDefault="00F602FF" w:rsidP="00A72DAA">
      <w:pPr>
        <w:spacing w:after="240"/>
      </w:pPr>
    </w:p>
    <w:p w:rsidR="00F602FF" w:rsidRDefault="00F602FF" w:rsidP="00A72DAA">
      <w:pPr>
        <w:spacing w:after="240"/>
      </w:pPr>
    </w:p>
    <w:p w:rsidR="00A72DAA" w:rsidRDefault="00A72DAA" w:rsidP="00A72DAA">
      <w:pPr>
        <w:pStyle w:val="NormalWeb"/>
        <w:spacing w:before="0" w:beforeAutospacing="0" w:after="160" w:afterAutospacing="0"/>
      </w:pPr>
      <w:r>
        <w:rPr>
          <w:b/>
          <w:bCs/>
          <w:color w:val="000000"/>
        </w:rPr>
        <w:lastRenderedPageBreak/>
        <w:t>Table S4.</w:t>
      </w:r>
      <w:r>
        <w:rPr>
          <w:color w:val="000000"/>
        </w:rPr>
        <w:t xml:space="preserve"> Results of the corncob differential abundance analysis for the non-outlier dataset, the high-</w:t>
      </w:r>
      <w:r>
        <w:rPr>
          <w:i/>
          <w:iCs/>
          <w:color w:val="000000"/>
        </w:rPr>
        <w:t>Aquarickettsia</w:t>
      </w:r>
      <w:r>
        <w:rPr>
          <w:color w:val="000000"/>
        </w:rPr>
        <w:t xml:space="preserve"> genotypes: coefficients associated with abundance. Note that for ASV 5, the intercept was significant (P &lt;0.001) and the coefficients associated with dispersion (not listed, see code for values) were significant.</w:t>
      </w:r>
    </w:p>
    <w:tbl>
      <w:tblPr>
        <w:tblW w:w="0" w:type="auto"/>
        <w:tblCellMar>
          <w:top w:w="15" w:type="dxa"/>
          <w:left w:w="15" w:type="dxa"/>
          <w:bottom w:w="15" w:type="dxa"/>
          <w:right w:w="15" w:type="dxa"/>
        </w:tblCellMar>
        <w:tblLook w:val="04A0" w:firstRow="1" w:lastRow="0" w:firstColumn="1" w:lastColumn="0" w:noHBand="0" w:noVBand="1"/>
      </w:tblPr>
      <w:tblGrid>
        <w:gridCol w:w="681"/>
        <w:gridCol w:w="2397"/>
        <w:gridCol w:w="1431"/>
        <w:gridCol w:w="795"/>
        <w:gridCol w:w="898"/>
        <w:gridCol w:w="1431"/>
        <w:gridCol w:w="795"/>
        <w:gridCol w:w="912"/>
      </w:tblGrid>
      <w:tr w:rsidR="00A72DAA" w:rsidTr="00A72DAA">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 w:rsidR="00A72DAA" w:rsidRDefault="00A72DAA">
            <w:pPr>
              <w:pStyle w:val="NormalWeb"/>
              <w:spacing w:before="0" w:beforeAutospacing="0" w:after="160" w:afterAutospacing="0"/>
            </w:pPr>
            <w:r>
              <w:rPr>
                <w:color w:val="000000"/>
              </w:rPr>
              <w:t>ASV</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 w:rsidR="00A72DAA" w:rsidRDefault="00A72DAA">
            <w:pPr>
              <w:pStyle w:val="NormalWeb"/>
              <w:spacing w:before="0" w:beforeAutospacing="0" w:after="160" w:afterAutospacing="0"/>
            </w:pPr>
            <w:r>
              <w:rPr>
                <w:color w:val="000000"/>
              </w:rPr>
              <w:t>Genus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Lower vs. Middle Keys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Lower vs. Upper Keys</w:t>
            </w:r>
          </w:p>
        </w:tc>
      </w:tr>
      <w:tr w:rsidR="00A72DAA" w:rsidTr="00A72DAA">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Estimate ± 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t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P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Estimate ± 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t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P value</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i/>
                <w:iCs/>
                <w:color w:val="000000"/>
              </w:rPr>
              <w:t>Aquarickettsia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-0.67±0.2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-4.15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 0.001</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i/>
                <w:iCs/>
                <w:color w:val="000000"/>
              </w:rPr>
              <w:t>Spirochaeta_2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2.64±0.4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6.33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3.05±0.4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6.85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&lt;0.001</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i/>
                <w:iCs/>
                <w:color w:val="000000"/>
              </w:rPr>
              <w:t>Aquarickettsia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-0.07±0.2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-0.19±0.4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0.623</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i/>
                <w:iCs/>
                <w:color w:val="000000"/>
              </w:rPr>
              <w:t>Spirochaeta_2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1.28±0.2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6.53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1.38±0.2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6.72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&lt;0.001</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 xml:space="preserve">Family </w:t>
            </w:r>
            <w:proofErr w:type="spellStart"/>
            <w:r>
              <w:rPr>
                <w:color w:val="000000"/>
              </w:rPr>
              <w:t>Helicobacteraceae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-1.73±0.7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-2.48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-1.77±0.5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&lt;0.001</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Unclassified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-0.92±0.2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-4.40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-0.50±0.2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0.0512</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i/>
                <w:iCs/>
                <w:color w:val="000000"/>
              </w:rPr>
              <w:t>Aquarickettsia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-0.03±0.2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0.882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-0.07±0.1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0.299</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proofErr w:type="spellStart"/>
            <w:r>
              <w:rPr>
                <w:i/>
                <w:iCs/>
                <w:color w:val="000000"/>
              </w:rPr>
              <w:t>Cetobacterium</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-3.66±1.0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-5.12±1.0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-5.11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&lt;0.001</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i/>
                <w:iCs/>
                <w:color w:val="000000"/>
              </w:rPr>
              <w:t>Aquarickettsia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-0.16±0.3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0.614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0.11±0.1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0.401</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i/>
                <w:iCs/>
                <w:color w:val="000000"/>
              </w:rPr>
              <w:t>Aquarickettsia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-0.20±0.4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0.616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-0.12±0.5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0.797</w:t>
            </w:r>
          </w:p>
        </w:tc>
      </w:tr>
    </w:tbl>
    <w:p w:rsidR="00F602FF" w:rsidRDefault="00A72DAA" w:rsidP="00A72DAA">
      <w:pPr>
        <w:spacing w:after="240"/>
      </w:pPr>
      <w:r>
        <w:br/>
      </w:r>
      <w:r>
        <w:br/>
      </w:r>
    </w:p>
    <w:p w:rsidR="00F602FF" w:rsidRDefault="00F602FF" w:rsidP="00A72DAA">
      <w:pPr>
        <w:spacing w:after="240"/>
      </w:pPr>
    </w:p>
    <w:p w:rsidR="00F602FF" w:rsidRDefault="00F602FF" w:rsidP="00A72DAA">
      <w:pPr>
        <w:spacing w:after="240"/>
      </w:pPr>
    </w:p>
    <w:p w:rsidR="00F602FF" w:rsidRDefault="00F602FF" w:rsidP="00A72DAA">
      <w:pPr>
        <w:spacing w:after="240"/>
      </w:pPr>
    </w:p>
    <w:p w:rsidR="00A72DAA" w:rsidRDefault="00A72DAA" w:rsidP="00A72DAA">
      <w:pPr>
        <w:pStyle w:val="NormalWeb"/>
        <w:spacing w:before="0" w:beforeAutospacing="0" w:after="160" w:afterAutospacing="0"/>
      </w:pPr>
      <w:r>
        <w:rPr>
          <w:b/>
          <w:bCs/>
          <w:color w:val="000000"/>
        </w:rPr>
        <w:lastRenderedPageBreak/>
        <w:t>Table S5.</w:t>
      </w:r>
      <w:r>
        <w:rPr>
          <w:color w:val="000000"/>
        </w:rPr>
        <w:t xml:space="preserve"> Results of the corncob differential abundance analysis for the outlier dataset, the low-</w:t>
      </w:r>
      <w:r>
        <w:rPr>
          <w:i/>
          <w:iCs/>
          <w:color w:val="000000"/>
        </w:rPr>
        <w:t>Aquarickettsia</w:t>
      </w:r>
      <w:r>
        <w:rPr>
          <w:color w:val="000000"/>
        </w:rPr>
        <w:t xml:space="preserve"> genotypes: coefficients associated with abundance.</w:t>
      </w:r>
    </w:p>
    <w:tbl>
      <w:tblPr>
        <w:tblW w:w="0" w:type="auto"/>
        <w:tblCellMar>
          <w:top w:w="15" w:type="dxa"/>
          <w:left w:w="15" w:type="dxa"/>
          <w:bottom w:w="15" w:type="dxa"/>
          <w:right w:w="15" w:type="dxa"/>
        </w:tblCellMar>
        <w:tblLook w:val="04A0" w:firstRow="1" w:lastRow="0" w:firstColumn="1" w:lastColumn="0" w:noHBand="0" w:noVBand="1"/>
      </w:tblPr>
      <w:tblGrid>
        <w:gridCol w:w="681"/>
        <w:gridCol w:w="2713"/>
        <w:gridCol w:w="1692"/>
        <w:gridCol w:w="847"/>
        <w:gridCol w:w="914"/>
      </w:tblGrid>
      <w:tr w:rsidR="00A72DAA" w:rsidTr="00A72DAA">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 w:rsidR="00A72DAA" w:rsidRDefault="00A72DAA">
            <w:pPr>
              <w:pStyle w:val="NormalWeb"/>
              <w:spacing w:before="0" w:beforeAutospacing="0" w:after="160" w:afterAutospacing="0"/>
            </w:pPr>
            <w:r>
              <w:rPr>
                <w:color w:val="000000"/>
              </w:rPr>
              <w:t>ASV</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 w:rsidR="00A72DAA" w:rsidRDefault="00A72DAA">
            <w:pPr>
              <w:pStyle w:val="NormalWeb"/>
              <w:spacing w:before="0" w:beforeAutospacing="0" w:after="160" w:afterAutospacing="0"/>
            </w:pPr>
            <w:r>
              <w:rPr>
                <w:color w:val="000000"/>
              </w:rPr>
              <w:t>Genus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jc w:val="center"/>
            </w:pPr>
            <w:r>
              <w:rPr>
                <w:color w:val="000000"/>
              </w:rPr>
              <w:t>Lower vs. Upper Keys</w:t>
            </w:r>
          </w:p>
        </w:tc>
      </w:tr>
      <w:tr w:rsidR="00A72DAA" w:rsidTr="00A72DAA">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Estimate ± 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t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P value</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i/>
                <w:iCs/>
                <w:color w:val="000000"/>
              </w:rPr>
              <w:t>Spirochaeta_2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5.72±0.6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9.24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&lt;0.001</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i/>
                <w:iCs/>
                <w:color w:val="000000"/>
              </w:rPr>
              <w:t>Enterococcus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7.24±1.7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4.25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0.005</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 xml:space="preserve">Family </w:t>
            </w:r>
            <w:proofErr w:type="spellStart"/>
            <w:r>
              <w:rPr>
                <w:color w:val="000000"/>
              </w:rPr>
              <w:t>Helicobacteraceae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-2.93±0.9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0.014</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Unclassified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7.07±2.1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0.017</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proofErr w:type="spellStart"/>
            <w:r>
              <w:rPr>
                <w:i/>
                <w:iCs/>
                <w:color w:val="000000"/>
              </w:rPr>
              <w:t>Cloacibacterium</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6.82±1.6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4.40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0.005</w:t>
            </w:r>
          </w:p>
        </w:tc>
      </w:tr>
      <w:tr w:rsidR="00A72DAA" w:rsidTr="00A72DAA">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 xml:space="preserve">Family </w:t>
            </w:r>
            <w:proofErr w:type="spellStart"/>
            <w:r>
              <w:rPr>
                <w:color w:val="000000"/>
              </w:rPr>
              <w:t>Microbacteriaceae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6.35±1.7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3.83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160" w:afterAutospacing="0"/>
            </w:pPr>
            <w:r>
              <w:rPr>
                <w:color w:val="000000"/>
              </w:rPr>
              <w:t>0.009</w:t>
            </w:r>
          </w:p>
        </w:tc>
      </w:tr>
    </w:tbl>
    <w:p w:rsidR="00A72DAA" w:rsidRDefault="00A72DAA" w:rsidP="00A72DAA"/>
    <w:p w:rsidR="00F602FF" w:rsidRDefault="00F602FF" w:rsidP="00A72DAA"/>
    <w:p w:rsidR="00A72DAA" w:rsidRDefault="00A72DAA" w:rsidP="00A72DAA">
      <w:pPr>
        <w:pStyle w:val="NormalWeb"/>
        <w:spacing w:before="0" w:beforeAutospacing="0" w:after="160" w:afterAutospacing="0"/>
      </w:pPr>
      <w:r>
        <w:rPr>
          <w:noProof/>
          <w:color w:val="000000"/>
          <w:bdr w:val="none" w:sz="0" w:space="0" w:color="auto" w:frame="1"/>
        </w:rPr>
        <w:lastRenderedPageBreak/>
        <w:drawing>
          <wp:inline distT="0" distB="0" distL="0" distR="0">
            <wp:extent cx="5943600" cy="4108450"/>
            <wp:effectExtent l="0" t="0" r="0" b="6350"/>
            <wp:docPr id="11" name="Picture 11" descr="https://lh6.googleusercontent.com/Hm7BCTvKMa0KMl_7jTUDcVmxNxUhonVONvyF-O2QOzMzGz3LHDeonRoeytHDXVs-3YK94TojIBkMAHwfQuyrfmtacpeKFAbUeK76y0NsEUuxVz4MYpDqdAvmIs2y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m7BCTvKMa0KMl_7jTUDcVmxNxUhonVONvyF-O2QOzMzGz3LHDeonRoeytHDXVs-3YK94TojIBkMAHwfQuyrfmtacpeKFAbUeK76y0NsEUuxVz4MYpDqdAvmIs2yX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108450"/>
                    </a:xfrm>
                    <a:prstGeom prst="rect">
                      <a:avLst/>
                    </a:prstGeom>
                    <a:noFill/>
                    <a:ln>
                      <a:noFill/>
                    </a:ln>
                  </pic:spPr>
                </pic:pic>
              </a:graphicData>
            </a:graphic>
          </wp:inline>
        </w:drawing>
      </w:r>
    </w:p>
    <w:p w:rsidR="00A72DAA" w:rsidRDefault="00A72DAA" w:rsidP="00A72DAA">
      <w:pPr>
        <w:pStyle w:val="NormalWeb"/>
        <w:spacing w:before="0" w:beforeAutospacing="0" w:after="160" w:afterAutospacing="0"/>
      </w:pPr>
      <w:r w:rsidRPr="00F602FF">
        <w:rPr>
          <w:b/>
          <w:color w:val="000000"/>
        </w:rPr>
        <w:t>Figure S1</w:t>
      </w:r>
      <w:r>
        <w:rPr>
          <w:color w:val="000000"/>
        </w:rPr>
        <w:t xml:space="preserve">: Rarefaction curves produced by command </w:t>
      </w:r>
      <w:proofErr w:type="spellStart"/>
      <w:r>
        <w:rPr>
          <w:color w:val="000000"/>
        </w:rPr>
        <w:t>amp_</w:t>
      </w:r>
      <w:proofErr w:type="gramStart"/>
      <w:r>
        <w:rPr>
          <w:color w:val="000000"/>
        </w:rPr>
        <w:t>rarecurve</w:t>
      </w:r>
      <w:proofErr w:type="spellEnd"/>
      <w:r>
        <w:rPr>
          <w:color w:val="000000"/>
        </w:rPr>
        <w:t>(</w:t>
      </w:r>
      <w:proofErr w:type="gramEnd"/>
      <w:r>
        <w:rPr>
          <w:color w:val="000000"/>
        </w:rPr>
        <w:t>) in program ampvis2 showing sample diversity (as observed ASVs) captured at a rarefaction depth of 26,537 (minimum read depth across dataset).</w:t>
      </w:r>
    </w:p>
    <w:p w:rsidR="00A72DAA" w:rsidRDefault="00A72DAA" w:rsidP="00A72DAA">
      <w:pPr>
        <w:pStyle w:val="NormalWeb"/>
        <w:spacing w:before="0" w:beforeAutospacing="0" w:after="160" w:afterAutospacing="0"/>
      </w:pPr>
      <w:r>
        <w:rPr>
          <w:b/>
          <w:bCs/>
          <w:noProof/>
          <w:color w:val="000000"/>
          <w:bdr w:val="none" w:sz="0" w:space="0" w:color="auto" w:frame="1"/>
        </w:rPr>
        <w:lastRenderedPageBreak/>
        <w:drawing>
          <wp:inline distT="0" distB="0" distL="0" distR="0">
            <wp:extent cx="5943600" cy="3670300"/>
            <wp:effectExtent l="0" t="0" r="0" b="6350"/>
            <wp:docPr id="10" name="Picture 10" descr="https://lh3.googleusercontent.com/tWyJM5GvpWOHMHw3rIbjoyFzvqvIx1x4KuBZDjG0ld_QgSyelOP26GF5NZBUgKdZAbYZyulz6zEU3LwS0FFO3FWP-gCgUWwrwCAPteNGYoO_3diwhYFL9hLZt9tx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tWyJM5GvpWOHMHw3rIbjoyFzvqvIx1x4KuBZDjG0ld_QgSyelOP26GF5NZBUgKdZAbYZyulz6zEU3LwS0FFO3FWP-gCgUWwrwCAPteNGYoO_3diwhYFL9hLZt9txZ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r>
        <w:rPr>
          <w:b/>
          <w:bCs/>
          <w:noProof/>
          <w:color w:val="000000"/>
          <w:bdr w:val="none" w:sz="0" w:space="0" w:color="auto" w:frame="1"/>
        </w:rPr>
        <w:drawing>
          <wp:inline distT="0" distB="0" distL="0" distR="0">
            <wp:extent cx="5943600" cy="3670300"/>
            <wp:effectExtent l="0" t="0" r="0" b="6350"/>
            <wp:docPr id="9" name="Picture 9" descr="https://lh4.googleusercontent.com/qJN4LQ2vb52Iczu8vUo0QgAGIDWUi-4nW9lYHx_V7FCByKtmxdIJRYnKWB24AFOZtQpNxOUOWG97zDIu1GLNLkMtl7jUDrO-fOfK-7QDf4PDOsed87GNovfvB0YQ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qJN4LQ2vb52Iczu8vUo0QgAGIDWUi-4nW9lYHx_V7FCByKtmxdIJRYnKWB24AFOZtQpNxOUOWG97zDIu1GLNLkMtl7jUDrO-fOfK-7QDf4PDOsed87GNovfvB0YQC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rsidR="00A72DAA" w:rsidRDefault="00A72DAA" w:rsidP="00F602FF">
      <w:pPr>
        <w:pStyle w:val="NormalWeb"/>
        <w:spacing w:before="0" w:beforeAutospacing="0" w:after="160" w:afterAutospacing="0"/>
      </w:pPr>
      <w:r>
        <w:rPr>
          <w:b/>
          <w:bCs/>
          <w:color w:val="000000"/>
        </w:rPr>
        <w:t xml:space="preserve">Figure S2. </w:t>
      </w:r>
      <w:r>
        <w:rPr>
          <w:color w:val="000000"/>
        </w:rPr>
        <w:t xml:space="preserve">Relative abundances of the dominant </w:t>
      </w:r>
      <w:r>
        <w:rPr>
          <w:i/>
          <w:iCs/>
          <w:color w:val="000000"/>
        </w:rPr>
        <w:t>Aquarickettsia sp</w:t>
      </w:r>
      <w:r>
        <w:rPr>
          <w:color w:val="000000"/>
        </w:rPr>
        <w:t>. ASVs in the high-</w:t>
      </w:r>
      <w:r>
        <w:rPr>
          <w:i/>
          <w:iCs/>
          <w:color w:val="000000"/>
        </w:rPr>
        <w:t xml:space="preserve">Aquarickettsia </w:t>
      </w:r>
      <w:r>
        <w:rPr>
          <w:color w:val="000000"/>
        </w:rPr>
        <w:t>genotypes. </w:t>
      </w:r>
      <w:r w:rsidR="00F602FF">
        <w:rPr>
          <w:color w:val="000000"/>
        </w:rPr>
        <w:t>Top panel shows the full relative abundance range (0-100%) and the bottom panel shows just the bottom 5%.</w:t>
      </w:r>
    </w:p>
    <w:p w:rsidR="00A72DAA" w:rsidRDefault="00A72DAA" w:rsidP="00A72DAA">
      <w:pPr>
        <w:pStyle w:val="NormalWeb"/>
        <w:spacing w:before="0" w:beforeAutospacing="0" w:after="160" w:afterAutospacing="0"/>
      </w:pPr>
      <w:r>
        <w:rPr>
          <w:noProof/>
          <w:color w:val="000000"/>
          <w:bdr w:val="none" w:sz="0" w:space="0" w:color="auto" w:frame="1"/>
        </w:rPr>
        <w:lastRenderedPageBreak/>
        <w:drawing>
          <wp:inline distT="0" distB="0" distL="0" distR="0">
            <wp:extent cx="5943600" cy="3670300"/>
            <wp:effectExtent l="0" t="0" r="0" b="6350"/>
            <wp:docPr id="8" name="Picture 8" descr="https://lh5.googleusercontent.com/omW5CSHtsN4fHwcFed_Y0DOdq8wA2C73In37Mfyp_pS9Lt2oXn3qx1bUVXFkFsIopW-p74hyAkchlYREVrhPQ1T6RlkOVdf-vXbzX4KPqqrnDtTGXSolqEZnSEyf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omW5CSHtsN4fHwcFed_Y0DOdq8wA2C73In37Mfyp_pS9Lt2oXn3qx1bUVXFkFsIopW-p74hyAkchlYREVrhPQ1T6RlkOVdf-vXbzX4KPqqrnDtTGXSolqEZnSEyfL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rsidR="00A72DAA" w:rsidRDefault="00A72DAA" w:rsidP="00A72DAA">
      <w:pPr>
        <w:pStyle w:val="NormalWeb"/>
        <w:spacing w:before="0" w:beforeAutospacing="0" w:after="160" w:afterAutospacing="0"/>
        <w:rPr>
          <w:color w:val="000000"/>
        </w:rPr>
      </w:pPr>
      <w:r w:rsidRPr="00F602FF">
        <w:rPr>
          <w:b/>
          <w:color w:val="000000"/>
        </w:rPr>
        <w:t>Figure S3</w:t>
      </w:r>
      <w:r>
        <w:rPr>
          <w:color w:val="000000"/>
        </w:rPr>
        <w:t>. Relative abundances of ASV 1 (</w:t>
      </w:r>
      <w:r>
        <w:rPr>
          <w:i/>
          <w:iCs/>
          <w:color w:val="000000"/>
        </w:rPr>
        <w:t>Aquarickettsia sp.</w:t>
      </w:r>
      <w:r>
        <w:rPr>
          <w:color w:val="000000"/>
        </w:rPr>
        <w:t>) in genotypes from the different initial collection regions.</w:t>
      </w:r>
    </w:p>
    <w:p w:rsidR="00F602FF" w:rsidRDefault="00F602FF" w:rsidP="00A72DAA">
      <w:pPr>
        <w:pStyle w:val="NormalWeb"/>
        <w:spacing w:before="0" w:beforeAutospacing="0" w:after="160" w:afterAutospacing="0"/>
      </w:pPr>
    </w:p>
    <w:p w:rsidR="00F602FF" w:rsidRDefault="00F602FF" w:rsidP="00A72DAA">
      <w:pPr>
        <w:pStyle w:val="NormalWeb"/>
        <w:spacing w:before="0" w:beforeAutospacing="0" w:after="160" w:afterAutospacing="0"/>
      </w:pPr>
    </w:p>
    <w:p w:rsidR="00A72DAA" w:rsidRDefault="00A72DAA" w:rsidP="00A72DAA">
      <w:pPr>
        <w:pStyle w:val="NormalWeb"/>
        <w:spacing w:before="0" w:beforeAutospacing="0" w:after="160" w:afterAutospacing="0"/>
      </w:pPr>
      <w:r>
        <w:rPr>
          <w:b/>
          <w:bCs/>
          <w:noProof/>
          <w:color w:val="000000"/>
          <w:bdr w:val="none" w:sz="0" w:space="0" w:color="auto" w:frame="1"/>
        </w:rPr>
        <w:lastRenderedPageBreak/>
        <w:drawing>
          <wp:inline distT="0" distB="0" distL="0" distR="0">
            <wp:extent cx="5943600" cy="3670300"/>
            <wp:effectExtent l="0" t="0" r="0" b="6350"/>
            <wp:docPr id="7" name="Picture 7" descr="https://lh6.googleusercontent.com/qBjnj1RMjf2pKFCTKO2wIYwaNSsu20TlEQs6cWP-Zha4ML6FhAsdzU7QDcZkyGMyevWtO9Uq_U6o4Eg6EmUbYZuD-2mjB6omIemRJun4wl6kROZlqBWrs2jzf_gF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qBjnj1RMjf2pKFCTKO2wIYwaNSsu20TlEQs6cWP-Zha4ML6FhAsdzU7QDcZkyGMyevWtO9Uq_U6o4Eg6EmUbYZuD-2mjB6omIemRJun4wl6kROZlqBWrs2jzf_gFc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rsidR="00A72DAA" w:rsidRDefault="00A72DAA" w:rsidP="00F602FF">
      <w:pPr>
        <w:pStyle w:val="NormalWeb"/>
        <w:spacing w:before="0" w:beforeAutospacing="0" w:after="160" w:afterAutospacing="0"/>
        <w:rPr>
          <w:color w:val="000000"/>
        </w:rPr>
      </w:pPr>
      <w:r>
        <w:rPr>
          <w:b/>
          <w:bCs/>
          <w:color w:val="000000"/>
        </w:rPr>
        <w:t xml:space="preserve">Figure S4. </w:t>
      </w:r>
      <w:r>
        <w:rPr>
          <w:color w:val="000000"/>
        </w:rPr>
        <w:t>Differentially abundant taxa as a function of the collection region for the low-</w:t>
      </w:r>
      <w:r>
        <w:rPr>
          <w:i/>
          <w:iCs/>
          <w:color w:val="000000"/>
        </w:rPr>
        <w:t xml:space="preserve">Aquarickettsia </w:t>
      </w:r>
      <w:r>
        <w:rPr>
          <w:color w:val="000000"/>
        </w:rPr>
        <w:t>genotypes. Taxa that were significantly (P&lt;0.05) relatively enriched in the high-</w:t>
      </w:r>
      <w:r>
        <w:rPr>
          <w:i/>
          <w:iCs/>
          <w:color w:val="000000"/>
        </w:rPr>
        <w:t>Aquarickettsia</w:t>
      </w:r>
      <w:r>
        <w:rPr>
          <w:color w:val="000000"/>
        </w:rPr>
        <w:t xml:space="preserve"> genotypes of the Lower Keys (coefficient &lt; 0) or in the Upper Keys (Coefficient &gt; 0). Coefficients indicate the mean change in relative abundance (± standard error of the mean) of the ASVs.</w:t>
      </w:r>
    </w:p>
    <w:p w:rsidR="00F602FF" w:rsidRDefault="00F602FF" w:rsidP="00F602FF">
      <w:pPr>
        <w:pStyle w:val="NormalWeb"/>
        <w:spacing w:before="0" w:beforeAutospacing="0" w:after="160" w:afterAutospacing="0"/>
      </w:pPr>
    </w:p>
    <w:p w:rsidR="00A72DAA" w:rsidRPr="00F602FF" w:rsidRDefault="00A72DAA" w:rsidP="00A72DAA">
      <w:pPr>
        <w:pStyle w:val="NormalWeb"/>
        <w:spacing w:before="0" w:beforeAutospacing="0" w:after="160" w:afterAutospacing="0"/>
        <w:rPr>
          <w:b/>
        </w:rPr>
      </w:pPr>
      <w:r w:rsidRPr="00F602FF">
        <w:rPr>
          <w:b/>
          <w:i/>
          <w:iCs/>
          <w:color w:val="000000"/>
        </w:rPr>
        <w:t>Supplemental Methods &amp; Results: Diversity as a Function of Time Spent in the Nursery</w:t>
      </w:r>
    </w:p>
    <w:p w:rsidR="00A72DAA" w:rsidRDefault="00F602FF" w:rsidP="00F602FF">
      <w:pPr>
        <w:pStyle w:val="NormalWeb"/>
        <w:spacing w:before="0" w:beforeAutospacing="0" w:after="0" w:afterAutospacing="0"/>
        <w:rPr>
          <w:color w:val="3C4043"/>
          <w:shd w:val="clear" w:color="auto" w:fill="FFFFFF"/>
        </w:rPr>
      </w:pPr>
      <w:r>
        <w:rPr>
          <w:color w:val="3C4043"/>
          <w:shd w:val="clear" w:color="auto" w:fill="FFFFFF"/>
        </w:rPr>
        <w:t xml:space="preserve">     </w:t>
      </w:r>
      <w:r w:rsidR="00A72DAA">
        <w:rPr>
          <w:color w:val="3C4043"/>
          <w:shd w:val="clear" w:color="auto" w:fill="FFFFFF"/>
        </w:rPr>
        <w:t>This study was not designed to look at temporal patterns of the microbiomes as the genotypes were all moved to the nursery at different times and we do not have samples from before the frags were moved. However, we do have the data on how long each genotype had been in the nursery at the time of microbiome sampling for this study. Mean and medium times spent in the nursery are listed in Table S1. Genotypes from the Lower Keys had been in the nursery (which is located in the Lower Keys) 0.2 to 11.8 years. Genotypes from the Upper Keys had been in the nursery 1.4 to 4 years. Genotypes from the Middle Keys had been in the nursery 1.5 to 4 years. </w:t>
      </w:r>
    </w:p>
    <w:p w:rsidR="00F602FF" w:rsidRDefault="00F602FF" w:rsidP="00F602FF">
      <w:pPr>
        <w:pStyle w:val="NormalWeb"/>
        <w:spacing w:before="0" w:beforeAutospacing="0" w:after="0" w:afterAutospacing="0"/>
      </w:pPr>
    </w:p>
    <w:p w:rsidR="00A72DAA" w:rsidRDefault="00F602FF" w:rsidP="00F602FF">
      <w:pPr>
        <w:pStyle w:val="NormalWeb"/>
        <w:spacing w:before="0" w:beforeAutospacing="0" w:after="0" w:afterAutospacing="0"/>
        <w:rPr>
          <w:color w:val="3C4043"/>
          <w:shd w:val="clear" w:color="auto" w:fill="FFFFFF"/>
        </w:rPr>
      </w:pPr>
      <w:r>
        <w:rPr>
          <w:color w:val="3C4043"/>
          <w:shd w:val="clear" w:color="auto" w:fill="FFFFFF"/>
        </w:rPr>
        <w:t xml:space="preserve">     </w:t>
      </w:r>
      <w:r w:rsidR="00A72DAA">
        <w:rPr>
          <w:color w:val="3C4043"/>
          <w:shd w:val="clear" w:color="auto" w:fill="FFFFFF"/>
        </w:rPr>
        <w:t xml:space="preserve">The time spent in the nursery significantly differed by initial collection region of the genotypes (Kruskal Wallis rank sum test, chi-squared=35.99, df=2, P=1.53e-08). Genotypes originally from the Upper and Middle Keys had not been in the nursery a significantly different amount of time (Pairwise Kruskal-Wallis, </w:t>
      </w:r>
      <w:proofErr w:type="spellStart"/>
      <w:r w:rsidR="00A72DAA">
        <w:rPr>
          <w:color w:val="3C4043"/>
          <w:shd w:val="clear" w:color="auto" w:fill="FFFFFF"/>
        </w:rPr>
        <w:t>bonferroni</w:t>
      </w:r>
      <w:proofErr w:type="spellEnd"/>
      <w:r w:rsidR="00A72DAA">
        <w:rPr>
          <w:color w:val="3C4043"/>
          <w:shd w:val="clear" w:color="auto" w:fill="FFFFFF"/>
        </w:rPr>
        <w:t xml:space="preserve"> adjusted P=0.8); however, those from the Lower Keys had spent significantly different time periods in the nursery than the other two </w:t>
      </w:r>
      <w:proofErr w:type="gramStart"/>
      <w:r w:rsidR="00A72DAA">
        <w:rPr>
          <w:color w:val="3C4043"/>
          <w:shd w:val="clear" w:color="auto" w:fill="FFFFFF"/>
        </w:rPr>
        <w:t>regions(</w:t>
      </w:r>
      <w:proofErr w:type="gramEnd"/>
      <w:r w:rsidR="00A72DAA">
        <w:rPr>
          <w:color w:val="3C4043"/>
          <w:shd w:val="clear" w:color="auto" w:fill="FFFFFF"/>
        </w:rPr>
        <w:t xml:space="preserve">Pairwise Kruskal-Wallis, </w:t>
      </w:r>
      <w:proofErr w:type="spellStart"/>
      <w:r w:rsidR="00A72DAA">
        <w:rPr>
          <w:color w:val="3C4043"/>
          <w:shd w:val="clear" w:color="auto" w:fill="FFFFFF"/>
        </w:rPr>
        <w:t>bonferroni</w:t>
      </w:r>
      <w:proofErr w:type="spellEnd"/>
      <w:r w:rsidR="00A72DAA">
        <w:rPr>
          <w:color w:val="3C4043"/>
          <w:shd w:val="clear" w:color="auto" w:fill="FFFFFF"/>
        </w:rPr>
        <w:t xml:space="preserve"> adjusted P&lt;0.001 for both comparisons). Most initial genotypes used for propagation in the nursery were sourced from the Lower keys, and the Genotypes from the Upper and Middle Keys were added later during a coordinated ‘swap</w:t>
      </w:r>
      <w:r>
        <w:rPr>
          <w:color w:val="3C4043"/>
          <w:shd w:val="clear" w:color="auto" w:fill="FFFFFF"/>
        </w:rPr>
        <w:t xml:space="preserve">’ </w:t>
      </w:r>
      <w:r w:rsidR="00A72DAA">
        <w:rPr>
          <w:color w:val="3C4043"/>
          <w:shd w:val="clear" w:color="auto" w:fill="FFFFFF"/>
        </w:rPr>
        <w:t xml:space="preserve">with </w:t>
      </w:r>
      <w:r w:rsidR="00A72DAA">
        <w:rPr>
          <w:color w:val="3C4043"/>
          <w:shd w:val="clear" w:color="auto" w:fill="FFFFFF"/>
        </w:rPr>
        <w:lastRenderedPageBreak/>
        <w:t>other nurseries in those regions. The time spent in the nursery by outlier genotypes (low-</w:t>
      </w:r>
      <w:r w:rsidR="00A72DAA">
        <w:rPr>
          <w:i/>
          <w:iCs/>
          <w:color w:val="3C4043"/>
          <w:shd w:val="clear" w:color="auto" w:fill="FFFFFF"/>
        </w:rPr>
        <w:t>Aquarickettsia</w:t>
      </w:r>
      <w:r w:rsidR="00A72DAA">
        <w:rPr>
          <w:color w:val="3C4043"/>
          <w:shd w:val="clear" w:color="auto" w:fill="FFFFFF"/>
        </w:rPr>
        <w:t>) was not significantly different than that of the non-outlier (high-</w:t>
      </w:r>
      <w:r w:rsidR="00A72DAA">
        <w:rPr>
          <w:i/>
          <w:iCs/>
          <w:color w:val="3C4043"/>
          <w:shd w:val="clear" w:color="auto" w:fill="FFFFFF"/>
        </w:rPr>
        <w:t>Aquarickettsia</w:t>
      </w:r>
      <w:r w:rsidR="00A72DAA">
        <w:rPr>
          <w:color w:val="3C4043"/>
          <w:shd w:val="clear" w:color="auto" w:fill="FFFFFF"/>
        </w:rPr>
        <w:t>) genotypes (Kruskal-Wallis rank sum test, chi-squared=2.5, df=1, P=0.11).</w:t>
      </w:r>
    </w:p>
    <w:p w:rsidR="00F602FF" w:rsidRDefault="00F602FF" w:rsidP="00F602FF">
      <w:pPr>
        <w:pStyle w:val="NormalWeb"/>
        <w:spacing w:before="0" w:beforeAutospacing="0" w:after="0" w:afterAutospacing="0"/>
      </w:pPr>
    </w:p>
    <w:p w:rsidR="00A72DAA" w:rsidRDefault="00F602FF" w:rsidP="00A72DAA">
      <w:pPr>
        <w:pStyle w:val="NormalWeb"/>
        <w:spacing w:before="0" w:beforeAutospacing="0" w:after="0" w:afterAutospacing="0"/>
      </w:pPr>
      <w:r>
        <w:rPr>
          <w:color w:val="3C4043"/>
          <w:shd w:val="clear" w:color="auto" w:fill="FFFFFF"/>
        </w:rPr>
        <w:t xml:space="preserve">     </w:t>
      </w:r>
      <w:r w:rsidR="00A72DAA">
        <w:rPr>
          <w:color w:val="3C4043"/>
          <w:shd w:val="clear" w:color="auto" w:fill="FFFFFF"/>
        </w:rPr>
        <w:t>We used a series of linear regressions to determine if diversity varied temporally for either the Lower Keys or the grouped Middle and Upper Keys genotypes. Only richness significantly increased over time in genotypes originally collected from the Lower Keys (Table S</w:t>
      </w:r>
      <w:r w:rsidR="008249BA">
        <w:rPr>
          <w:color w:val="3C4043"/>
          <w:shd w:val="clear" w:color="auto" w:fill="FFFFFF"/>
        </w:rPr>
        <w:t>6</w:t>
      </w:r>
      <w:r w:rsidR="00A72DAA">
        <w:rPr>
          <w:color w:val="3C4043"/>
          <w:shd w:val="clear" w:color="auto" w:fill="FFFFFF"/>
        </w:rPr>
        <w:t xml:space="preserve">). </w:t>
      </w:r>
      <w:r w:rsidR="00A72DAA">
        <w:rPr>
          <w:color w:val="3C4043"/>
        </w:rPr>
        <w:t>Genotypes from the Lower Keys have the widest range of time spent in the nursery. While it is interesting that richness has a positive relationship with time spent in the nursery by Lower Keys genotypes, we cannot definitively say that it increases with time spent in the nursery because we do not have initial samples from these genotypes and thus do not have a baseline. Future studies should consider potential long-term variation in coral microbiome diversity in relation to coral restoration and the coral “stock” held in nurseries used for propagation and outplanting.</w:t>
      </w:r>
    </w:p>
    <w:p w:rsidR="00A72DAA" w:rsidRDefault="00A72DAA" w:rsidP="00A72DAA"/>
    <w:p w:rsidR="00A72DAA" w:rsidRDefault="00A72DAA" w:rsidP="00A72DAA">
      <w:pPr>
        <w:pStyle w:val="NormalWeb"/>
        <w:spacing w:before="0" w:beforeAutospacing="0" w:after="160" w:afterAutospacing="0"/>
      </w:pPr>
      <w:r w:rsidRPr="00F602FF">
        <w:rPr>
          <w:b/>
          <w:color w:val="000000"/>
        </w:rPr>
        <w:t>Table S</w:t>
      </w:r>
      <w:r w:rsidR="0044654F">
        <w:rPr>
          <w:b/>
          <w:color w:val="000000"/>
        </w:rPr>
        <w:t>6</w:t>
      </w:r>
      <w:r>
        <w:rPr>
          <w:color w:val="000000"/>
        </w:rPr>
        <w:t>. Results of linear regressions </w:t>
      </w:r>
      <w:r w:rsidR="00F602FF">
        <w:rPr>
          <w:color w:val="000000"/>
        </w:rPr>
        <w:t>for temporal analyses</w:t>
      </w:r>
    </w:p>
    <w:tbl>
      <w:tblPr>
        <w:tblW w:w="0" w:type="auto"/>
        <w:tblCellMar>
          <w:top w:w="15" w:type="dxa"/>
          <w:left w:w="15" w:type="dxa"/>
          <w:bottom w:w="15" w:type="dxa"/>
          <w:right w:w="15" w:type="dxa"/>
        </w:tblCellMar>
        <w:tblLook w:val="04A0" w:firstRow="1" w:lastRow="0" w:firstColumn="1" w:lastColumn="0" w:noHBand="0" w:noVBand="1"/>
      </w:tblPr>
      <w:tblGrid>
        <w:gridCol w:w="2202"/>
        <w:gridCol w:w="1446"/>
        <w:gridCol w:w="2575"/>
        <w:gridCol w:w="507"/>
        <w:gridCol w:w="1705"/>
        <w:gridCol w:w="905"/>
      </w:tblGrid>
      <w:tr w:rsidR="00A72DAA" w:rsidTr="00A72D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Diversity Metric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Region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Transformation used if needed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DF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Adjusted R-squared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P-value</w:t>
            </w:r>
          </w:p>
        </w:tc>
      </w:tr>
      <w:tr w:rsidR="00A72DAA" w:rsidTr="00A72DAA">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proofErr w:type="spellStart"/>
            <w:r>
              <w:rPr>
                <w:color w:val="000000"/>
              </w:rPr>
              <w:t>Betadisper</w:t>
            </w:r>
            <w:proofErr w:type="spellEnd"/>
            <w:r>
              <w:rPr>
                <w:color w:val="000000"/>
              </w:rPr>
              <w:t xml:space="preserve"> model distances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Middle &amp; Upper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0.25</w:t>
            </w:r>
          </w:p>
        </w:tc>
      </w:tr>
      <w:tr w:rsidR="00A72DAA" w:rsidTr="00A72DAA">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Lower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1/sqrt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0.30</w:t>
            </w:r>
          </w:p>
        </w:tc>
      </w:tr>
      <w:tr w:rsidR="00A72DAA" w:rsidTr="00A72DAA">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Shannon diversity 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Middle &amp; Upper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0.50</w:t>
            </w:r>
          </w:p>
        </w:tc>
      </w:tr>
      <w:tr w:rsidR="00A72DAA" w:rsidTr="00A72DAA">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Lower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Log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0.97</w:t>
            </w:r>
          </w:p>
        </w:tc>
      </w:tr>
      <w:tr w:rsidR="00A72DAA" w:rsidTr="00A72DAA">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Richness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Middle &amp; Upper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1/Log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0.24</w:t>
            </w:r>
          </w:p>
        </w:tc>
      </w:tr>
      <w:tr w:rsidR="00A72DAA" w:rsidTr="00A72DAA">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2DAA" w:rsidRDefault="00A72DAA">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Lower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Log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2DAA" w:rsidRDefault="00A72DAA">
            <w:pPr>
              <w:pStyle w:val="NormalWeb"/>
              <w:spacing w:before="0" w:beforeAutospacing="0" w:after="0" w:afterAutospacing="0"/>
            </w:pPr>
            <w:r>
              <w:rPr>
                <w:color w:val="000000"/>
              </w:rPr>
              <w:t>0.0005</w:t>
            </w:r>
          </w:p>
        </w:tc>
      </w:tr>
    </w:tbl>
    <w:p w:rsidR="00A72DAA" w:rsidRDefault="00A72DAA" w:rsidP="00A72DAA"/>
    <w:p w:rsidR="00A72DAA" w:rsidRPr="00F602FF" w:rsidRDefault="00A72DAA" w:rsidP="00A72DAA">
      <w:pPr>
        <w:pStyle w:val="NormalWeb"/>
        <w:spacing w:before="0" w:beforeAutospacing="0" w:after="160" w:afterAutospacing="0"/>
        <w:rPr>
          <w:b/>
        </w:rPr>
      </w:pPr>
      <w:r w:rsidRPr="00F602FF">
        <w:rPr>
          <w:b/>
          <w:i/>
          <w:iCs/>
          <w:color w:val="000000"/>
        </w:rPr>
        <w:t>Supplemental Method &amp; Results: Heat Trees of Differential Abundance</w:t>
      </w:r>
    </w:p>
    <w:p w:rsidR="00A72DAA" w:rsidRDefault="00A72DAA" w:rsidP="00A72DAA">
      <w:pPr>
        <w:pStyle w:val="NormalWeb"/>
        <w:spacing w:before="0" w:beforeAutospacing="0" w:after="160" w:afterAutospacing="0"/>
      </w:pPr>
      <w:r>
        <w:rPr>
          <w:color w:val="000000"/>
        </w:rPr>
        <w:t xml:space="preserve">     Heat trees of bacterial abundances and phylogenetic relatedness were built from the microbiome relative abundance data using the </w:t>
      </w:r>
      <w:proofErr w:type="spellStart"/>
      <w:r>
        <w:rPr>
          <w:color w:val="000000"/>
        </w:rPr>
        <w:t>metacoder</w:t>
      </w:r>
      <w:proofErr w:type="spellEnd"/>
      <w:r>
        <w:rPr>
          <w:color w:val="000000"/>
        </w:rPr>
        <w:t xml:space="preserve"> package R (</w:t>
      </w:r>
      <w:proofErr w:type="spellStart"/>
      <w:r>
        <w:rPr>
          <w:color w:val="000000"/>
        </w:rPr>
        <w:t>metacoder</w:t>
      </w:r>
      <w:proofErr w:type="spellEnd"/>
      <w:r>
        <w:rPr>
          <w:color w:val="000000"/>
        </w:rPr>
        <w:t xml:space="preserve"> package, Foster et. al, 2017). The heat tree matrix (Fig. S</w:t>
      </w:r>
      <w:r w:rsidR="00F602FF">
        <w:rPr>
          <w:color w:val="000000"/>
        </w:rPr>
        <w:t>5</w:t>
      </w:r>
      <w:r>
        <w:rPr>
          <w:color w:val="000000"/>
        </w:rPr>
        <w:t>A) displays differences between regions based off of the log2 median ratios of abundances in one region over the other (Fig. S</w:t>
      </w:r>
      <w:r w:rsidR="00F602FF">
        <w:rPr>
          <w:color w:val="000000"/>
        </w:rPr>
        <w:t>5</w:t>
      </w:r>
      <w:r>
        <w:rPr>
          <w:color w:val="000000"/>
        </w:rPr>
        <w:t xml:space="preserve">B shows the taxonomy of the nodes). These results are similar to the corncob differential abundance analysis results -- they show what taxa are driving the difference between </w:t>
      </w:r>
      <w:proofErr w:type="gramStart"/>
      <w:r>
        <w:rPr>
          <w:color w:val="000000"/>
        </w:rPr>
        <w:t>regions;  however</w:t>
      </w:r>
      <w:proofErr w:type="gramEnd"/>
      <w:r>
        <w:rPr>
          <w:color w:val="000000"/>
        </w:rPr>
        <w:t xml:space="preserve">, they also show the differences on a finer taxonomic level. Again, </w:t>
      </w:r>
      <w:r>
        <w:rPr>
          <w:i/>
          <w:iCs/>
          <w:color w:val="000000"/>
        </w:rPr>
        <w:t>Spirochaeta sp.</w:t>
      </w:r>
      <w:r>
        <w:rPr>
          <w:color w:val="000000"/>
        </w:rPr>
        <w:t xml:space="preserve"> were much more abundant in the Upper and Middle Keys than in the Lower Keys genotypes. Different taxa are seen here (Fig. S</w:t>
      </w:r>
      <w:r w:rsidR="00F602FF">
        <w:rPr>
          <w:color w:val="000000"/>
        </w:rPr>
        <w:t>5</w:t>
      </w:r>
      <w:r>
        <w:rPr>
          <w:color w:val="000000"/>
        </w:rPr>
        <w:t>) because the full dataset, high and low -</w:t>
      </w:r>
      <w:r>
        <w:rPr>
          <w:i/>
          <w:iCs/>
          <w:color w:val="000000"/>
        </w:rPr>
        <w:t>Aquarickettsia</w:t>
      </w:r>
      <w:r>
        <w:rPr>
          <w:color w:val="000000"/>
        </w:rPr>
        <w:t xml:space="preserve"> genotypes, was used, so the heat tree </w:t>
      </w:r>
      <w:r>
        <w:rPr>
          <w:color w:val="000000"/>
        </w:rPr>
        <w:lastRenderedPageBreak/>
        <w:t>matrix also captures the differentially abundant taxa from the outliers. In the Lower versus Middle Keys heat tree (top left of Fig. S</w:t>
      </w:r>
      <w:r w:rsidR="00F602FF">
        <w:rPr>
          <w:color w:val="000000"/>
        </w:rPr>
        <w:t>5</w:t>
      </w:r>
      <w:r>
        <w:rPr>
          <w:color w:val="000000"/>
        </w:rPr>
        <w:t xml:space="preserve">A), the taxa driving the differences between regions are more abundant in the Lower Keys, except </w:t>
      </w:r>
      <w:r>
        <w:rPr>
          <w:i/>
          <w:iCs/>
          <w:color w:val="000000"/>
        </w:rPr>
        <w:t>Spirochaeta</w:t>
      </w:r>
      <w:r>
        <w:rPr>
          <w:color w:val="000000"/>
        </w:rPr>
        <w:t>. In the Upper versus Lower Keys heat tree (top right of Fig. S</w:t>
      </w:r>
      <w:r w:rsidR="00F602FF">
        <w:rPr>
          <w:color w:val="000000"/>
        </w:rPr>
        <w:t>5</w:t>
      </w:r>
      <w:r>
        <w:rPr>
          <w:color w:val="000000"/>
        </w:rPr>
        <w:t xml:space="preserve">A), more of the taxa driving the differences are less differentially abundant; but of the ones that are, </w:t>
      </w:r>
      <w:r>
        <w:rPr>
          <w:i/>
          <w:iCs/>
          <w:color w:val="000000"/>
        </w:rPr>
        <w:t>Spirochaeta sp.</w:t>
      </w:r>
      <w:r>
        <w:rPr>
          <w:color w:val="000000"/>
        </w:rPr>
        <w:t xml:space="preserve"> are more abundant in the Upper Keys and </w:t>
      </w:r>
      <w:r>
        <w:rPr>
          <w:i/>
          <w:iCs/>
          <w:color w:val="000000"/>
        </w:rPr>
        <w:t>Aquarickettsia sp</w:t>
      </w:r>
      <w:r>
        <w:rPr>
          <w:color w:val="000000"/>
        </w:rPr>
        <w:t>. are more abundant in the Lower Keys. All of the taxa driving the differences between the Upper and Middle Keys (bottom right of Fig. S</w:t>
      </w:r>
      <w:r w:rsidR="00F602FF">
        <w:rPr>
          <w:color w:val="000000"/>
        </w:rPr>
        <w:t>5</w:t>
      </w:r>
      <w:r>
        <w:rPr>
          <w:color w:val="000000"/>
        </w:rPr>
        <w:t>A) are more abundant in the Upper Keys. </w:t>
      </w:r>
    </w:p>
    <w:p w:rsidR="00A72DAA" w:rsidRDefault="00A72DAA" w:rsidP="00A72DAA">
      <w:pPr>
        <w:pStyle w:val="NormalWeb"/>
        <w:spacing w:before="0" w:beforeAutospacing="0" w:after="160" w:afterAutospacing="0"/>
      </w:pPr>
      <w:r>
        <w:rPr>
          <w:color w:val="24292F"/>
          <w:shd w:val="clear" w:color="auto" w:fill="FFFFFF"/>
        </w:rPr>
        <w:t xml:space="preserve">Foster ZSL, Sharpton TJ, </w:t>
      </w:r>
      <w:proofErr w:type="spellStart"/>
      <w:r>
        <w:rPr>
          <w:color w:val="24292F"/>
          <w:shd w:val="clear" w:color="auto" w:fill="FFFFFF"/>
        </w:rPr>
        <w:t>Grünwald</w:t>
      </w:r>
      <w:proofErr w:type="spellEnd"/>
      <w:r>
        <w:rPr>
          <w:color w:val="24292F"/>
          <w:shd w:val="clear" w:color="auto" w:fill="FFFFFF"/>
        </w:rPr>
        <w:t xml:space="preserve"> NJ (2017) </w:t>
      </w:r>
      <w:proofErr w:type="spellStart"/>
      <w:r>
        <w:rPr>
          <w:color w:val="24292F"/>
          <w:shd w:val="clear" w:color="auto" w:fill="FFFFFF"/>
        </w:rPr>
        <w:t>Metacoder</w:t>
      </w:r>
      <w:proofErr w:type="spellEnd"/>
      <w:r>
        <w:rPr>
          <w:color w:val="24292F"/>
          <w:shd w:val="clear" w:color="auto" w:fill="FFFFFF"/>
        </w:rPr>
        <w:t>: An R package for visualization and manipulation of community taxonomic diversity data. PLOS Computational Biology 13(2): e1005404.</w:t>
      </w:r>
      <w:hyperlink r:id="rId11" w:history="1">
        <w:r>
          <w:rPr>
            <w:rStyle w:val="Hyperlink"/>
            <w:color w:val="24292F"/>
            <w:shd w:val="clear" w:color="auto" w:fill="FFFFFF"/>
          </w:rPr>
          <w:t xml:space="preserve"> </w:t>
        </w:r>
        <w:r>
          <w:rPr>
            <w:rStyle w:val="Hyperlink"/>
            <w:color w:val="1155CC"/>
            <w:shd w:val="clear" w:color="auto" w:fill="FFFFFF"/>
          </w:rPr>
          <w:t>https://doi.org/10.1371/journal.pcbi.1005404</w:t>
        </w:r>
      </w:hyperlink>
    </w:p>
    <w:p w:rsidR="00A72DAA" w:rsidRDefault="00A72DAA" w:rsidP="00A72DAA">
      <w:pPr>
        <w:pStyle w:val="NormalWeb"/>
        <w:spacing w:before="0" w:beforeAutospacing="0" w:after="160" w:afterAutospacing="0"/>
      </w:pPr>
      <w:r>
        <w:rPr>
          <w:b/>
          <w:bCs/>
          <w:color w:val="000000"/>
        </w:rPr>
        <w:t>Figure S5 A &amp; B.</w:t>
      </w:r>
      <w:r>
        <w:rPr>
          <w:color w:val="000000"/>
        </w:rPr>
        <w:t xml:space="preserve"> The first plot (A) is a heat tree matrix, with size and intensity of color scaling to represent abundance (i.e. the bigger the node, the more abundant it is). The matrix displays how the diversity and abundance of the </w:t>
      </w:r>
      <w:r>
        <w:rPr>
          <w:i/>
          <w:iCs/>
          <w:color w:val="000000"/>
        </w:rPr>
        <w:t xml:space="preserve">A. cervicornis </w:t>
      </w:r>
      <w:r>
        <w:rPr>
          <w:color w:val="000000"/>
        </w:rPr>
        <w:t>microbiomes differ by region. The darker brown the nodes are displayed, the more abundant it is in the region represented by the column. Likewise, the darker blue-green the nodes are displayed, the more abundant the node is in the region represented by the row. The second plot contains the labels explaining what each of the nodes in the heat tree matrix represent.</w:t>
      </w:r>
      <w:r>
        <w:rPr>
          <w:b/>
          <w:bCs/>
          <w:noProof/>
          <w:color w:val="000000"/>
          <w:bdr w:val="none" w:sz="0" w:space="0" w:color="auto" w:frame="1"/>
        </w:rPr>
        <w:lastRenderedPageBreak/>
        <w:drawing>
          <wp:inline distT="0" distB="0" distL="0" distR="0">
            <wp:extent cx="5568950" cy="5568950"/>
            <wp:effectExtent l="0" t="0" r="0" b="0"/>
            <wp:docPr id="6" name="Picture 6" descr="https://lh4.googleusercontent.com/BF76ssBS1AkLG71MDCRJL7dRJDS6iOt4S9vPasLKj1Zs_DelnNTdAJ0QYjMp2YNcH0BALV1luXU4CA51yZ9vBKLYjTTboYYP8xo2yfneju1MTSwQDGAsoftG_07XV3cYJGnGYvD7=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BF76ssBS1AkLG71MDCRJL7dRJDS6iOt4S9vPasLKj1Zs_DelnNTdAJ0QYjMp2YNcH0BALV1luXU4CA51yZ9vBKLYjTTboYYP8xo2yfneju1MTSwQDGAsoftG_07XV3cYJGnGYvD7=s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8950" cy="5568950"/>
                    </a:xfrm>
                    <a:prstGeom prst="rect">
                      <a:avLst/>
                    </a:prstGeom>
                    <a:noFill/>
                    <a:ln>
                      <a:noFill/>
                    </a:ln>
                  </pic:spPr>
                </pic:pic>
              </a:graphicData>
            </a:graphic>
          </wp:inline>
        </w:drawing>
      </w:r>
      <w:r>
        <w:rPr>
          <w:noProof/>
          <w:color w:val="000000"/>
          <w:bdr w:val="none" w:sz="0" w:space="0" w:color="auto" w:frame="1"/>
        </w:rPr>
        <w:lastRenderedPageBreak/>
        <w:drawing>
          <wp:inline distT="0" distB="0" distL="0" distR="0">
            <wp:extent cx="5943600" cy="5943600"/>
            <wp:effectExtent l="0" t="0" r="0" b="0"/>
            <wp:docPr id="5" name="Picture 5" descr="https://lh6.googleusercontent.com/cHa7eaJoFG6nGAxZmcE11mxyz0qbVZ1_wr5jA5b0Cil9Vp-bvxcgrZOTz03hUy0sZVhQ4T2_5mVCZUs_vRopf4Cv6sYMCnLInRXsYKMhd5ibbZy-d8D5ryNdi1XNjXxtOE6jVrxm=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cHa7eaJoFG6nGAxZmcE11mxyz0qbVZ1_wr5jA5b0Cil9Vp-bvxcgrZOTz03hUy0sZVhQ4T2_5mVCZUs_vRopf4Cv6sYMCnLInRXsYKMhd5ibbZy-d8D5ryNdi1XNjXxtOE6jVrxm=s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A908B0" w:rsidRPr="00A72DAA" w:rsidRDefault="00A908B0" w:rsidP="00A72DAA"/>
    <w:sectPr w:rsidR="00A908B0" w:rsidRPr="00A72D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4A3"/>
    <w:rsid w:val="0044654F"/>
    <w:rsid w:val="004811CB"/>
    <w:rsid w:val="00604DA8"/>
    <w:rsid w:val="008249BA"/>
    <w:rsid w:val="00A72DAA"/>
    <w:rsid w:val="00A908B0"/>
    <w:rsid w:val="00E174A3"/>
    <w:rsid w:val="00F60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40F68"/>
  <w15:chartTrackingRefBased/>
  <w15:docId w15:val="{2D2433CF-F3C9-41F9-96B1-9BF613CF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174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74A3"/>
    <w:rPr>
      <w:rFonts w:ascii="Times New Roman" w:eastAsia="Times New Roman" w:hAnsi="Times New Roman" w:cs="Times New Roman"/>
      <w:b/>
      <w:bCs/>
      <w:sz w:val="36"/>
      <w:szCs w:val="36"/>
    </w:rPr>
  </w:style>
  <w:style w:type="paragraph" w:styleId="NormalWeb">
    <w:name w:val="Normal (Web)"/>
    <w:basedOn w:val="Normal"/>
    <w:uiPriority w:val="99"/>
    <w:unhideWhenUsed/>
    <w:rsid w:val="00E174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174A3"/>
    <w:rPr>
      <w:color w:val="0000FF"/>
      <w:u w:val="single"/>
    </w:rPr>
  </w:style>
  <w:style w:type="paragraph" w:customStyle="1" w:styleId="Normal1">
    <w:name w:val="Normal1"/>
    <w:rsid w:val="00E174A3"/>
    <w:pPr>
      <w:spacing w:after="0" w:line="276" w:lineRule="auto"/>
      <w:contextualSpacing/>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690906">
      <w:bodyDiv w:val="1"/>
      <w:marLeft w:val="0"/>
      <w:marRight w:val="0"/>
      <w:marTop w:val="0"/>
      <w:marBottom w:val="0"/>
      <w:divBdr>
        <w:top w:val="none" w:sz="0" w:space="0" w:color="auto"/>
        <w:left w:val="none" w:sz="0" w:space="0" w:color="auto"/>
        <w:bottom w:val="none" w:sz="0" w:space="0" w:color="auto"/>
        <w:right w:val="none" w:sz="0" w:space="0" w:color="auto"/>
      </w:divBdr>
    </w:div>
    <w:div w:id="1734308050">
      <w:bodyDiv w:val="1"/>
      <w:marLeft w:val="0"/>
      <w:marRight w:val="0"/>
      <w:marTop w:val="0"/>
      <w:marBottom w:val="0"/>
      <w:divBdr>
        <w:top w:val="none" w:sz="0" w:space="0" w:color="auto"/>
        <w:left w:val="none" w:sz="0" w:space="0" w:color="auto"/>
        <w:bottom w:val="none" w:sz="0" w:space="0" w:color="auto"/>
        <w:right w:val="none" w:sz="0" w:space="0" w:color="auto"/>
      </w:divBdr>
      <w:divsChild>
        <w:div w:id="1784761268">
          <w:marLeft w:val="-100"/>
          <w:marRight w:val="0"/>
          <w:marTop w:val="0"/>
          <w:marBottom w:val="0"/>
          <w:divBdr>
            <w:top w:val="none" w:sz="0" w:space="0" w:color="auto"/>
            <w:left w:val="none" w:sz="0" w:space="0" w:color="auto"/>
            <w:bottom w:val="none" w:sz="0" w:space="0" w:color="auto"/>
            <w:right w:val="none" w:sz="0" w:space="0" w:color="auto"/>
          </w:divBdr>
        </w:div>
        <w:div w:id="363600072">
          <w:marLeft w:val="-1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371/journal.pcbi.1005404" TargetMode="External"/><Relationship Id="rId5" Type="http://schemas.openxmlformats.org/officeDocument/2006/relationships/hyperlink" Target="https://github.com/MoteCHaDlab/FLKeys_AcerMicrobiome_geographicaldifferences"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DBC0D-80E3-47EC-91DC-0A02A11E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Williams</dc:creator>
  <cp:keywords/>
  <dc:description/>
  <cp:lastModifiedBy>Sara Williams</cp:lastModifiedBy>
  <cp:revision>3</cp:revision>
  <dcterms:created xsi:type="dcterms:W3CDTF">2022-05-14T18:12:00Z</dcterms:created>
  <dcterms:modified xsi:type="dcterms:W3CDTF">2022-05-14T18:24:00Z</dcterms:modified>
</cp:coreProperties>
</file>