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480" w:lineRule="auto"/>
        <w:jc w:val="left"/>
        <w:rPr>
          <w:rFonts w:ascii="Times New Roman" w:hAnsi="Times New Roman" w:eastAsia="宋体" w:cs="Times New Roman"/>
          <w:b/>
          <w:sz w:val="28"/>
          <w:szCs w:val="28"/>
        </w:rPr>
      </w:pPr>
      <w:r>
        <w:rPr>
          <w:rFonts w:ascii="Times New Roman" w:hAnsi="Times New Roman"/>
          <w:b/>
          <w:sz w:val="28"/>
          <w:szCs w:val="28"/>
        </w:rPr>
        <w:t>Supplementary appendix</w:t>
      </w:r>
    </w:p>
    <w:p>
      <w:pPr>
        <w:widowControl/>
        <w:autoSpaceDE w:val="0"/>
        <w:autoSpaceDN w:val="0"/>
        <w:adjustRightInd w:val="0"/>
        <w:spacing w:line="480" w:lineRule="auto"/>
        <w:jc w:val="left"/>
        <w:rPr>
          <w:rFonts w:hint="eastAsia" w:ascii="Times New Roman" w:hAnsi="Times New Roman"/>
          <w:bCs/>
          <w:sz w:val="24"/>
        </w:rPr>
      </w:pPr>
      <w:r>
        <w:rPr>
          <w:rFonts w:ascii="Times New Roman" w:hAnsi="Times New Roman"/>
          <w:bCs/>
          <w:sz w:val="24"/>
        </w:rPr>
        <w:t xml:space="preserve">Supplement to: </w:t>
      </w:r>
      <w:r>
        <w:rPr>
          <w:rFonts w:hint="eastAsia" w:ascii="Times New Roman" w:hAnsi="Times New Roman"/>
          <w:bCs/>
          <w:sz w:val="24"/>
        </w:rPr>
        <w:t xml:space="preserve">The association between thrombocytopenia and systemic disorders in </w:t>
      </w:r>
      <w:bookmarkStart w:id="5" w:name="_GoBack"/>
      <w:bookmarkEnd w:id="5"/>
      <w:r>
        <w:rPr>
          <w:rFonts w:hint="eastAsia" w:ascii="Times New Roman" w:hAnsi="Times New Roman"/>
          <w:bCs/>
          <w:sz w:val="24"/>
        </w:rPr>
        <w:t>COVID-19 patients</w:t>
      </w:r>
    </w:p>
    <w:p>
      <w:pPr>
        <w:rPr>
          <w:rFonts w:hint="eastAsia" w:ascii="Times New Roman" w:hAnsi="Times New Roman"/>
          <w:bCs/>
          <w:sz w:val="24"/>
        </w:rPr>
      </w:pPr>
      <w:r>
        <w:rPr>
          <w:rFonts w:hint="eastAsia" w:ascii="Times New Roman" w:hAnsi="Times New Roman"/>
          <w:bCs/>
          <w:sz w:val="24"/>
        </w:rPr>
        <w:br w:type="page"/>
      </w:r>
    </w:p>
    <w:p>
      <w:pPr>
        <w:spacing w:line="480" w:lineRule="auto"/>
        <w:ind w:left="210" w:leftChars="100"/>
      </w:pPr>
      <w:r>
        <w:rPr>
          <w:rFonts w:hint="eastAsia" w:ascii="Times New Roman" w:hAnsi="Times New Roman" w:cs="Times New Roman"/>
          <w:b/>
          <w:sz w:val="24"/>
        </w:rPr>
        <w:t>S</w:t>
      </w:r>
      <w:r>
        <w:rPr>
          <w:rFonts w:hint="eastAsia" w:ascii="Times New Roman" w:hAnsi="Times New Roman" w:cs="Times New Roman"/>
          <w:b/>
          <w:sz w:val="24"/>
          <w:lang w:val="en-US" w:eastAsia="zh-CN"/>
        </w:rPr>
        <w:t>1</w:t>
      </w:r>
      <w:r>
        <w:rPr>
          <w:rFonts w:hint="eastAsia" w:ascii="Times New Roman" w:hAnsi="Times New Roman" w:cs="Times New Roman"/>
          <w:b/>
          <w:sz w:val="24"/>
        </w:rPr>
        <w:t xml:space="preserve"> Table. Basic information of the COVID-19 patients in</w:t>
      </w:r>
      <w:r>
        <w:rPr>
          <w:rFonts w:ascii="Times New Roman" w:hAnsi="Times New Roman" w:cs="Times New Roman"/>
          <w:b/>
          <w:sz w:val="24"/>
        </w:rPr>
        <w:t xml:space="preserve"> the </w:t>
      </w:r>
      <w:r>
        <w:rPr>
          <w:rFonts w:hint="eastAsia" w:ascii="Times New Roman" w:hAnsi="Times New Roman" w:cs="Times New Roman"/>
          <w:b/>
          <w:sz w:val="24"/>
        </w:rPr>
        <w:t xml:space="preserve">study. </w:t>
      </w:r>
    </w:p>
    <w:tbl>
      <w:tblPr>
        <w:tblStyle w:val="5"/>
        <w:tblW w:w="11565" w:type="dxa"/>
        <w:jc w:val="center"/>
        <w:tblLayout w:type="autofit"/>
        <w:tblCellMar>
          <w:top w:w="0" w:type="dxa"/>
          <w:left w:w="0" w:type="dxa"/>
          <w:bottom w:w="0" w:type="dxa"/>
          <w:right w:w="0" w:type="dxa"/>
        </w:tblCellMar>
      </w:tblPr>
      <w:tblGrid>
        <w:gridCol w:w="3452"/>
        <w:gridCol w:w="2004"/>
        <w:gridCol w:w="2016"/>
        <w:gridCol w:w="2119"/>
        <w:gridCol w:w="1974"/>
      </w:tblGrid>
      <w:tr>
        <w:tblPrEx>
          <w:tblCellMar>
            <w:top w:w="0" w:type="dxa"/>
            <w:left w:w="0" w:type="dxa"/>
            <w:bottom w:w="0" w:type="dxa"/>
            <w:right w:w="0" w:type="dxa"/>
          </w:tblCellMar>
        </w:tblPrEx>
        <w:trPr>
          <w:trHeight w:val="315" w:hRule="atLeast"/>
          <w:jc w:val="center"/>
        </w:trPr>
        <w:tc>
          <w:tcPr>
            <w:tcW w:w="3457" w:type="dxa"/>
            <w:vMerge w:val="restart"/>
            <w:tcBorders>
              <w:top w:val="single" w:color="000000" w:sz="12" w:space="0"/>
              <w:left w:val="nil"/>
              <w:bottom w:val="single" w:color="000000" w:sz="8" w:space="0"/>
              <w:right w:val="nil"/>
            </w:tcBorders>
            <w:shd w:val="clear" w:color="auto" w:fill="auto"/>
            <w:tcMar>
              <w:top w:w="15" w:type="dxa"/>
              <w:left w:w="15" w:type="dxa"/>
              <w:right w:w="15" w:type="dxa"/>
            </w:tcMar>
            <w:vAlign w:val="center"/>
          </w:tcPr>
          <w:p>
            <w:pPr>
              <w:widowControl/>
              <w:textAlignment w:val="center"/>
              <w:rPr>
                <w:rFonts w:ascii="Times New Roman" w:hAnsi="Times New Roman" w:eastAsia="宋体" w:cs="Times New Roman"/>
                <w:b/>
                <w:color w:val="000000"/>
                <w:szCs w:val="21"/>
              </w:rPr>
            </w:pPr>
            <w:bookmarkStart w:id="0" w:name="OLE_LINK1"/>
            <w:r>
              <w:rPr>
                <w:rFonts w:ascii="Times New Roman" w:hAnsi="Times New Roman" w:eastAsia="宋体" w:cs="Times New Roman"/>
                <w:b/>
                <w:color w:val="000000"/>
                <w:kern w:val="0"/>
                <w:szCs w:val="21"/>
                <w:lang w:bidi="ar"/>
              </w:rPr>
              <w:t>Characteristics</w:t>
            </w:r>
          </w:p>
        </w:tc>
        <w:tc>
          <w:tcPr>
            <w:tcW w:w="2028" w:type="dxa"/>
            <w:tcBorders>
              <w:top w:val="single" w:color="000000" w:sz="12" w:space="0"/>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Total</w:t>
            </w:r>
          </w:p>
        </w:tc>
        <w:tc>
          <w:tcPr>
            <w:tcW w:w="2027" w:type="dxa"/>
            <w:tcBorders>
              <w:top w:val="single" w:color="000000" w:sz="12" w:space="0"/>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Thrombocytopenia</w:t>
            </w:r>
          </w:p>
        </w:tc>
        <w:tc>
          <w:tcPr>
            <w:tcW w:w="2027" w:type="dxa"/>
            <w:tcBorders>
              <w:top w:val="single" w:color="000000" w:sz="12" w:space="0"/>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Non-thrombocytopenia</w:t>
            </w:r>
          </w:p>
        </w:tc>
        <w:tc>
          <w:tcPr>
            <w:tcW w:w="2026" w:type="dxa"/>
            <w:vMerge w:val="restart"/>
            <w:tcBorders>
              <w:top w:val="single" w:color="000000" w:sz="12" w:space="0"/>
              <w:left w:val="nil"/>
              <w:bottom w:val="single" w:color="000000" w:sz="8" w:space="0"/>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P value</w:t>
            </w:r>
          </w:p>
        </w:tc>
      </w:tr>
      <w:tr>
        <w:tblPrEx>
          <w:tblCellMar>
            <w:top w:w="0" w:type="dxa"/>
            <w:left w:w="0" w:type="dxa"/>
            <w:bottom w:w="0" w:type="dxa"/>
            <w:right w:w="0" w:type="dxa"/>
          </w:tblCellMar>
        </w:tblPrEx>
        <w:trPr>
          <w:trHeight w:val="315" w:hRule="atLeast"/>
          <w:jc w:val="center"/>
        </w:trPr>
        <w:tc>
          <w:tcPr>
            <w:tcW w:w="3457" w:type="dxa"/>
            <w:vMerge w:val="continue"/>
            <w:tcBorders>
              <w:top w:val="single" w:color="000000" w:sz="12" w:space="0"/>
              <w:left w:val="nil"/>
              <w:bottom w:val="single" w:color="000000" w:sz="8" w:space="0"/>
              <w:right w:val="nil"/>
            </w:tcBorders>
            <w:shd w:val="clear" w:color="auto" w:fill="auto"/>
            <w:tcMar>
              <w:top w:w="15" w:type="dxa"/>
              <w:left w:w="15" w:type="dxa"/>
              <w:right w:w="15" w:type="dxa"/>
            </w:tcMar>
            <w:vAlign w:val="center"/>
          </w:tcPr>
          <w:p>
            <w:pPr>
              <w:rPr>
                <w:rFonts w:ascii="Times New Roman" w:hAnsi="Times New Roman" w:eastAsia="宋体" w:cs="Times New Roman"/>
                <w:b/>
                <w:color w:val="000000"/>
                <w:szCs w:val="21"/>
              </w:rPr>
            </w:pPr>
          </w:p>
        </w:tc>
        <w:tc>
          <w:tcPr>
            <w:tcW w:w="2028" w:type="dxa"/>
            <w:tcBorders>
              <w:top w:val="nil"/>
              <w:left w:val="nil"/>
              <w:bottom w:val="single" w:color="000000" w:sz="8" w:space="0"/>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(N=2209)</w:t>
            </w:r>
          </w:p>
        </w:tc>
        <w:tc>
          <w:tcPr>
            <w:tcW w:w="2027" w:type="dxa"/>
            <w:tcBorders>
              <w:top w:val="nil"/>
              <w:left w:val="nil"/>
              <w:bottom w:val="single" w:color="000000" w:sz="8" w:space="0"/>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(n=127)</w:t>
            </w:r>
          </w:p>
        </w:tc>
        <w:tc>
          <w:tcPr>
            <w:tcW w:w="2027" w:type="dxa"/>
            <w:tcBorders>
              <w:top w:val="nil"/>
              <w:left w:val="nil"/>
              <w:bottom w:val="single" w:color="000000" w:sz="8" w:space="0"/>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(n=2082)</w:t>
            </w:r>
          </w:p>
        </w:tc>
        <w:tc>
          <w:tcPr>
            <w:tcW w:w="2026" w:type="dxa"/>
            <w:vMerge w:val="continue"/>
            <w:tcBorders>
              <w:top w:val="single" w:color="000000" w:sz="12" w:space="0"/>
              <w:left w:val="nil"/>
              <w:bottom w:val="single" w:color="000000" w:sz="8" w:space="0"/>
              <w:right w:val="nil"/>
            </w:tcBorders>
            <w:shd w:val="clear" w:color="auto" w:fill="auto"/>
            <w:tcMar>
              <w:top w:w="15" w:type="dxa"/>
              <w:left w:w="15" w:type="dxa"/>
              <w:right w:w="15" w:type="dxa"/>
            </w:tcMar>
            <w:vAlign w:val="center"/>
          </w:tcPr>
          <w:p>
            <w:pPr>
              <w:jc w:val="center"/>
              <w:rPr>
                <w:rFonts w:ascii="Times New Roman" w:hAnsi="Times New Roman" w:eastAsia="宋体" w:cs="Times New Roman"/>
                <w:b/>
                <w:color w:val="000000"/>
                <w:szCs w:val="21"/>
              </w:rPr>
            </w:pP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E7E6E6"/>
            <w:noWrap/>
            <w:tcMar>
              <w:top w:w="15" w:type="dxa"/>
              <w:left w:w="15" w:type="dxa"/>
              <w:right w:w="15" w:type="dxa"/>
            </w:tcMar>
            <w:vAlign w:val="center"/>
          </w:tcPr>
          <w:p>
            <w:pPr>
              <w:widowControl/>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Age, years (median, IQR)</w:t>
            </w:r>
          </w:p>
        </w:tc>
        <w:tc>
          <w:tcPr>
            <w:tcW w:w="2028" w:type="dxa"/>
            <w:tcBorders>
              <w:top w:val="nil"/>
              <w:left w:val="nil"/>
              <w:bottom w:val="nil"/>
              <w:right w:val="nil"/>
            </w:tcBorders>
            <w:shd w:val="clear" w:color="auto" w:fill="E7E6E6"/>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61 (47-69)</w:t>
            </w:r>
          </w:p>
        </w:tc>
        <w:tc>
          <w:tcPr>
            <w:tcW w:w="2027" w:type="dxa"/>
            <w:tcBorders>
              <w:top w:val="nil"/>
              <w:left w:val="nil"/>
              <w:bottom w:val="nil"/>
              <w:right w:val="nil"/>
            </w:tcBorders>
            <w:shd w:val="clear" w:color="auto" w:fill="E7E6E6"/>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67 (56-75)</w:t>
            </w:r>
          </w:p>
        </w:tc>
        <w:tc>
          <w:tcPr>
            <w:tcW w:w="2027" w:type="dxa"/>
            <w:tcBorders>
              <w:top w:val="nil"/>
              <w:left w:val="nil"/>
              <w:bottom w:val="nil"/>
              <w:right w:val="nil"/>
            </w:tcBorders>
            <w:shd w:val="clear" w:color="auto" w:fill="E7E6E6"/>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60 (46-69)</w:t>
            </w:r>
          </w:p>
        </w:tc>
        <w:tc>
          <w:tcPr>
            <w:tcW w:w="2026" w:type="dxa"/>
            <w:tcBorders>
              <w:top w:val="nil"/>
              <w:left w:val="nil"/>
              <w:bottom w:val="nil"/>
              <w:right w:val="nil"/>
            </w:tcBorders>
            <w:shd w:val="clear" w:color="auto" w:fill="E7E6E6"/>
            <w:tcMar>
              <w:top w:w="15" w:type="dxa"/>
              <w:left w:w="15" w:type="dxa"/>
              <w:right w:w="15" w:type="dxa"/>
            </w:tcMar>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color w:val="FF0000"/>
                <w:kern w:val="0"/>
                <w:szCs w:val="21"/>
                <w:lang w:bidi="ar"/>
              </w:rPr>
              <w:t>&lt;0.001</w:t>
            </w: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w:t>
            </w:r>
          </w:p>
        </w:tc>
        <w:tc>
          <w:tcPr>
            <w:tcW w:w="2028"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514 (23.3)</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 (10.2)</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501 (24.1)</w:t>
            </w:r>
          </w:p>
        </w:tc>
        <w:tc>
          <w:tcPr>
            <w:tcW w:w="2026"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color w:val="FF0000"/>
                <w:kern w:val="0"/>
                <w:szCs w:val="21"/>
                <w:lang w:bidi="ar"/>
              </w:rPr>
              <w:t>&lt;0.001</w:t>
            </w: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45-60</w:t>
            </w:r>
          </w:p>
        </w:tc>
        <w:tc>
          <w:tcPr>
            <w:tcW w:w="2028"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585 (26.5)</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29 (22.8)</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556 (26.7)</w:t>
            </w:r>
          </w:p>
        </w:tc>
        <w:tc>
          <w:tcPr>
            <w:tcW w:w="2026" w:type="dxa"/>
            <w:tcBorders>
              <w:top w:val="nil"/>
              <w:left w:val="nil"/>
              <w:bottom w:val="nil"/>
              <w:right w:val="nil"/>
            </w:tcBorders>
            <w:shd w:val="clear" w:color="auto" w:fill="auto"/>
            <w:tcMar>
              <w:top w:w="15" w:type="dxa"/>
              <w:left w:w="15" w:type="dxa"/>
              <w:right w:w="15" w:type="dxa"/>
            </w:tcMar>
            <w:vAlign w:val="center"/>
          </w:tcPr>
          <w:p>
            <w:pPr>
              <w:jc w:val="center"/>
              <w:rPr>
                <w:rFonts w:ascii="Times New Roman" w:hAnsi="Times New Roman" w:eastAsia="宋体" w:cs="Times New Roman"/>
                <w:color w:val="000000"/>
                <w:szCs w:val="21"/>
              </w:rPr>
            </w:pP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&gt;60</w:t>
            </w:r>
          </w:p>
        </w:tc>
        <w:tc>
          <w:tcPr>
            <w:tcW w:w="2028"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1110 (50.2)</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85 (66.9)</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1025 (49.2)</w:t>
            </w:r>
          </w:p>
        </w:tc>
        <w:tc>
          <w:tcPr>
            <w:tcW w:w="2026" w:type="dxa"/>
            <w:tcBorders>
              <w:top w:val="nil"/>
              <w:left w:val="nil"/>
              <w:bottom w:val="nil"/>
              <w:right w:val="nil"/>
            </w:tcBorders>
            <w:shd w:val="clear" w:color="auto" w:fill="auto"/>
            <w:tcMar>
              <w:top w:w="15" w:type="dxa"/>
              <w:left w:w="15" w:type="dxa"/>
              <w:right w:w="15" w:type="dxa"/>
            </w:tcMar>
            <w:vAlign w:val="center"/>
          </w:tcPr>
          <w:p>
            <w:pPr>
              <w:jc w:val="center"/>
              <w:rPr>
                <w:rFonts w:ascii="Times New Roman" w:hAnsi="Times New Roman" w:eastAsia="宋体" w:cs="Times New Roman"/>
                <w:color w:val="000000"/>
                <w:szCs w:val="21"/>
              </w:rPr>
            </w:pP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E7E6E6"/>
            <w:noWrap/>
            <w:tcMar>
              <w:top w:w="15" w:type="dxa"/>
              <w:left w:w="15" w:type="dxa"/>
              <w:right w:w="15" w:type="dxa"/>
            </w:tcMar>
            <w:vAlign w:val="center"/>
          </w:tcPr>
          <w:p>
            <w:pPr>
              <w:widowControl/>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Sex, male, n(%)</w:t>
            </w:r>
          </w:p>
        </w:tc>
        <w:tc>
          <w:tcPr>
            <w:tcW w:w="2028" w:type="dxa"/>
            <w:tcBorders>
              <w:top w:val="nil"/>
              <w:left w:val="nil"/>
              <w:bottom w:val="nil"/>
              <w:right w:val="nil"/>
            </w:tcBorders>
            <w:shd w:val="clear" w:color="auto" w:fill="E7E6E6"/>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1078 (48.8)</w:t>
            </w:r>
          </w:p>
        </w:tc>
        <w:tc>
          <w:tcPr>
            <w:tcW w:w="0" w:type="auto"/>
            <w:tcBorders>
              <w:top w:val="nil"/>
              <w:left w:val="nil"/>
              <w:bottom w:val="nil"/>
              <w:right w:val="nil"/>
            </w:tcBorders>
            <w:shd w:val="clear" w:color="auto" w:fill="E7E6E6"/>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93 (73.2)</w:t>
            </w:r>
          </w:p>
        </w:tc>
        <w:tc>
          <w:tcPr>
            <w:tcW w:w="0" w:type="auto"/>
            <w:tcBorders>
              <w:top w:val="nil"/>
              <w:left w:val="nil"/>
              <w:bottom w:val="nil"/>
              <w:right w:val="nil"/>
            </w:tcBorders>
            <w:shd w:val="clear" w:color="auto" w:fill="E7E6E6"/>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985 (47.3)</w:t>
            </w:r>
          </w:p>
        </w:tc>
        <w:tc>
          <w:tcPr>
            <w:tcW w:w="2026" w:type="dxa"/>
            <w:tcBorders>
              <w:top w:val="nil"/>
              <w:left w:val="nil"/>
              <w:bottom w:val="nil"/>
              <w:right w:val="nil"/>
            </w:tcBorders>
            <w:shd w:val="clear" w:color="auto" w:fill="E7E6E6"/>
            <w:tcMar>
              <w:top w:w="15" w:type="dxa"/>
              <w:left w:w="15" w:type="dxa"/>
              <w:right w:w="15" w:type="dxa"/>
            </w:tcMar>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color w:val="FF0000"/>
                <w:kern w:val="0"/>
                <w:szCs w:val="21"/>
                <w:lang w:bidi="ar"/>
              </w:rPr>
              <w:t>&lt;0.001</w:t>
            </w:r>
          </w:p>
        </w:tc>
      </w:tr>
      <w:tr>
        <w:tblPrEx>
          <w:tblCellMar>
            <w:top w:w="0" w:type="dxa"/>
            <w:left w:w="0" w:type="dxa"/>
            <w:bottom w:w="0" w:type="dxa"/>
            <w:right w:w="0" w:type="dxa"/>
          </w:tblCellMar>
        </w:tblPrEx>
        <w:trPr>
          <w:trHeight w:val="315" w:hRule="atLeast"/>
          <w:jc w:val="center"/>
        </w:trPr>
        <w:tc>
          <w:tcPr>
            <w:tcW w:w="0" w:type="auto"/>
            <w:gridSpan w:val="2"/>
            <w:tcBorders>
              <w:top w:val="nil"/>
              <w:left w:val="nil"/>
              <w:bottom w:val="nil"/>
              <w:right w:val="nil"/>
            </w:tcBorders>
            <w:shd w:val="clear" w:color="auto" w:fill="E7E6E6"/>
            <w:noWrap/>
            <w:tcMar>
              <w:top w:w="15" w:type="dxa"/>
              <w:left w:w="15" w:type="dxa"/>
              <w:right w:w="15" w:type="dxa"/>
            </w:tcMar>
            <w:vAlign w:val="center"/>
          </w:tcPr>
          <w:p>
            <w:pPr>
              <w:widowControl/>
              <w:jc w:val="left"/>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Days from disease onset to clinic visit, median (IQR)</w:t>
            </w:r>
          </w:p>
        </w:tc>
        <w:tc>
          <w:tcPr>
            <w:tcW w:w="0" w:type="auto"/>
            <w:tcBorders>
              <w:top w:val="nil"/>
              <w:left w:val="nil"/>
              <w:bottom w:val="nil"/>
              <w:right w:val="nil"/>
            </w:tcBorders>
            <w:shd w:val="clear" w:color="auto" w:fill="E7E6E6"/>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0" w:type="auto"/>
            <w:tcBorders>
              <w:top w:val="nil"/>
              <w:left w:val="nil"/>
              <w:bottom w:val="nil"/>
              <w:right w:val="nil"/>
            </w:tcBorders>
            <w:shd w:val="clear" w:color="auto" w:fill="E7E6E6"/>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0" w:type="auto"/>
            <w:tcBorders>
              <w:top w:val="nil"/>
              <w:left w:val="nil"/>
              <w:bottom w:val="nil"/>
              <w:right w:val="nil"/>
            </w:tcBorders>
            <w:shd w:val="clear" w:color="auto" w:fill="E7E6E6"/>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rPr>
                <w:rFonts w:ascii="Times New Roman" w:hAnsi="Times New Roman" w:eastAsia="宋体" w:cs="Times New Roman"/>
                <w:b/>
                <w:color w:val="000000"/>
                <w:szCs w:val="21"/>
              </w:rPr>
            </w:pPr>
          </w:p>
        </w:tc>
        <w:tc>
          <w:tcPr>
            <w:tcW w:w="2028"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 (5-14)</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 (5-12)</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9 (5-14)</w:t>
            </w:r>
          </w:p>
        </w:tc>
        <w:tc>
          <w:tcPr>
            <w:tcW w:w="2026"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0.142</w:t>
            </w:r>
          </w:p>
        </w:tc>
      </w:tr>
      <w:tr>
        <w:tblPrEx>
          <w:tblCellMar>
            <w:top w:w="0" w:type="dxa"/>
            <w:left w:w="0" w:type="dxa"/>
            <w:bottom w:w="0" w:type="dxa"/>
            <w:right w:w="0" w:type="dxa"/>
          </w:tblCellMar>
        </w:tblPrEx>
        <w:trPr>
          <w:trHeight w:val="315" w:hRule="atLeast"/>
          <w:jc w:val="center"/>
        </w:trPr>
        <w:tc>
          <w:tcPr>
            <w:tcW w:w="0" w:type="auto"/>
            <w:gridSpan w:val="2"/>
            <w:tcBorders>
              <w:top w:val="nil"/>
              <w:left w:val="nil"/>
              <w:bottom w:val="nil"/>
              <w:right w:val="nil"/>
            </w:tcBorders>
            <w:shd w:val="clear" w:color="auto" w:fill="E7E6E6"/>
            <w:noWrap/>
            <w:tcMar>
              <w:top w:w="15" w:type="dxa"/>
              <w:left w:w="15" w:type="dxa"/>
              <w:right w:w="15" w:type="dxa"/>
            </w:tcMar>
            <w:vAlign w:val="center"/>
          </w:tcPr>
          <w:p>
            <w:pPr>
              <w:widowControl/>
              <w:jc w:val="left"/>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Length of stay, days, median (IQR)</w:t>
            </w:r>
          </w:p>
        </w:tc>
        <w:tc>
          <w:tcPr>
            <w:tcW w:w="0" w:type="auto"/>
            <w:tcBorders>
              <w:top w:val="nil"/>
              <w:left w:val="nil"/>
              <w:bottom w:val="nil"/>
              <w:right w:val="nil"/>
            </w:tcBorders>
            <w:shd w:val="clear" w:color="auto" w:fill="E7E6E6"/>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0" w:type="auto"/>
            <w:tcBorders>
              <w:top w:val="nil"/>
              <w:left w:val="nil"/>
              <w:bottom w:val="nil"/>
              <w:right w:val="nil"/>
            </w:tcBorders>
            <w:shd w:val="clear" w:color="auto" w:fill="E7E6E6"/>
            <w:noWrap/>
            <w:tcMar>
              <w:top w:w="15" w:type="dxa"/>
              <w:left w:w="15" w:type="dxa"/>
              <w:right w:w="15" w:type="dxa"/>
            </w:tcMar>
            <w:vAlign w:val="center"/>
          </w:tcPr>
          <w:p>
            <w:pPr>
              <w:rPr>
                <w:rFonts w:ascii="Times New Roman" w:hAnsi="Times New Roman" w:eastAsia="宋体" w:cs="Times New Roman"/>
                <w:color w:val="000000"/>
                <w:sz w:val="22"/>
                <w:szCs w:val="22"/>
              </w:rPr>
            </w:pPr>
          </w:p>
        </w:tc>
        <w:tc>
          <w:tcPr>
            <w:tcW w:w="0" w:type="auto"/>
            <w:tcBorders>
              <w:top w:val="nil"/>
              <w:left w:val="nil"/>
              <w:bottom w:val="nil"/>
              <w:right w:val="nil"/>
            </w:tcBorders>
            <w:shd w:val="clear" w:color="auto" w:fill="E7E6E6"/>
            <w:noWrap/>
            <w:tcMar>
              <w:top w:w="15" w:type="dxa"/>
              <w:left w:w="15" w:type="dxa"/>
              <w:right w:w="15" w:type="dxa"/>
            </w:tcMar>
            <w:vAlign w:val="center"/>
          </w:tcPr>
          <w:p>
            <w:pPr>
              <w:rPr>
                <w:rFonts w:ascii="Times New Roman" w:hAnsi="Times New Roman" w:eastAsia="宋体" w:cs="Times New Roman"/>
                <w:color w:val="000000"/>
                <w:sz w:val="22"/>
                <w:szCs w:val="22"/>
              </w:rPr>
            </w:pP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rPr>
                <w:rFonts w:ascii="Times New Roman" w:hAnsi="Times New Roman" w:eastAsia="宋体" w:cs="Times New Roman"/>
                <w:b/>
                <w:color w:val="000000"/>
                <w:szCs w:val="21"/>
              </w:rPr>
            </w:pPr>
          </w:p>
        </w:tc>
        <w:tc>
          <w:tcPr>
            <w:tcW w:w="2028"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17 (12-24)</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 (7-21)</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 (12-24)</w:t>
            </w:r>
          </w:p>
        </w:tc>
        <w:tc>
          <w:tcPr>
            <w:tcW w:w="2026"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color w:val="FF0000"/>
                <w:kern w:val="0"/>
                <w:szCs w:val="21"/>
                <w:lang w:bidi="ar"/>
              </w:rPr>
              <w:t>&lt;0.001</w:t>
            </w: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E7E6E6"/>
            <w:noWrap/>
            <w:tcMar>
              <w:top w:w="15" w:type="dxa"/>
              <w:left w:w="15" w:type="dxa"/>
              <w:right w:w="15" w:type="dxa"/>
            </w:tcMar>
            <w:vAlign w:val="center"/>
          </w:tcPr>
          <w:p>
            <w:pPr>
              <w:widowControl/>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Any comorbidity, n(%)</w:t>
            </w:r>
          </w:p>
        </w:tc>
        <w:tc>
          <w:tcPr>
            <w:tcW w:w="0" w:type="auto"/>
            <w:tcBorders>
              <w:top w:val="nil"/>
              <w:left w:val="nil"/>
              <w:bottom w:val="nil"/>
              <w:right w:val="nil"/>
            </w:tcBorders>
            <w:shd w:val="clear" w:color="auto" w:fill="E7E6E6"/>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881 (39.9)</w:t>
            </w:r>
          </w:p>
        </w:tc>
        <w:tc>
          <w:tcPr>
            <w:tcW w:w="0" w:type="auto"/>
            <w:tcBorders>
              <w:top w:val="nil"/>
              <w:left w:val="nil"/>
              <w:bottom w:val="nil"/>
              <w:right w:val="nil"/>
            </w:tcBorders>
            <w:shd w:val="clear" w:color="auto" w:fill="E7E6E6"/>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68 (53.5)</w:t>
            </w:r>
          </w:p>
        </w:tc>
        <w:tc>
          <w:tcPr>
            <w:tcW w:w="0" w:type="auto"/>
            <w:tcBorders>
              <w:top w:val="nil"/>
              <w:left w:val="nil"/>
              <w:bottom w:val="nil"/>
              <w:right w:val="nil"/>
            </w:tcBorders>
            <w:shd w:val="clear" w:color="auto" w:fill="E7E6E6"/>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813 (39)</w:t>
            </w:r>
          </w:p>
        </w:tc>
        <w:tc>
          <w:tcPr>
            <w:tcW w:w="0" w:type="auto"/>
            <w:tcBorders>
              <w:top w:val="nil"/>
              <w:left w:val="nil"/>
              <w:bottom w:val="nil"/>
              <w:right w:val="nil"/>
            </w:tcBorders>
            <w:shd w:val="clear" w:color="auto" w:fill="E7E6E6"/>
            <w:noWrap/>
            <w:tcMar>
              <w:top w:w="15" w:type="dxa"/>
              <w:left w:w="15" w:type="dxa"/>
              <w:right w:w="15" w:type="dxa"/>
            </w:tcMar>
            <w:vAlign w:val="center"/>
          </w:tcPr>
          <w:p>
            <w:pPr>
              <w:widowControl/>
              <w:jc w:val="center"/>
              <w:textAlignment w:val="center"/>
              <w:rPr>
                <w:rFonts w:ascii="Times New Roman" w:hAnsi="Times New Roman" w:eastAsia="宋体" w:cs="Times New Roman"/>
                <w:color w:val="FF0000"/>
                <w:sz w:val="22"/>
                <w:szCs w:val="22"/>
              </w:rPr>
            </w:pPr>
            <w:r>
              <w:rPr>
                <w:rFonts w:ascii="Times New Roman" w:hAnsi="Times New Roman" w:eastAsia="宋体" w:cs="Times New Roman"/>
                <w:color w:val="FF0000"/>
                <w:kern w:val="0"/>
                <w:sz w:val="22"/>
                <w:szCs w:val="22"/>
                <w:lang w:bidi="ar"/>
              </w:rPr>
              <w:t>0.001</w:t>
            </w: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Hypertension</w:t>
            </w:r>
          </w:p>
        </w:tc>
        <w:tc>
          <w:tcPr>
            <w:tcW w:w="2028"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699 (31.6)</w:t>
            </w:r>
          </w:p>
        </w:tc>
        <w:tc>
          <w:tcPr>
            <w:tcW w:w="2027"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55 (43.3)</w:t>
            </w:r>
          </w:p>
        </w:tc>
        <w:tc>
          <w:tcPr>
            <w:tcW w:w="2027"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644 (30.9)</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FF0000"/>
                <w:sz w:val="22"/>
                <w:szCs w:val="22"/>
              </w:rPr>
            </w:pPr>
            <w:r>
              <w:rPr>
                <w:rFonts w:ascii="Times New Roman" w:hAnsi="Times New Roman" w:eastAsia="宋体" w:cs="Times New Roman"/>
                <w:color w:val="FF0000"/>
                <w:kern w:val="0"/>
                <w:sz w:val="22"/>
                <w:szCs w:val="22"/>
                <w:lang w:bidi="ar"/>
              </w:rPr>
              <w:t>0.004</w:t>
            </w: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Diabetes</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287 (13)</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23 (18.1)</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264 (12.7)</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0.077</w:t>
            </w: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Coronary heart disease</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173 (7.8)</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 (11)</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159 (7.6)</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0.168</w:t>
            </w: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Cerebral infarction</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100 (4.5)</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8 (6.3)</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92 (4.4)</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0.322</w:t>
            </w: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E7E6E6"/>
            <w:noWrap/>
            <w:tcMar>
              <w:top w:w="15" w:type="dxa"/>
              <w:left w:w="15" w:type="dxa"/>
              <w:right w:w="15" w:type="dxa"/>
            </w:tcMar>
            <w:vAlign w:val="center"/>
          </w:tcPr>
          <w:p>
            <w:pPr>
              <w:widowControl/>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lang w:bidi="ar"/>
              </w:rPr>
              <w:t>Symptoms</w:t>
            </w:r>
          </w:p>
        </w:tc>
        <w:tc>
          <w:tcPr>
            <w:tcW w:w="0" w:type="auto"/>
            <w:tcBorders>
              <w:top w:val="nil"/>
              <w:left w:val="nil"/>
              <w:bottom w:val="nil"/>
              <w:right w:val="nil"/>
            </w:tcBorders>
            <w:shd w:val="clear" w:color="auto" w:fill="E7E6E6"/>
            <w:noWrap/>
            <w:tcMar>
              <w:top w:w="15" w:type="dxa"/>
              <w:left w:w="15" w:type="dxa"/>
              <w:right w:w="15" w:type="dxa"/>
            </w:tcMar>
            <w:vAlign w:val="center"/>
          </w:tcPr>
          <w:p>
            <w:pPr>
              <w:jc w:val="center"/>
              <w:rPr>
                <w:rFonts w:ascii="Times New Roman" w:hAnsi="Times New Roman" w:eastAsia="宋体" w:cs="Times New Roman"/>
                <w:color w:val="000000"/>
                <w:sz w:val="22"/>
                <w:szCs w:val="22"/>
              </w:rPr>
            </w:pPr>
          </w:p>
        </w:tc>
        <w:tc>
          <w:tcPr>
            <w:tcW w:w="0" w:type="auto"/>
            <w:tcBorders>
              <w:top w:val="nil"/>
              <w:left w:val="nil"/>
              <w:bottom w:val="nil"/>
              <w:right w:val="nil"/>
            </w:tcBorders>
            <w:shd w:val="clear" w:color="auto" w:fill="E7E6E6"/>
            <w:noWrap/>
            <w:tcMar>
              <w:top w:w="15" w:type="dxa"/>
              <w:left w:w="15" w:type="dxa"/>
              <w:right w:w="15" w:type="dxa"/>
            </w:tcMar>
            <w:vAlign w:val="center"/>
          </w:tcPr>
          <w:p>
            <w:pPr>
              <w:jc w:val="center"/>
              <w:rPr>
                <w:rFonts w:ascii="Times New Roman" w:hAnsi="Times New Roman" w:eastAsia="宋体" w:cs="Times New Roman"/>
                <w:color w:val="000000"/>
                <w:sz w:val="22"/>
                <w:szCs w:val="22"/>
              </w:rPr>
            </w:pPr>
          </w:p>
        </w:tc>
        <w:tc>
          <w:tcPr>
            <w:tcW w:w="0" w:type="auto"/>
            <w:tcBorders>
              <w:top w:val="nil"/>
              <w:left w:val="nil"/>
              <w:bottom w:val="nil"/>
              <w:right w:val="nil"/>
            </w:tcBorders>
            <w:shd w:val="clear" w:color="auto" w:fill="E7E6E6"/>
            <w:noWrap/>
            <w:tcMar>
              <w:top w:w="15" w:type="dxa"/>
              <w:left w:w="15" w:type="dxa"/>
              <w:right w:w="15" w:type="dxa"/>
            </w:tcMar>
            <w:vAlign w:val="center"/>
          </w:tcPr>
          <w:p>
            <w:pPr>
              <w:jc w:val="center"/>
              <w:rPr>
                <w:rFonts w:ascii="Times New Roman" w:hAnsi="Times New Roman" w:eastAsia="宋体" w:cs="Times New Roman"/>
                <w:color w:val="000000"/>
                <w:sz w:val="22"/>
                <w:szCs w:val="22"/>
              </w:rPr>
            </w:pPr>
          </w:p>
        </w:tc>
        <w:tc>
          <w:tcPr>
            <w:tcW w:w="0" w:type="auto"/>
            <w:tcBorders>
              <w:top w:val="nil"/>
              <w:left w:val="nil"/>
              <w:bottom w:val="nil"/>
              <w:right w:val="nil"/>
            </w:tcBorders>
            <w:shd w:val="clear" w:color="auto" w:fill="E7E6E6"/>
            <w:noWrap/>
            <w:tcMar>
              <w:top w:w="15" w:type="dxa"/>
              <w:left w:w="15" w:type="dxa"/>
              <w:right w:w="15" w:type="dxa"/>
            </w:tcMar>
            <w:vAlign w:val="center"/>
          </w:tcPr>
          <w:p>
            <w:pPr>
              <w:jc w:val="center"/>
              <w:rPr>
                <w:rFonts w:ascii="Times New Roman" w:hAnsi="Times New Roman" w:eastAsia="宋体" w:cs="Times New Roman"/>
                <w:color w:val="FF0000"/>
                <w:sz w:val="22"/>
                <w:szCs w:val="22"/>
              </w:rPr>
            </w:pP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Fever</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1678 (76)</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107 (84.3)</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1571 (75.5)</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FF0000"/>
                <w:sz w:val="22"/>
                <w:szCs w:val="22"/>
              </w:rPr>
            </w:pPr>
            <w:r>
              <w:rPr>
                <w:rFonts w:ascii="Times New Roman" w:hAnsi="Times New Roman" w:eastAsia="宋体" w:cs="Times New Roman"/>
                <w:color w:val="FF0000"/>
                <w:kern w:val="0"/>
                <w:sz w:val="22"/>
                <w:szCs w:val="22"/>
                <w:lang w:bidi="ar"/>
              </w:rPr>
              <w:t>0.024</w:t>
            </w: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Cough</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1438 (65.1)</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80 (63)</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1358 (65.2)</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0.608</w:t>
            </w: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Fatigue</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705 (31.9)</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54 (42.5)</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651 (31.3)</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FF0000"/>
                <w:sz w:val="22"/>
                <w:szCs w:val="22"/>
              </w:rPr>
            </w:pPr>
            <w:r>
              <w:rPr>
                <w:rFonts w:ascii="Times New Roman" w:hAnsi="Times New Roman" w:eastAsia="宋体" w:cs="Times New Roman"/>
                <w:color w:val="FF0000"/>
                <w:kern w:val="0"/>
                <w:sz w:val="22"/>
                <w:szCs w:val="22"/>
                <w:lang w:bidi="ar"/>
              </w:rPr>
              <w:t>0.008</w:t>
            </w: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Anhelation</w:t>
            </w:r>
          </w:p>
        </w:tc>
        <w:tc>
          <w:tcPr>
            <w:tcW w:w="2028"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515 (23.3)</w:t>
            </w:r>
          </w:p>
        </w:tc>
        <w:tc>
          <w:tcPr>
            <w:tcW w:w="2027"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37 (29.1)</w:t>
            </w:r>
          </w:p>
        </w:tc>
        <w:tc>
          <w:tcPr>
            <w:tcW w:w="2027"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478 (23)</w:t>
            </w:r>
          </w:p>
        </w:tc>
        <w:tc>
          <w:tcPr>
            <w:tcW w:w="2026"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0.11</w:t>
            </w: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Anorexia</w:t>
            </w:r>
          </w:p>
        </w:tc>
        <w:tc>
          <w:tcPr>
            <w:tcW w:w="2028"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510 (23.1)</w:t>
            </w:r>
          </w:p>
        </w:tc>
        <w:tc>
          <w:tcPr>
            <w:tcW w:w="2027"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 (35.4)</w:t>
            </w:r>
          </w:p>
        </w:tc>
        <w:tc>
          <w:tcPr>
            <w:tcW w:w="2027"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465 (22.3)</w:t>
            </w:r>
          </w:p>
        </w:tc>
        <w:tc>
          <w:tcPr>
            <w:tcW w:w="2026"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color w:val="FF0000"/>
                <w:kern w:val="0"/>
                <w:szCs w:val="21"/>
                <w:lang w:bidi="ar"/>
              </w:rPr>
              <w:t>0.001</w:t>
            </w: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Chest tightness</w:t>
            </w:r>
          </w:p>
        </w:tc>
        <w:tc>
          <w:tcPr>
            <w:tcW w:w="2028"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493 (22.3)</w:t>
            </w:r>
          </w:p>
        </w:tc>
        <w:tc>
          <w:tcPr>
            <w:tcW w:w="2027"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33 (26)</w:t>
            </w:r>
          </w:p>
        </w:tc>
        <w:tc>
          <w:tcPr>
            <w:tcW w:w="2027"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460 (22.1)</w:t>
            </w:r>
          </w:p>
        </w:tc>
        <w:tc>
          <w:tcPr>
            <w:tcW w:w="2026"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0.307</w:t>
            </w:r>
          </w:p>
        </w:tc>
      </w:tr>
      <w:tr>
        <w:tblPrEx>
          <w:tblCellMar>
            <w:top w:w="0" w:type="dxa"/>
            <w:left w:w="0" w:type="dxa"/>
            <w:bottom w:w="0" w:type="dxa"/>
            <w:right w:w="0" w:type="dxa"/>
          </w:tblCellMar>
        </w:tblPrEx>
        <w:trPr>
          <w:trHeight w:val="315"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Diarrhea</w:t>
            </w:r>
          </w:p>
        </w:tc>
        <w:tc>
          <w:tcPr>
            <w:tcW w:w="2028"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242 (11)</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 (3.9)</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237 (11.4)</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color w:val="FF0000"/>
                <w:kern w:val="0"/>
                <w:szCs w:val="21"/>
                <w:lang w:bidi="ar"/>
              </w:rPr>
              <w:t>0.009</w:t>
            </w:r>
          </w:p>
        </w:tc>
      </w:tr>
      <w:tr>
        <w:tblPrEx>
          <w:tblCellMar>
            <w:top w:w="0" w:type="dxa"/>
            <w:left w:w="0" w:type="dxa"/>
            <w:bottom w:w="0" w:type="dxa"/>
            <w:right w:w="0" w:type="dxa"/>
          </w:tblCellMar>
        </w:tblPrEx>
        <w:trPr>
          <w:trHeight w:val="300"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Nausea</w:t>
            </w:r>
          </w:p>
        </w:tc>
        <w:tc>
          <w:tcPr>
            <w:tcW w:w="2028"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132 (6)</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 (7.9)</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122 (5.9)</w:t>
            </w:r>
          </w:p>
        </w:tc>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0.353</w:t>
            </w:r>
          </w:p>
        </w:tc>
      </w:tr>
      <w:tr>
        <w:tblPrEx>
          <w:tblCellMar>
            <w:top w:w="0" w:type="dxa"/>
            <w:left w:w="0" w:type="dxa"/>
            <w:bottom w:w="0" w:type="dxa"/>
            <w:right w:w="0" w:type="dxa"/>
          </w:tblCellMar>
        </w:tblPrEx>
        <w:trPr>
          <w:trHeight w:val="300" w:hRule="atLeast"/>
          <w:jc w:val="center"/>
        </w:trPr>
        <w:tc>
          <w:tcPr>
            <w:tcW w:w="0" w:type="auto"/>
            <w:tcBorders>
              <w:top w:val="nil"/>
              <w:left w:val="nil"/>
              <w:bottom w:val="single" w:color="000000" w:sz="12" w:space="0"/>
              <w:right w:val="nil"/>
            </w:tcBorders>
            <w:shd w:val="clear" w:color="auto" w:fill="auto"/>
            <w:noWrap/>
            <w:tcMar>
              <w:top w:w="15" w:type="dxa"/>
              <w:left w:w="15" w:type="dxa"/>
              <w:right w:w="15" w:type="dxa"/>
            </w:tcMar>
            <w:vAlign w:val="center"/>
          </w:tcPr>
          <w:p>
            <w:pPr>
              <w:widowControl/>
              <w:ind w:firstLine="210" w:firstLineChars="100"/>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Headache</w:t>
            </w:r>
          </w:p>
        </w:tc>
        <w:tc>
          <w:tcPr>
            <w:tcW w:w="2028" w:type="dxa"/>
            <w:tcBorders>
              <w:top w:val="nil"/>
              <w:left w:val="nil"/>
              <w:bottom w:val="single" w:color="000000" w:sz="12" w:space="0"/>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66 (3)</w:t>
            </w:r>
          </w:p>
        </w:tc>
        <w:tc>
          <w:tcPr>
            <w:tcW w:w="0" w:type="auto"/>
            <w:tcBorders>
              <w:top w:val="nil"/>
              <w:left w:val="nil"/>
              <w:bottom w:val="single" w:color="000000" w:sz="12" w:space="0"/>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 (2.4)</w:t>
            </w:r>
          </w:p>
        </w:tc>
        <w:tc>
          <w:tcPr>
            <w:tcW w:w="0" w:type="auto"/>
            <w:tcBorders>
              <w:top w:val="nil"/>
              <w:left w:val="nil"/>
              <w:bottom w:val="single" w:color="000000" w:sz="12" w:space="0"/>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63 (3)</w:t>
            </w:r>
          </w:p>
        </w:tc>
        <w:tc>
          <w:tcPr>
            <w:tcW w:w="0" w:type="auto"/>
            <w:tcBorders>
              <w:top w:val="nil"/>
              <w:left w:val="nil"/>
              <w:bottom w:val="single" w:color="000000" w:sz="12" w:space="0"/>
              <w:right w:val="nil"/>
            </w:tcBorders>
            <w:shd w:val="clear" w:color="auto" w:fill="auto"/>
            <w:noWrap/>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0.874</w:t>
            </w:r>
          </w:p>
        </w:tc>
      </w:tr>
    </w:tbl>
    <w:p>
      <w:pPr>
        <w:tabs>
          <w:tab w:val="left" w:pos="1322"/>
        </w:tabs>
        <w:spacing w:line="480" w:lineRule="auto"/>
        <w:ind w:firstLine="240" w:firstLineChars="100"/>
        <w:jc w:val="left"/>
        <w:rPr>
          <w:rFonts w:ascii="Times New Roman" w:hAnsi="Times New Roman" w:cs="Times New Roman"/>
          <w:sz w:val="24"/>
        </w:rPr>
      </w:pPr>
      <w:r>
        <w:rPr>
          <w:rFonts w:ascii="Times New Roman" w:hAnsi="Times New Roman" w:cs="Times New Roman"/>
          <w:sz w:val="24"/>
        </w:rPr>
        <w:t>IQR, interquartile range</w:t>
      </w:r>
      <w:bookmarkEnd w:id="0"/>
      <w:r>
        <w:rPr>
          <w:rFonts w:hint="eastAsia" w:ascii="Times New Roman" w:hAnsi="Times New Roman" w:cs="Times New Roman"/>
          <w:sz w:val="24"/>
        </w:rPr>
        <w:t xml:space="preserve">. </w:t>
      </w:r>
      <w:r>
        <w:rPr>
          <w:rFonts w:ascii="Times New Roman" w:hAnsi="Times New Roman" w:cs="Times New Roman"/>
          <w:sz w:val="24"/>
        </w:rPr>
        <w:t>COVID-19, coronavirus disease 2019.</w:t>
      </w:r>
    </w:p>
    <w:p>
      <w:pPr>
        <w:rPr>
          <w:rFonts w:ascii="Times New Roman" w:hAnsi="Times New Roman" w:cs="Times New Roman"/>
          <w:sz w:val="24"/>
        </w:rPr>
      </w:pPr>
      <w:r>
        <w:rPr>
          <w:rFonts w:ascii="Times New Roman" w:hAnsi="Times New Roman" w:cs="Times New Roman"/>
          <w:sz w:val="24"/>
        </w:rPr>
        <w:br w:type="page"/>
      </w:r>
    </w:p>
    <w:p>
      <w:pPr>
        <w:spacing w:line="360" w:lineRule="auto"/>
        <w:rPr>
          <w:rFonts w:ascii="Times New Roman" w:hAnsi="Times New Roman" w:cs="Times New Roman"/>
          <w:b/>
          <w:sz w:val="24"/>
          <w:szCs w:val="24"/>
        </w:rPr>
      </w:pPr>
      <w:r>
        <w:rPr>
          <w:rFonts w:hint="eastAsia" w:ascii="Times New Roman" w:hAnsi="Times New Roman" w:cs="Times New Roman"/>
          <w:b/>
          <w:sz w:val="24"/>
        </w:rPr>
        <w:t>S</w:t>
      </w:r>
      <w:r>
        <w:rPr>
          <w:rFonts w:hint="eastAsia" w:ascii="Times New Roman" w:hAnsi="Times New Roman" w:cs="Times New Roman"/>
          <w:b/>
          <w:sz w:val="24"/>
          <w:lang w:val="en-US" w:eastAsia="zh-CN"/>
        </w:rPr>
        <w:t>2</w:t>
      </w:r>
      <w:r>
        <w:rPr>
          <w:rFonts w:hint="eastAsia" w:ascii="Times New Roman" w:hAnsi="Times New Roman" w:cs="Times New Roman"/>
          <w:b/>
          <w:sz w:val="24"/>
        </w:rPr>
        <w:t xml:space="preserve"> Table</w:t>
      </w:r>
      <w:r>
        <w:rPr>
          <w:rFonts w:hint="eastAsia" w:ascii="Times New Roman" w:hAnsi="Times New Roman" w:cs="Times New Roman"/>
          <w:b/>
          <w:sz w:val="24"/>
          <w:szCs w:val="24"/>
        </w:rPr>
        <w:t xml:space="preserve">. </w:t>
      </w:r>
      <w:bookmarkStart w:id="1" w:name="OLE_LINK3"/>
      <w:r>
        <w:rPr>
          <w:rFonts w:hint="eastAsia" w:ascii="Times New Roman" w:hAnsi="Times New Roman" w:cs="Times New Roman"/>
          <w:b/>
          <w:sz w:val="24"/>
          <w:szCs w:val="24"/>
        </w:rPr>
        <w:t>Multivariate</w:t>
      </w:r>
      <w:bookmarkEnd w:id="1"/>
      <w:r>
        <w:rPr>
          <w:rFonts w:hint="eastAsia" w:ascii="Times New Roman" w:hAnsi="Times New Roman" w:cs="Times New Roman"/>
          <w:b/>
          <w:sz w:val="24"/>
          <w:szCs w:val="24"/>
        </w:rPr>
        <w:t xml:space="preserve"> </w:t>
      </w:r>
      <w:r>
        <w:rPr>
          <w:rFonts w:ascii="Times New Roman" w:hAnsi="Times New Roman" w:cs="Times New Roman"/>
          <w:b/>
          <w:sz w:val="24"/>
          <w:szCs w:val="24"/>
        </w:rPr>
        <w:t>analysis on the associations between</w:t>
      </w:r>
      <w:r>
        <w:rPr>
          <w:rFonts w:hint="eastAsia" w:ascii="Times New Roman" w:hAnsi="Times New Roman" w:cs="Times New Roman"/>
          <w:b/>
          <w:sz w:val="24"/>
          <w:szCs w:val="24"/>
        </w:rPr>
        <w:t xml:space="preserve"> thrombocytopenia and </w:t>
      </w:r>
      <w:bookmarkStart w:id="2" w:name="OLE_LINK4"/>
      <w:r>
        <w:rPr>
          <w:rFonts w:hint="eastAsia" w:ascii="Times New Roman" w:hAnsi="Times New Roman" w:cs="Times New Roman"/>
          <w:b/>
          <w:sz w:val="24"/>
          <w:szCs w:val="24"/>
        </w:rPr>
        <w:t>adverse outcome</w:t>
      </w:r>
      <w:bookmarkEnd w:id="2"/>
      <w:r>
        <w:rPr>
          <w:rFonts w:hint="eastAsia" w:ascii="Times New Roman" w:hAnsi="Times New Roman" w:cs="Times New Roman"/>
          <w:b/>
          <w:sz w:val="24"/>
          <w:szCs w:val="24"/>
        </w:rPr>
        <w:t xml:space="preserve"> for COVID-19 patients in the study.</w:t>
      </w:r>
    </w:p>
    <w:tbl>
      <w:tblPr>
        <w:tblStyle w:val="5"/>
        <w:tblW w:w="10348" w:type="dxa"/>
        <w:jc w:val="center"/>
        <w:tblLayout w:type="autofit"/>
        <w:tblCellMar>
          <w:top w:w="0" w:type="dxa"/>
          <w:left w:w="108" w:type="dxa"/>
          <w:bottom w:w="0" w:type="dxa"/>
          <w:right w:w="108" w:type="dxa"/>
        </w:tblCellMar>
      </w:tblPr>
      <w:tblGrid>
        <w:gridCol w:w="2410"/>
        <w:gridCol w:w="1985"/>
        <w:gridCol w:w="2410"/>
        <w:gridCol w:w="1984"/>
        <w:gridCol w:w="1559"/>
      </w:tblGrid>
      <w:tr>
        <w:tblPrEx>
          <w:tblCellMar>
            <w:top w:w="0" w:type="dxa"/>
            <w:left w:w="108" w:type="dxa"/>
            <w:bottom w:w="0" w:type="dxa"/>
            <w:right w:w="108" w:type="dxa"/>
          </w:tblCellMar>
        </w:tblPrEx>
        <w:trPr>
          <w:trHeight w:val="315" w:hRule="atLeast"/>
          <w:jc w:val="center"/>
        </w:trPr>
        <w:tc>
          <w:tcPr>
            <w:tcW w:w="2410" w:type="dxa"/>
            <w:vMerge w:val="restart"/>
            <w:tcBorders>
              <w:top w:val="single" w:color="000000" w:sz="12" w:space="0"/>
              <w:left w:val="nil"/>
              <w:bottom w:val="single" w:color="000000" w:sz="8" w:space="0"/>
              <w:right w:val="nil"/>
            </w:tcBorders>
            <w:shd w:val="clear" w:color="auto" w:fill="D9D9D9"/>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Parameter</w:t>
            </w:r>
          </w:p>
        </w:tc>
        <w:tc>
          <w:tcPr>
            <w:tcW w:w="1985" w:type="dxa"/>
            <w:vMerge w:val="restart"/>
            <w:tcBorders>
              <w:top w:val="single" w:color="000000" w:sz="12" w:space="0"/>
              <w:left w:val="nil"/>
              <w:bottom w:val="single" w:color="000000" w:sz="8" w:space="0"/>
              <w:right w:val="nil"/>
            </w:tcBorders>
            <w:shd w:val="clear" w:color="auto" w:fill="D9D9D9"/>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color w:val="000000"/>
                <w:kern w:val="0"/>
                <w:szCs w:val="21"/>
                <w:lang w:bidi="ar"/>
              </w:rPr>
              <w:t>Thrombocytopenia</w:t>
            </w:r>
          </w:p>
        </w:tc>
        <w:tc>
          <w:tcPr>
            <w:tcW w:w="2410" w:type="dxa"/>
            <w:vMerge w:val="restart"/>
            <w:tcBorders>
              <w:top w:val="single" w:color="000000" w:sz="12" w:space="0"/>
              <w:left w:val="nil"/>
              <w:bottom w:val="single" w:color="000000" w:sz="8" w:space="0"/>
              <w:right w:val="nil"/>
            </w:tcBorders>
            <w:shd w:val="clear" w:color="auto" w:fill="D9D9D9"/>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color w:val="000000"/>
                <w:kern w:val="0"/>
                <w:szCs w:val="21"/>
                <w:lang w:bidi="ar"/>
              </w:rPr>
              <w:t>Non-thrombocytopenia</w:t>
            </w:r>
          </w:p>
        </w:tc>
        <w:tc>
          <w:tcPr>
            <w:tcW w:w="3543" w:type="dxa"/>
            <w:gridSpan w:val="2"/>
            <w:tcBorders>
              <w:top w:val="single" w:color="000000" w:sz="12" w:space="0"/>
              <w:left w:val="nil"/>
              <w:bottom w:val="single" w:color="000000" w:sz="8" w:space="0"/>
              <w:right w:val="nil"/>
            </w:tcBorders>
            <w:shd w:val="clear" w:color="auto" w:fill="D9D9D9"/>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Multivariate</w:t>
            </w:r>
          </w:p>
        </w:tc>
      </w:tr>
      <w:tr>
        <w:tblPrEx>
          <w:tblCellMar>
            <w:top w:w="0" w:type="dxa"/>
            <w:left w:w="108" w:type="dxa"/>
            <w:bottom w:w="0" w:type="dxa"/>
            <w:right w:w="108" w:type="dxa"/>
          </w:tblCellMar>
        </w:tblPrEx>
        <w:trPr>
          <w:trHeight w:val="315" w:hRule="atLeast"/>
          <w:jc w:val="center"/>
        </w:trPr>
        <w:tc>
          <w:tcPr>
            <w:tcW w:w="2410" w:type="dxa"/>
            <w:vMerge w:val="continue"/>
            <w:tcBorders>
              <w:top w:val="single" w:color="000000" w:sz="12" w:space="0"/>
              <w:left w:val="nil"/>
              <w:bottom w:val="single" w:color="000000" w:sz="8" w:space="0"/>
              <w:right w:val="nil"/>
            </w:tcBorders>
            <w:vAlign w:val="center"/>
          </w:tcPr>
          <w:p>
            <w:pPr>
              <w:widowControl/>
              <w:jc w:val="left"/>
              <w:rPr>
                <w:rFonts w:ascii="Times New Roman" w:hAnsi="Times New Roman" w:eastAsia="宋体" w:cs="Times New Roman"/>
                <w:b/>
                <w:bCs/>
                <w:color w:val="000000"/>
                <w:kern w:val="0"/>
                <w:sz w:val="22"/>
              </w:rPr>
            </w:pPr>
          </w:p>
        </w:tc>
        <w:tc>
          <w:tcPr>
            <w:tcW w:w="1985" w:type="dxa"/>
            <w:vMerge w:val="continue"/>
            <w:tcBorders>
              <w:top w:val="single" w:color="000000" w:sz="12" w:space="0"/>
              <w:left w:val="nil"/>
              <w:bottom w:val="single" w:color="000000" w:sz="8" w:space="0"/>
              <w:right w:val="nil"/>
            </w:tcBorders>
            <w:vAlign w:val="center"/>
          </w:tcPr>
          <w:p>
            <w:pPr>
              <w:widowControl/>
              <w:jc w:val="left"/>
              <w:rPr>
                <w:rFonts w:ascii="Times New Roman" w:hAnsi="Times New Roman" w:eastAsia="宋体" w:cs="Times New Roman"/>
                <w:b/>
                <w:bCs/>
                <w:color w:val="000000"/>
                <w:kern w:val="0"/>
                <w:sz w:val="22"/>
              </w:rPr>
            </w:pPr>
          </w:p>
        </w:tc>
        <w:tc>
          <w:tcPr>
            <w:tcW w:w="2410" w:type="dxa"/>
            <w:vMerge w:val="continue"/>
            <w:tcBorders>
              <w:top w:val="single" w:color="000000" w:sz="12" w:space="0"/>
              <w:left w:val="nil"/>
              <w:bottom w:val="single" w:color="000000" w:sz="8" w:space="0"/>
              <w:right w:val="nil"/>
            </w:tcBorders>
            <w:vAlign w:val="center"/>
          </w:tcPr>
          <w:p>
            <w:pPr>
              <w:widowControl/>
              <w:jc w:val="left"/>
              <w:rPr>
                <w:rFonts w:ascii="Times New Roman" w:hAnsi="Times New Roman" w:eastAsia="宋体" w:cs="Times New Roman"/>
                <w:b/>
                <w:bCs/>
                <w:color w:val="000000"/>
                <w:kern w:val="0"/>
                <w:sz w:val="22"/>
              </w:rPr>
            </w:pPr>
          </w:p>
        </w:tc>
        <w:tc>
          <w:tcPr>
            <w:tcW w:w="1984" w:type="dxa"/>
            <w:tcBorders>
              <w:top w:val="nil"/>
              <w:left w:val="nil"/>
              <w:bottom w:val="single" w:color="000000" w:sz="8" w:space="0"/>
              <w:right w:val="nil"/>
            </w:tcBorders>
            <w:shd w:val="clear" w:color="auto" w:fill="D9D9D9"/>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OR (95% CI)</w:t>
            </w:r>
          </w:p>
        </w:tc>
        <w:tc>
          <w:tcPr>
            <w:tcW w:w="1559" w:type="dxa"/>
            <w:tcBorders>
              <w:top w:val="nil"/>
              <w:left w:val="nil"/>
              <w:bottom w:val="single" w:color="000000" w:sz="8" w:space="0"/>
              <w:right w:val="nil"/>
            </w:tcBorders>
            <w:shd w:val="clear" w:color="auto" w:fill="D9D9D9"/>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P value</w:t>
            </w: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ARDS</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2"/>
              </w:rPr>
            </w:pPr>
          </w:p>
        </w:tc>
        <w:tc>
          <w:tcPr>
            <w:tcW w:w="2410"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559"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vAlign w:val="center"/>
          </w:tcPr>
          <w:p>
            <w:pPr>
              <w:widowControl/>
              <w:ind w:firstLine="220" w:firstLineChars="100"/>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No</w:t>
            </w:r>
          </w:p>
        </w:tc>
        <w:tc>
          <w:tcPr>
            <w:tcW w:w="198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34</w:t>
            </w:r>
          </w:p>
        </w:tc>
        <w:tc>
          <w:tcPr>
            <w:tcW w:w="2410"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510</w:t>
            </w:r>
          </w:p>
        </w:tc>
        <w:tc>
          <w:tcPr>
            <w:tcW w:w="198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Reference</w:t>
            </w:r>
          </w:p>
        </w:tc>
        <w:tc>
          <w:tcPr>
            <w:tcW w:w="155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vAlign w:val="center"/>
          </w:tcPr>
          <w:p>
            <w:pPr>
              <w:widowControl/>
              <w:ind w:firstLine="220" w:firstLineChars="100"/>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Yes</w:t>
            </w:r>
          </w:p>
        </w:tc>
        <w:tc>
          <w:tcPr>
            <w:tcW w:w="198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w:t>
            </w:r>
          </w:p>
        </w:tc>
        <w:tc>
          <w:tcPr>
            <w:tcW w:w="2410"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16</w:t>
            </w:r>
          </w:p>
        </w:tc>
        <w:tc>
          <w:tcPr>
            <w:tcW w:w="198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3.05 (0.9-10.29)</w:t>
            </w:r>
          </w:p>
        </w:tc>
        <w:tc>
          <w:tcPr>
            <w:tcW w:w="155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0.072</w:t>
            </w: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Respiratory failure</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2"/>
              </w:rPr>
            </w:pPr>
          </w:p>
        </w:tc>
        <w:tc>
          <w:tcPr>
            <w:tcW w:w="2410"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559"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vAlign w:val="center"/>
          </w:tcPr>
          <w:p>
            <w:pPr>
              <w:widowControl/>
              <w:ind w:firstLine="220" w:firstLineChars="100"/>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No</w:t>
            </w:r>
          </w:p>
        </w:tc>
        <w:tc>
          <w:tcPr>
            <w:tcW w:w="198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25</w:t>
            </w:r>
          </w:p>
        </w:tc>
        <w:tc>
          <w:tcPr>
            <w:tcW w:w="2410"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521</w:t>
            </w:r>
          </w:p>
        </w:tc>
        <w:tc>
          <w:tcPr>
            <w:tcW w:w="198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Reference</w:t>
            </w:r>
          </w:p>
        </w:tc>
        <w:tc>
          <w:tcPr>
            <w:tcW w:w="155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vAlign w:val="center"/>
          </w:tcPr>
          <w:p>
            <w:pPr>
              <w:widowControl/>
              <w:ind w:firstLine="220" w:firstLineChars="100"/>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Yes</w:t>
            </w:r>
          </w:p>
        </w:tc>
        <w:tc>
          <w:tcPr>
            <w:tcW w:w="198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18</w:t>
            </w:r>
          </w:p>
        </w:tc>
        <w:tc>
          <w:tcPr>
            <w:tcW w:w="2410"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95</w:t>
            </w:r>
          </w:p>
        </w:tc>
        <w:tc>
          <w:tcPr>
            <w:tcW w:w="198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2.53 (1.25-5.14)</w:t>
            </w:r>
          </w:p>
        </w:tc>
        <w:tc>
          <w:tcPr>
            <w:tcW w:w="155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22"/>
              </w:rPr>
            </w:pPr>
            <w:r>
              <w:rPr>
                <w:rFonts w:ascii="Times New Roman" w:hAnsi="Times New Roman" w:eastAsia="宋体" w:cs="Times New Roman"/>
                <w:color w:val="FF0000"/>
                <w:kern w:val="0"/>
                <w:sz w:val="22"/>
              </w:rPr>
              <w:t xml:space="preserve">0.010 </w:t>
            </w: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ICU entrance</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2"/>
              </w:rPr>
            </w:pPr>
          </w:p>
        </w:tc>
        <w:tc>
          <w:tcPr>
            <w:tcW w:w="2410"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559"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vAlign w:val="center"/>
          </w:tcPr>
          <w:p>
            <w:pPr>
              <w:widowControl/>
              <w:ind w:firstLine="220" w:firstLineChars="100"/>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No</w:t>
            </w:r>
          </w:p>
        </w:tc>
        <w:tc>
          <w:tcPr>
            <w:tcW w:w="198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32</w:t>
            </w:r>
          </w:p>
        </w:tc>
        <w:tc>
          <w:tcPr>
            <w:tcW w:w="2410"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570</w:t>
            </w:r>
          </w:p>
        </w:tc>
        <w:tc>
          <w:tcPr>
            <w:tcW w:w="198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Reference</w:t>
            </w:r>
          </w:p>
        </w:tc>
        <w:tc>
          <w:tcPr>
            <w:tcW w:w="155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vAlign w:val="center"/>
          </w:tcPr>
          <w:p>
            <w:pPr>
              <w:widowControl/>
              <w:ind w:firstLine="220" w:firstLineChars="100"/>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Yes</w:t>
            </w:r>
          </w:p>
        </w:tc>
        <w:tc>
          <w:tcPr>
            <w:tcW w:w="198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11</w:t>
            </w:r>
          </w:p>
        </w:tc>
        <w:tc>
          <w:tcPr>
            <w:tcW w:w="2410"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46</w:t>
            </w:r>
          </w:p>
        </w:tc>
        <w:tc>
          <w:tcPr>
            <w:tcW w:w="198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2.77 (1.38-5.59)</w:t>
            </w:r>
          </w:p>
        </w:tc>
        <w:tc>
          <w:tcPr>
            <w:tcW w:w="155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22"/>
              </w:rPr>
            </w:pPr>
            <w:r>
              <w:rPr>
                <w:rFonts w:ascii="Times New Roman" w:hAnsi="Times New Roman" w:eastAsia="宋体" w:cs="Times New Roman"/>
                <w:color w:val="FF0000"/>
                <w:kern w:val="0"/>
                <w:sz w:val="22"/>
              </w:rPr>
              <w:t>0.004</w:t>
            </w: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Acute heart injury</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2"/>
              </w:rPr>
            </w:pPr>
          </w:p>
        </w:tc>
        <w:tc>
          <w:tcPr>
            <w:tcW w:w="2410"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559"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vAlign w:val="center"/>
          </w:tcPr>
          <w:p>
            <w:pPr>
              <w:widowControl/>
              <w:ind w:firstLine="220" w:firstLineChars="100"/>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No</w:t>
            </w:r>
          </w:p>
        </w:tc>
        <w:tc>
          <w:tcPr>
            <w:tcW w:w="198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39</w:t>
            </w:r>
          </w:p>
        </w:tc>
        <w:tc>
          <w:tcPr>
            <w:tcW w:w="2410"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594</w:t>
            </w:r>
          </w:p>
        </w:tc>
        <w:tc>
          <w:tcPr>
            <w:tcW w:w="198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Reference</w:t>
            </w:r>
          </w:p>
        </w:tc>
        <w:tc>
          <w:tcPr>
            <w:tcW w:w="155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vAlign w:val="center"/>
          </w:tcPr>
          <w:p>
            <w:pPr>
              <w:widowControl/>
              <w:ind w:firstLine="220" w:firstLineChars="100"/>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Yes</w:t>
            </w:r>
          </w:p>
        </w:tc>
        <w:tc>
          <w:tcPr>
            <w:tcW w:w="198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w:t>
            </w:r>
          </w:p>
        </w:tc>
        <w:tc>
          <w:tcPr>
            <w:tcW w:w="2410"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22</w:t>
            </w:r>
          </w:p>
        </w:tc>
        <w:tc>
          <w:tcPr>
            <w:tcW w:w="198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1.64 (0.52-5.22)</w:t>
            </w:r>
          </w:p>
        </w:tc>
        <w:tc>
          <w:tcPr>
            <w:tcW w:w="155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0.400 </w:t>
            </w: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Acute kidney injury</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2"/>
              </w:rPr>
            </w:pPr>
          </w:p>
        </w:tc>
        <w:tc>
          <w:tcPr>
            <w:tcW w:w="2410"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559"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vAlign w:val="center"/>
          </w:tcPr>
          <w:p>
            <w:pPr>
              <w:widowControl/>
              <w:ind w:firstLine="220" w:firstLineChars="100"/>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No</w:t>
            </w:r>
          </w:p>
        </w:tc>
        <w:tc>
          <w:tcPr>
            <w:tcW w:w="198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41</w:t>
            </w:r>
          </w:p>
        </w:tc>
        <w:tc>
          <w:tcPr>
            <w:tcW w:w="2410"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601</w:t>
            </w:r>
          </w:p>
        </w:tc>
        <w:tc>
          <w:tcPr>
            <w:tcW w:w="198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Reference</w:t>
            </w:r>
          </w:p>
        </w:tc>
        <w:tc>
          <w:tcPr>
            <w:tcW w:w="155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vAlign w:val="center"/>
          </w:tcPr>
          <w:p>
            <w:pPr>
              <w:widowControl/>
              <w:ind w:firstLine="220" w:firstLineChars="100"/>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Yes</w:t>
            </w:r>
          </w:p>
        </w:tc>
        <w:tc>
          <w:tcPr>
            <w:tcW w:w="198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p>
        </w:tc>
        <w:tc>
          <w:tcPr>
            <w:tcW w:w="2410"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15</w:t>
            </w:r>
          </w:p>
        </w:tc>
        <w:tc>
          <w:tcPr>
            <w:tcW w:w="198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1.25 (0.27-5.91)</w:t>
            </w:r>
          </w:p>
        </w:tc>
        <w:tc>
          <w:tcPr>
            <w:tcW w:w="155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0.776</w:t>
            </w: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Septic shock</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2"/>
              </w:rPr>
            </w:pPr>
          </w:p>
        </w:tc>
        <w:tc>
          <w:tcPr>
            <w:tcW w:w="2410"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984"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559"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vAlign w:val="center"/>
          </w:tcPr>
          <w:p>
            <w:pPr>
              <w:widowControl/>
              <w:ind w:firstLine="220" w:firstLineChars="100"/>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No</w:t>
            </w:r>
          </w:p>
        </w:tc>
        <w:tc>
          <w:tcPr>
            <w:tcW w:w="198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39</w:t>
            </w:r>
          </w:p>
        </w:tc>
        <w:tc>
          <w:tcPr>
            <w:tcW w:w="2410"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605</w:t>
            </w:r>
          </w:p>
        </w:tc>
        <w:tc>
          <w:tcPr>
            <w:tcW w:w="198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Reference</w:t>
            </w:r>
          </w:p>
        </w:tc>
        <w:tc>
          <w:tcPr>
            <w:tcW w:w="155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vAlign w:val="center"/>
          </w:tcPr>
          <w:p>
            <w:pPr>
              <w:widowControl/>
              <w:ind w:firstLine="220" w:firstLineChars="100"/>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Yes</w:t>
            </w:r>
          </w:p>
        </w:tc>
        <w:tc>
          <w:tcPr>
            <w:tcW w:w="198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w:t>
            </w:r>
          </w:p>
        </w:tc>
        <w:tc>
          <w:tcPr>
            <w:tcW w:w="2410"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11</w:t>
            </w:r>
          </w:p>
        </w:tc>
        <w:tc>
          <w:tcPr>
            <w:tcW w:w="198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3.71 (0.99-13.87)</w:t>
            </w:r>
          </w:p>
        </w:tc>
        <w:tc>
          <w:tcPr>
            <w:tcW w:w="155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0.051</w:t>
            </w: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DIC</w:t>
            </w:r>
          </w:p>
        </w:tc>
        <w:tc>
          <w:tcPr>
            <w:tcW w:w="1985" w:type="dxa"/>
            <w:tcBorders>
              <w:top w:val="nil"/>
              <w:left w:val="nil"/>
              <w:bottom w:val="nil"/>
              <w:right w:val="nil"/>
            </w:tcBorders>
            <w:shd w:val="clear" w:color="auto" w:fill="auto"/>
            <w:noWrap/>
            <w:vAlign w:val="center"/>
          </w:tcPr>
          <w:p>
            <w:pPr>
              <w:widowControl/>
              <w:jc w:val="left"/>
              <w:rPr>
                <w:rFonts w:ascii="Times New Roman" w:hAnsi="Times New Roman" w:eastAsia="宋体" w:cs="Times New Roman"/>
                <w:color w:val="000000"/>
                <w:kern w:val="0"/>
                <w:sz w:val="22"/>
              </w:rPr>
            </w:pPr>
          </w:p>
        </w:tc>
        <w:tc>
          <w:tcPr>
            <w:tcW w:w="2410"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1984"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1559"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nil"/>
              <w:right w:val="nil"/>
            </w:tcBorders>
            <w:shd w:val="clear" w:color="auto" w:fill="auto"/>
            <w:vAlign w:val="center"/>
          </w:tcPr>
          <w:p>
            <w:pPr>
              <w:widowControl/>
              <w:ind w:firstLine="220" w:firstLineChars="100"/>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No</w:t>
            </w:r>
          </w:p>
        </w:tc>
        <w:tc>
          <w:tcPr>
            <w:tcW w:w="198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60</w:t>
            </w:r>
          </w:p>
        </w:tc>
        <w:tc>
          <w:tcPr>
            <w:tcW w:w="2410"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1411</w:t>
            </w:r>
          </w:p>
        </w:tc>
        <w:tc>
          <w:tcPr>
            <w:tcW w:w="198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Reference</w:t>
            </w:r>
          </w:p>
        </w:tc>
        <w:tc>
          <w:tcPr>
            <w:tcW w:w="155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315" w:hRule="atLeast"/>
          <w:jc w:val="center"/>
        </w:trPr>
        <w:tc>
          <w:tcPr>
            <w:tcW w:w="2410" w:type="dxa"/>
            <w:tcBorders>
              <w:top w:val="nil"/>
              <w:left w:val="nil"/>
              <w:bottom w:val="single" w:color="000000" w:sz="12" w:space="0"/>
              <w:right w:val="nil"/>
            </w:tcBorders>
            <w:shd w:val="clear" w:color="auto" w:fill="auto"/>
            <w:vAlign w:val="center"/>
          </w:tcPr>
          <w:p>
            <w:pPr>
              <w:widowControl/>
              <w:ind w:firstLine="220" w:firstLineChars="100"/>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Yes</w:t>
            </w:r>
          </w:p>
        </w:tc>
        <w:tc>
          <w:tcPr>
            <w:tcW w:w="1985" w:type="dxa"/>
            <w:tcBorders>
              <w:top w:val="nil"/>
              <w:left w:val="nil"/>
              <w:bottom w:val="single" w:color="000000" w:sz="12" w:space="0"/>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42</w:t>
            </w:r>
          </w:p>
        </w:tc>
        <w:tc>
          <w:tcPr>
            <w:tcW w:w="2410" w:type="dxa"/>
            <w:tcBorders>
              <w:top w:val="nil"/>
              <w:left w:val="nil"/>
              <w:bottom w:val="single" w:color="000000" w:sz="12" w:space="0"/>
              <w:right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109</w:t>
            </w:r>
          </w:p>
        </w:tc>
        <w:tc>
          <w:tcPr>
            <w:tcW w:w="1984" w:type="dxa"/>
            <w:tcBorders>
              <w:top w:val="nil"/>
              <w:left w:val="nil"/>
              <w:bottom w:val="single" w:color="000000" w:sz="12" w:space="0"/>
              <w:right w:val="nil"/>
            </w:tcBorders>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7.17 (4.56-11.28)</w:t>
            </w:r>
          </w:p>
        </w:tc>
        <w:tc>
          <w:tcPr>
            <w:tcW w:w="1559" w:type="dxa"/>
            <w:tcBorders>
              <w:top w:val="nil"/>
              <w:left w:val="nil"/>
              <w:bottom w:val="single" w:color="000000" w:sz="12" w:space="0"/>
              <w:right w:val="nil"/>
            </w:tcBorders>
            <w:shd w:val="clear" w:color="auto" w:fill="auto"/>
            <w:noWrap/>
            <w:vAlign w:val="center"/>
          </w:tcPr>
          <w:p>
            <w:pPr>
              <w:widowControl/>
              <w:jc w:val="center"/>
              <w:rPr>
                <w:rFonts w:ascii="Times New Roman" w:hAnsi="Times New Roman" w:eastAsia="宋体" w:cs="Times New Roman"/>
                <w:color w:val="FF0000"/>
                <w:kern w:val="0"/>
                <w:sz w:val="22"/>
              </w:rPr>
            </w:pPr>
            <w:r>
              <w:rPr>
                <w:rFonts w:ascii="Times New Roman" w:hAnsi="Times New Roman" w:eastAsia="宋体" w:cs="Times New Roman"/>
                <w:color w:val="FF0000"/>
                <w:kern w:val="0"/>
                <w:sz w:val="22"/>
              </w:rPr>
              <w:t>&lt;0.001</w:t>
            </w:r>
          </w:p>
        </w:tc>
      </w:tr>
    </w:tbl>
    <w:p>
      <w:pPr>
        <w:rPr>
          <w:rFonts w:ascii="Times New Roman" w:hAnsi="Times New Roman" w:cs="Times New Roman"/>
          <w:sz w:val="24"/>
          <w:szCs w:val="24"/>
        </w:rPr>
      </w:pPr>
      <w:r>
        <w:rPr>
          <w:rFonts w:ascii="Times New Roman" w:hAnsi="Times New Roman" w:cs="Times New Roman"/>
          <w:sz w:val="24"/>
          <w:szCs w:val="24"/>
        </w:rPr>
        <w:t xml:space="preserve">The association between </w:t>
      </w:r>
      <w:r>
        <w:rPr>
          <w:rFonts w:hint="eastAsia" w:ascii="Times New Roman" w:hAnsi="Times New Roman" w:cs="Times New Roman"/>
          <w:sz w:val="24"/>
          <w:szCs w:val="24"/>
        </w:rPr>
        <w:t>thrombocytopenia and adverse outcome</w:t>
      </w:r>
      <w:r>
        <w:rPr>
          <w:rFonts w:ascii="Times New Roman" w:hAnsi="Times New Roman" w:cs="Times New Roman"/>
          <w:sz w:val="24"/>
          <w:szCs w:val="24"/>
        </w:rPr>
        <w:t xml:space="preserve"> for COVID-19 were calculated by the </w:t>
      </w:r>
      <w:r>
        <w:rPr>
          <w:rFonts w:hint="eastAsia" w:ascii="Times New Roman" w:hAnsi="Times New Roman" w:cs="Times New Roman"/>
          <w:sz w:val="24"/>
          <w:szCs w:val="24"/>
        </w:rPr>
        <w:t xml:space="preserve">multivariate logistic </w:t>
      </w:r>
      <w:r>
        <w:rPr>
          <w:rFonts w:ascii="Times New Roman" w:hAnsi="Times New Roman" w:cs="Times New Roman"/>
          <w:sz w:val="24"/>
          <w:szCs w:val="24"/>
        </w:rPr>
        <w:t xml:space="preserve">regression models </w:t>
      </w:r>
      <w:bookmarkStart w:id="3" w:name="OLE_LINK5"/>
      <w:r>
        <w:rPr>
          <w:rFonts w:ascii="Times New Roman" w:hAnsi="Times New Roman" w:cs="Times New Roman"/>
          <w:sz w:val="24"/>
          <w:szCs w:val="24"/>
        </w:rPr>
        <w:t xml:space="preserve">adjusted for </w:t>
      </w:r>
      <w:r>
        <w:rPr>
          <w:rFonts w:hint="eastAsia" w:ascii="Times New Roman" w:hAnsi="Times New Roman" w:cs="Times New Roman"/>
          <w:sz w:val="24"/>
          <w:szCs w:val="24"/>
        </w:rPr>
        <w:t xml:space="preserve">age, sex, </w:t>
      </w:r>
      <w:bookmarkStart w:id="4" w:name="OLE_LINK2"/>
      <w:r>
        <w:rPr>
          <w:rFonts w:hint="eastAsia" w:ascii="Times New Roman" w:hAnsi="Times New Roman" w:cs="Times New Roman"/>
          <w:sz w:val="24"/>
          <w:szCs w:val="24"/>
        </w:rPr>
        <w:t xml:space="preserve">delay from </w:t>
      </w:r>
      <w:r>
        <w:rPr>
          <w:rFonts w:ascii="Times New Roman" w:hAnsi="Times New Roman" w:cs="Times New Roman"/>
          <w:sz w:val="24"/>
          <w:szCs w:val="24"/>
        </w:rPr>
        <w:t>symptom</w:t>
      </w:r>
      <w:r>
        <w:rPr>
          <w:rFonts w:hint="eastAsia" w:ascii="Times New Roman" w:hAnsi="Times New Roman" w:cs="Times New Roman"/>
          <w:sz w:val="24"/>
          <w:szCs w:val="24"/>
        </w:rPr>
        <w:t xml:space="preserve"> onset to admission</w:t>
      </w:r>
      <w:bookmarkEnd w:id="4"/>
      <w:r>
        <w:rPr>
          <w:rFonts w:hint="eastAsia" w:ascii="Times New Roman" w:hAnsi="Times New Roman" w:cs="Times New Roman"/>
          <w:sz w:val="24"/>
          <w:szCs w:val="24"/>
        </w:rPr>
        <w:t xml:space="preserve"> and comorbidities</w:t>
      </w:r>
      <w:bookmarkEnd w:id="3"/>
      <w:r>
        <w:rPr>
          <w:rFonts w:ascii="Times New Roman" w:hAnsi="Times New Roman" w:cs="Times New Roman"/>
          <w:sz w:val="24"/>
          <w:szCs w:val="24"/>
        </w:rPr>
        <w:t>. COVID-19, coronavirus disease 2019; ARDS, acute respiratory distress syndrome; DIC, disseminated intravascular coagulation; ICU, intensive care unit.</w:t>
      </w:r>
    </w:p>
    <w:p>
      <w:pPr>
        <w:rPr>
          <w:rFonts w:ascii="Times New Roman" w:hAnsi="Times New Roman" w:cs="Times New Roman"/>
          <w:sz w:val="24"/>
          <w:szCs w:val="24"/>
        </w:rPr>
      </w:pPr>
      <w:r>
        <w:rPr>
          <w:rFonts w:ascii="Times New Roman" w:hAnsi="Times New Roman" w:cs="Times New Roman"/>
          <w:sz w:val="24"/>
          <w:szCs w:val="24"/>
        </w:rPr>
        <w:br w:type="page"/>
      </w:r>
    </w:p>
    <w:p>
      <w:pPr>
        <w:spacing w:line="360" w:lineRule="auto"/>
        <w:ind w:left="210" w:leftChars="100"/>
        <w:jc w:val="left"/>
        <w:rPr>
          <w:rFonts w:ascii="Times New Roman" w:hAnsi="Times New Roman" w:cs="Times New Roman"/>
          <w:b/>
          <w:sz w:val="24"/>
        </w:rPr>
      </w:pPr>
      <w:r>
        <w:rPr>
          <w:rFonts w:ascii="Times New Roman" w:hAnsi="Times New Roman" w:cs="Times New Roman"/>
          <w:b/>
          <w:sz w:val="24"/>
        </w:rPr>
        <w:t>S</w:t>
      </w:r>
      <w:r>
        <w:rPr>
          <w:rFonts w:hint="eastAsia" w:ascii="Times New Roman" w:hAnsi="Times New Roman" w:cs="Times New Roman"/>
          <w:b/>
          <w:sz w:val="24"/>
          <w:lang w:val="en-US" w:eastAsia="zh-CN"/>
        </w:rPr>
        <w:t>3</w:t>
      </w:r>
      <w:r>
        <w:rPr>
          <w:rFonts w:ascii="Times New Roman" w:hAnsi="Times New Roman" w:cs="Times New Roman"/>
          <w:b/>
          <w:sz w:val="24"/>
        </w:rPr>
        <w:t>Table. Comparison of laboratory indicators between the groups of patients stratified by platelet counts on admission at three stages.</w:t>
      </w:r>
    </w:p>
    <w:tbl>
      <w:tblPr>
        <w:tblStyle w:val="5"/>
        <w:tblW w:w="10576" w:type="dxa"/>
        <w:jc w:val="center"/>
        <w:tblLayout w:type="autofit"/>
        <w:tblCellMar>
          <w:top w:w="0" w:type="dxa"/>
          <w:left w:w="108" w:type="dxa"/>
          <w:bottom w:w="0" w:type="dxa"/>
          <w:right w:w="108" w:type="dxa"/>
        </w:tblCellMar>
      </w:tblPr>
      <w:tblGrid>
        <w:gridCol w:w="3577"/>
        <w:gridCol w:w="2111"/>
        <w:gridCol w:w="333"/>
        <w:gridCol w:w="2111"/>
        <w:gridCol w:w="333"/>
        <w:gridCol w:w="2111"/>
      </w:tblGrid>
      <w:tr>
        <w:tblPrEx>
          <w:tblCellMar>
            <w:top w:w="0" w:type="dxa"/>
            <w:left w:w="108" w:type="dxa"/>
            <w:bottom w:w="0" w:type="dxa"/>
            <w:right w:w="108" w:type="dxa"/>
          </w:tblCellMar>
        </w:tblPrEx>
        <w:trPr>
          <w:trHeight w:val="330" w:hRule="atLeast"/>
          <w:jc w:val="center"/>
        </w:trPr>
        <w:tc>
          <w:tcPr>
            <w:tcW w:w="3577" w:type="dxa"/>
            <w:tcBorders>
              <w:top w:val="single" w:color="000000" w:sz="12" w:space="0"/>
              <w:left w:val="nil"/>
              <w:bottom w:val="single" w:color="000000" w:sz="8" w:space="0"/>
              <w:right w:val="nil"/>
            </w:tcBorders>
            <w:shd w:val="clear" w:color="auto" w:fill="CFCECE"/>
            <w:noWrap/>
            <w:vAlign w:val="center"/>
          </w:tcPr>
          <w:p>
            <w:pPr>
              <w:widowControl/>
              <w:jc w:val="left"/>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Parameter</w:t>
            </w:r>
          </w:p>
        </w:tc>
        <w:tc>
          <w:tcPr>
            <w:tcW w:w="2111" w:type="dxa"/>
            <w:tcBorders>
              <w:top w:val="single" w:color="000000" w:sz="12" w:space="0"/>
              <w:left w:val="nil"/>
              <w:bottom w:val="single" w:color="000000" w:sz="8" w:space="0"/>
              <w:right w:val="nil"/>
            </w:tcBorders>
            <w:shd w:val="clear" w:color="auto" w:fill="CFCECE"/>
            <w:noWrap/>
            <w:vAlign w:val="center"/>
          </w:tcPr>
          <w:p>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 xml:space="preserve">P value </w:t>
            </w:r>
            <w:r>
              <w:rPr>
                <w:rFonts w:hint="eastAsia" w:ascii="Times New Roman" w:hAnsi="Times New Roman" w:eastAsia="宋体" w:cs="Times New Roman"/>
                <w:b/>
                <w:bCs/>
                <w:color w:val="000000"/>
                <w:kern w:val="0"/>
                <w:sz w:val="20"/>
                <w:szCs w:val="20"/>
              </w:rPr>
              <w:t>at</w:t>
            </w:r>
            <w:r>
              <w:rPr>
                <w:rFonts w:ascii="Times New Roman" w:hAnsi="Times New Roman" w:eastAsia="宋体" w:cs="Times New Roman"/>
                <w:b/>
                <w:bCs/>
                <w:color w:val="000000"/>
                <w:kern w:val="0"/>
                <w:sz w:val="20"/>
                <w:szCs w:val="20"/>
              </w:rPr>
              <w:t xml:space="preserve"> 1-10 days</w:t>
            </w:r>
          </w:p>
        </w:tc>
        <w:tc>
          <w:tcPr>
            <w:tcW w:w="333" w:type="dxa"/>
            <w:tcBorders>
              <w:top w:val="single" w:color="000000" w:sz="12" w:space="0"/>
              <w:left w:val="nil"/>
              <w:bottom w:val="single" w:color="000000" w:sz="8" w:space="0"/>
              <w:right w:val="nil"/>
            </w:tcBorders>
            <w:shd w:val="clear" w:color="auto" w:fill="CFCECE"/>
            <w:noWrap/>
            <w:vAlign w:val="center"/>
          </w:tcPr>
          <w:p>
            <w:pPr>
              <w:widowControl/>
              <w:jc w:val="center"/>
              <w:rPr>
                <w:rFonts w:ascii="Times New Roman" w:hAnsi="Times New Roman" w:eastAsia="宋体" w:cs="Times New Roman"/>
                <w:b/>
                <w:bCs/>
                <w:color w:val="000000"/>
                <w:kern w:val="0"/>
                <w:sz w:val="20"/>
                <w:szCs w:val="20"/>
              </w:rPr>
            </w:pPr>
          </w:p>
        </w:tc>
        <w:tc>
          <w:tcPr>
            <w:tcW w:w="2111" w:type="dxa"/>
            <w:tcBorders>
              <w:top w:val="single" w:color="000000" w:sz="12" w:space="0"/>
              <w:left w:val="nil"/>
              <w:bottom w:val="single" w:color="000000" w:sz="8" w:space="0"/>
              <w:right w:val="nil"/>
            </w:tcBorders>
            <w:shd w:val="clear" w:color="auto" w:fill="CFCECE"/>
            <w:noWrap/>
            <w:vAlign w:val="center"/>
          </w:tcPr>
          <w:p>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P value at 11-20 days</w:t>
            </w:r>
          </w:p>
        </w:tc>
        <w:tc>
          <w:tcPr>
            <w:tcW w:w="333" w:type="dxa"/>
            <w:tcBorders>
              <w:top w:val="single" w:color="000000" w:sz="12" w:space="0"/>
              <w:left w:val="nil"/>
              <w:bottom w:val="single" w:color="000000" w:sz="8" w:space="0"/>
              <w:right w:val="nil"/>
            </w:tcBorders>
            <w:shd w:val="clear" w:color="auto" w:fill="CFCECE"/>
            <w:noWrap/>
            <w:vAlign w:val="center"/>
          </w:tcPr>
          <w:p>
            <w:pPr>
              <w:widowControl/>
              <w:jc w:val="center"/>
              <w:rPr>
                <w:rFonts w:ascii="Times New Roman" w:hAnsi="Times New Roman" w:eastAsia="宋体" w:cs="Times New Roman"/>
                <w:b/>
                <w:bCs/>
                <w:color w:val="000000"/>
                <w:kern w:val="0"/>
                <w:sz w:val="20"/>
                <w:szCs w:val="20"/>
              </w:rPr>
            </w:pPr>
          </w:p>
        </w:tc>
        <w:tc>
          <w:tcPr>
            <w:tcW w:w="2111" w:type="dxa"/>
            <w:tcBorders>
              <w:top w:val="single" w:color="000000" w:sz="12" w:space="0"/>
              <w:left w:val="nil"/>
              <w:bottom w:val="single" w:color="000000" w:sz="8" w:space="0"/>
              <w:right w:val="nil"/>
            </w:tcBorders>
            <w:shd w:val="clear" w:color="auto" w:fill="CFCECE"/>
            <w:noWrap/>
            <w:vAlign w:val="center"/>
          </w:tcPr>
          <w:p>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P value at 21-30 days</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Neutrophil (%)</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0.762</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0.239</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&lt;0.001</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Neutrophil (×10</w:t>
            </w:r>
            <w:r>
              <w:rPr>
                <w:rFonts w:ascii="Times New Roman" w:hAnsi="Times New Roman" w:eastAsia="宋体" w:cs="Times New Roman"/>
                <w:color w:val="000000"/>
                <w:kern w:val="0"/>
                <w:sz w:val="20"/>
                <w:szCs w:val="20"/>
                <w:vertAlign w:val="superscript"/>
              </w:rPr>
              <w:t>9</w:t>
            </w:r>
            <w:r>
              <w:rPr>
                <w:rFonts w:ascii="Times New Roman" w:hAnsi="Times New Roman" w:eastAsia="宋体" w:cs="Times New Roman"/>
                <w:color w:val="000000"/>
                <w:kern w:val="0"/>
                <w:sz w:val="20"/>
                <w:szCs w:val="20"/>
              </w:rPr>
              <w:t>/L)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0.435</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0.015</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0.046</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Lymphocyte (%)</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0.517</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0.012</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0.002</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Lymphocyte (×10</w:t>
            </w:r>
            <w:r>
              <w:rPr>
                <w:rFonts w:ascii="Times New Roman" w:hAnsi="Times New Roman" w:eastAsia="宋体" w:cs="Times New Roman"/>
                <w:color w:val="000000"/>
                <w:kern w:val="0"/>
                <w:sz w:val="20"/>
                <w:szCs w:val="20"/>
                <w:vertAlign w:val="superscript"/>
              </w:rPr>
              <w:t>9</w:t>
            </w:r>
            <w:r>
              <w:rPr>
                <w:rFonts w:ascii="Times New Roman" w:hAnsi="Times New Roman" w:eastAsia="宋体" w:cs="Times New Roman"/>
                <w:color w:val="000000"/>
                <w:kern w:val="0"/>
                <w:sz w:val="20"/>
                <w:szCs w:val="20"/>
              </w:rPr>
              <w:t>/L)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0.921</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0.256</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0.979</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Monocyte (%)</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0.023</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0.005</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0.001</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Monocyte (×10</w:t>
            </w:r>
            <w:r>
              <w:rPr>
                <w:rFonts w:ascii="Times New Roman" w:hAnsi="Times New Roman" w:eastAsia="宋体" w:cs="Times New Roman"/>
                <w:color w:val="000000"/>
                <w:kern w:val="0"/>
                <w:sz w:val="20"/>
                <w:szCs w:val="20"/>
                <w:vertAlign w:val="superscript"/>
              </w:rPr>
              <w:t>9</w:t>
            </w:r>
            <w:r>
              <w:rPr>
                <w:rFonts w:ascii="Times New Roman" w:hAnsi="Times New Roman" w:eastAsia="宋体" w:cs="Times New Roman"/>
                <w:color w:val="000000"/>
                <w:kern w:val="0"/>
                <w:sz w:val="20"/>
                <w:szCs w:val="20"/>
              </w:rPr>
              <w:t>/L)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0.004</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0.008</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&lt;0.001</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Eosinophil (%)</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&lt;0.001</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0.869</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&lt;0.001</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Eosinophil (×10</w:t>
            </w:r>
            <w:r>
              <w:rPr>
                <w:rFonts w:ascii="Times New Roman" w:hAnsi="Times New Roman" w:eastAsia="宋体" w:cs="Times New Roman"/>
                <w:color w:val="000000"/>
                <w:kern w:val="0"/>
                <w:sz w:val="20"/>
                <w:szCs w:val="20"/>
                <w:vertAlign w:val="superscript"/>
              </w:rPr>
              <w:t>9</w:t>
            </w:r>
            <w:r>
              <w:rPr>
                <w:rFonts w:ascii="Times New Roman" w:hAnsi="Times New Roman" w:eastAsia="宋体" w:cs="Times New Roman"/>
                <w:color w:val="000000"/>
                <w:kern w:val="0"/>
                <w:sz w:val="20"/>
                <w:szCs w:val="20"/>
              </w:rPr>
              <w:t>/L)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&lt;0.001</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0.467</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&lt;0.001</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Basophil (%)</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0.026</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0.050 </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0.024</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Basophil (×10</w:t>
            </w:r>
            <w:r>
              <w:rPr>
                <w:rFonts w:ascii="Times New Roman" w:hAnsi="Times New Roman" w:eastAsia="宋体" w:cs="Times New Roman"/>
                <w:color w:val="000000"/>
                <w:kern w:val="0"/>
                <w:sz w:val="20"/>
                <w:szCs w:val="20"/>
                <w:vertAlign w:val="superscript"/>
              </w:rPr>
              <w:t>9</w:t>
            </w:r>
            <w:r>
              <w:rPr>
                <w:rFonts w:ascii="Times New Roman" w:hAnsi="Times New Roman" w:eastAsia="宋体" w:cs="Times New Roman"/>
                <w:color w:val="000000"/>
                <w:kern w:val="0"/>
                <w:sz w:val="20"/>
                <w:szCs w:val="20"/>
              </w:rPr>
              <w:t>/L)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0.178</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0.839</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0.002</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Mean platelet volume (fL)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&lt;0.001</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0.008</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0.597</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Thrombocytocrit (%)</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&lt;0.001</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&lt;0.001</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&lt;0.001</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Platelet distribution width (fL)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0.103</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0.099</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0.324</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Prothrombin time (s)</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0.021</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0.032</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0.030</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Activated partial thromboplastin time (s)</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0.005</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0.006</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0.583</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Thrombin time (s)</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0.077</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0.001</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0.831</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Fibrinogen (g/L)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&lt;0.001</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0.002</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0.442</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International normanlizationg ratio</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0.157</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0.082</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0.232</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D-dimer (μg/L)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0.508</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0.097</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0.425</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Fibrin degradation products (mg/L)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0.039</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0.004</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0.077</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IL-6 (pg/mL)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0.045</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w:t>
            </w:r>
            <w:r>
              <w:rPr>
                <w:rFonts w:hint="eastAsia" w:ascii="Times New Roman" w:hAnsi="Times New Roman" w:eastAsia="宋体" w:cs="Times New Roman"/>
                <w:color w:val="000000"/>
                <w:kern w:val="0"/>
                <w:sz w:val="20"/>
                <w:szCs w:val="20"/>
              </w:rPr>
              <w:t>027</w:t>
            </w:r>
            <w:r>
              <w:rPr>
                <w:rFonts w:ascii="Times New Roman" w:hAnsi="Times New Roman" w:eastAsia="宋体" w:cs="Times New Roman"/>
                <w:color w:val="000000"/>
                <w:kern w:val="0"/>
                <w:sz w:val="20"/>
                <w:szCs w:val="20"/>
              </w:rPr>
              <w:t xml:space="preserve"> </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0.261</w:t>
            </w:r>
          </w:p>
        </w:tc>
      </w:tr>
      <w:tr>
        <w:tblPrEx>
          <w:tblCellMar>
            <w:top w:w="0" w:type="dxa"/>
            <w:left w:w="108" w:type="dxa"/>
            <w:bottom w:w="0" w:type="dxa"/>
            <w:right w:w="108" w:type="dxa"/>
          </w:tblCellMar>
        </w:tblPrEx>
        <w:trPr>
          <w:trHeight w:val="330"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TNF-α (pg/mL)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0.004</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0.302</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0.673</w:t>
            </w:r>
          </w:p>
        </w:tc>
      </w:tr>
      <w:tr>
        <w:tblPrEx>
          <w:tblCellMar>
            <w:top w:w="0" w:type="dxa"/>
            <w:left w:w="108" w:type="dxa"/>
            <w:bottom w:w="0" w:type="dxa"/>
            <w:right w:w="108" w:type="dxa"/>
          </w:tblCellMar>
        </w:tblPrEx>
        <w:trPr>
          <w:trHeight w:val="303"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C-reactive protein (mg/L)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0.188</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0.036</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0.372</w:t>
            </w:r>
          </w:p>
        </w:tc>
      </w:tr>
      <w:tr>
        <w:tblPrEx>
          <w:tblCellMar>
            <w:top w:w="0" w:type="dxa"/>
            <w:left w:w="108" w:type="dxa"/>
            <w:bottom w:w="0" w:type="dxa"/>
            <w:right w:w="108" w:type="dxa"/>
          </w:tblCellMar>
        </w:tblPrEx>
        <w:trPr>
          <w:trHeight w:val="288"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Procalcitonin (ng/mL)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0.015</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0.092</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0.243</w:t>
            </w:r>
          </w:p>
        </w:tc>
      </w:tr>
      <w:tr>
        <w:tblPrEx>
          <w:tblCellMar>
            <w:top w:w="0" w:type="dxa"/>
            <w:left w:w="108" w:type="dxa"/>
            <w:bottom w:w="0" w:type="dxa"/>
            <w:right w:w="108" w:type="dxa"/>
          </w:tblCellMar>
        </w:tblPrEx>
        <w:trPr>
          <w:trHeight w:val="303"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Aspartate aminotransferase (U/L)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0.077</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0.085</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0.205</w:t>
            </w:r>
          </w:p>
        </w:tc>
      </w:tr>
      <w:tr>
        <w:tblPrEx>
          <w:tblCellMar>
            <w:top w:w="0" w:type="dxa"/>
            <w:left w:w="108" w:type="dxa"/>
            <w:bottom w:w="0" w:type="dxa"/>
            <w:right w:w="108" w:type="dxa"/>
          </w:tblCellMar>
        </w:tblPrEx>
        <w:trPr>
          <w:trHeight w:val="303"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Total protein (g/L)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0.407</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0.009</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0.062</w:t>
            </w:r>
          </w:p>
        </w:tc>
      </w:tr>
      <w:tr>
        <w:tblPrEx>
          <w:tblCellMar>
            <w:top w:w="0" w:type="dxa"/>
            <w:left w:w="108" w:type="dxa"/>
            <w:bottom w:w="0" w:type="dxa"/>
            <w:right w:w="108" w:type="dxa"/>
          </w:tblCellMar>
        </w:tblPrEx>
        <w:trPr>
          <w:trHeight w:val="288"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Albumin (g/L)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0.243</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0.005</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0.008</w:t>
            </w:r>
          </w:p>
        </w:tc>
      </w:tr>
      <w:tr>
        <w:tblPrEx>
          <w:tblCellMar>
            <w:top w:w="0" w:type="dxa"/>
            <w:left w:w="108" w:type="dxa"/>
            <w:bottom w:w="0" w:type="dxa"/>
            <w:right w:w="108" w:type="dxa"/>
          </w:tblCellMar>
        </w:tblPrEx>
        <w:trPr>
          <w:trHeight w:val="303"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Urea (mmol/L)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0.912</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0.001</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0.023</w:t>
            </w:r>
          </w:p>
        </w:tc>
      </w:tr>
      <w:tr>
        <w:tblPrEx>
          <w:tblCellMar>
            <w:top w:w="0" w:type="dxa"/>
            <w:left w:w="108" w:type="dxa"/>
            <w:bottom w:w="0" w:type="dxa"/>
            <w:right w:w="108" w:type="dxa"/>
          </w:tblCellMar>
        </w:tblPrEx>
        <w:trPr>
          <w:trHeight w:val="303" w:hRule="atLeast"/>
          <w:jc w:val="center"/>
        </w:trPr>
        <w:tc>
          <w:tcPr>
            <w:tcW w:w="3577"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Lactate dehydrogenase (U/L)</w:t>
            </w: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0.032</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&lt;0.001</w:t>
            </w:r>
          </w:p>
        </w:tc>
        <w:tc>
          <w:tcPr>
            <w:tcW w:w="333"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0.080 </w:t>
            </w:r>
          </w:p>
        </w:tc>
      </w:tr>
      <w:tr>
        <w:tblPrEx>
          <w:tblCellMar>
            <w:top w:w="0" w:type="dxa"/>
            <w:left w:w="108" w:type="dxa"/>
            <w:bottom w:w="0" w:type="dxa"/>
            <w:right w:w="108" w:type="dxa"/>
          </w:tblCellMar>
        </w:tblPrEx>
        <w:trPr>
          <w:trHeight w:val="303" w:hRule="atLeast"/>
          <w:jc w:val="center"/>
        </w:trPr>
        <w:tc>
          <w:tcPr>
            <w:tcW w:w="3577" w:type="dxa"/>
            <w:tcBorders>
              <w:top w:val="nil"/>
              <w:left w:val="nil"/>
              <w:bottom w:val="single" w:color="000000" w:sz="12" w:space="0"/>
              <w:right w:val="nil"/>
            </w:tcBorders>
            <w:shd w:val="clear" w:color="auto" w:fill="auto"/>
            <w:noWrap/>
            <w:vAlign w:val="bottom"/>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Creatine kinase-MB (U/L)</w:t>
            </w:r>
          </w:p>
        </w:tc>
        <w:tc>
          <w:tcPr>
            <w:tcW w:w="2111" w:type="dxa"/>
            <w:tcBorders>
              <w:top w:val="nil"/>
              <w:left w:val="nil"/>
              <w:bottom w:val="single" w:color="000000" w:sz="12" w:space="0"/>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0.699</w:t>
            </w:r>
          </w:p>
        </w:tc>
        <w:tc>
          <w:tcPr>
            <w:tcW w:w="333" w:type="dxa"/>
            <w:tcBorders>
              <w:top w:val="nil"/>
              <w:left w:val="nil"/>
              <w:bottom w:val="single" w:color="000000" w:sz="12" w:space="0"/>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single" w:color="000000" w:sz="12" w:space="0"/>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0.293</w:t>
            </w:r>
          </w:p>
        </w:tc>
        <w:tc>
          <w:tcPr>
            <w:tcW w:w="333" w:type="dxa"/>
            <w:tcBorders>
              <w:top w:val="nil"/>
              <w:left w:val="nil"/>
              <w:bottom w:val="single" w:color="000000" w:sz="12" w:space="0"/>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p>
        </w:tc>
        <w:tc>
          <w:tcPr>
            <w:tcW w:w="2111" w:type="dxa"/>
            <w:tcBorders>
              <w:top w:val="nil"/>
              <w:left w:val="nil"/>
              <w:bottom w:val="single" w:color="000000" w:sz="12" w:space="0"/>
              <w:right w:val="nil"/>
            </w:tcBorders>
            <w:shd w:val="clear" w:color="auto" w:fill="auto"/>
            <w:noWrap/>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0.022</w:t>
            </w:r>
          </w:p>
        </w:tc>
      </w:tr>
    </w:tbl>
    <w:p>
      <w:pPr>
        <w:rPr>
          <w:rFonts w:ascii="Times New Roman" w:hAnsi="Times New Roman" w:cs="Times New Roman"/>
          <w:sz w:val="24"/>
        </w:rPr>
      </w:pPr>
      <w:r>
        <w:rPr>
          <w:rFonts w:ascii="Times New Roman" w:hAnsi="Times New Roman" w:cs="Times New Roman"/>
          <w:sz w:val="24"/>
        </w:rPr>
        <w:t xml:space="preserve">P values were calculated by the generalized estimated equation adjusted for age, sex, delay from symptom onset to admission and comorbidities. </w:t>
      </w:r>
    </w:p>
    <w:p>
      <w:pPr>
        <w:rPr>
          <w:rFonts w:ascii="Times New Roman" w:hAnsi="Times New Roman" w:cs="Times New Roman"/>
          <w:sz w:val="24"/>
        </w:rPr>
      </w:pPr>
      <w:r>
        <w:rPr>
          <w:rFonts w:ascii="Times New Roman" w:hAnsi="Times New Roman" w:cs="Times New Roman"/>
          <w:sz w:val="24"/>
        </w:rPr>
        <w:br w:type="page"/>
      </w:r>
    </w:p>
    <w:p>
      <w:pPr>
        <w:spacing w:line="360" w:lineRule="auto"/>
        <w:ind w:left="210" w:leftChars="100"/>
      </w:pPr>
      <w:r>
        <w:rPr>
          <w:rFonts w:hint="eastAsia" w:ascii="Times New Roman" w:hAnsi="Times New Roman" w:cs="Times New Roman"/>
          <w:b/>
          <w:sz w:val="24"/>
        </w:rPr>
        <w:t>S</w:t>
      </w:r>
      <w:r>
        <w:rPr>
          <w:rFonts w:hint="eastAsia" w:ascii="Times New Roman" w:hAnsi="Times New Roman" w:cs="Times New Roman"/>
          <w:b/>
          <w:sz w:val="24"/>
          <w:lang w:val="en-US" w:eastAsia="zh-CN"/>
        </w:rPr>
        <w:t>4</w:t>
      </w:r>
      <w:r>
        <w:rPr>
          <w:rFonts w:hint="eastAsia" w:ascii="Times New Roman" w:hAnsi="Times New Roman" w:cs="Times New Roman"/>
          <w:b/>
          <w:sz w:val="24"/>
        </w:rPr>
        <w:t xml:space="preserve"> Table. Basic information of the COVID-19 patients with and without delayed-phase thrombocytopenia. </w:t>
      </w:r>
    </w:p>
    <w:tbl>
      <w:tblPr>
        <w:tblStyle w:val="5"/>
        <w:tblW w:w="11715" w:type="dxa"/>
        <w:jc w:val="center"/>
        <w:tblLayout w:type="autofit"/>
        <w:tblCellMar>
          <w:top w:w="0" w:type="dxa"/>
          <w:left w:w="108" w:type="dxa"/>
          <w:bottom w:w="0" w:type="dxa"/>
          <w:right w:w="108" w:type="dxa"/>
        </w:tblCellMar>
      </w:tblPr>
      <w:tblGrid>
        <w:gridCol w:w="2712"/>
        <w:gridCol w:w="1724"/>
        <w:gridCol w:w="3115"/>
        <w:gridCol w:w="3115"/>
        <w:gridCol w:w="1049"/>
      </w:tblGrid>
      <w:tr>
        <w:tblPrEx>
          <w:tblCellMar>
            <w:top w:w="0" w:type="dxa"/>
            <w:left w:w="108" w:type="dxa"/>
            <w:bottom w:w="0" w:type="dxa"/>
            <w:right w:w="108" w:type="dxa"/>
          </w:tblCellMar>
        </w:tblPrEx>
        <w:trPr>
          <w:trHeight w:val="555" w:hRule="atLeast"/>
          <w:jc w:val="center"/>
        </w:trPr>
        <w:tc>
          <w:tcPr>
            <w:tcW w:w="2712" w:type="dxa"/>
            <w:vMerge w:val="restart"/>
            <w:tcBorders>
              <w:top w:val="single" w:color="000000" w:sz="12" w:space="0"/>
              <w:left w:val="nil"/>
              <w:bottom w:val="single" w:color="000000" w:sz="8" w:space="0"/>
              <w:right w:val="nil"/>
            </w:tcBorders>
            <w:shd w:val="clear" w:color="auto" w:fill="auto"/>
            <w:vAlign w:val="center"/>
          </w:tcPr>
          <w:p>
            <w:pPr>
              <w:widowControl/>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Characteristics</w:t>
            </w:r>
          </w:p>
        </w:tc>
        <w:tc>
          <w:tcPr>
            <w:tcW w:w="1724" w:type="dxa"/>
            <w:tcBorders>
              <w:top w:val="single" w:color="000000" w:sz="12" w:space="0"/>
              <w:left w:val="nil"/>
              <w:bottom w:val="nil"/>
              <w:right w:val="nil"/>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Total</w:t>
            </w:r>
          </w:p>
        </w:tc>
        <w:tc>
          <w:tcPr>
            <w:tcW w:w="3115" w:type="dxa"/>
            <w:tcBorders>
              <w:top w:val="single" w:color="000000" w:sz="12" w:space="0"/>
              <w:left w:val="nil"/>
              <w:bottom w:val="nil"/>
              <w:right w:val="nil"/>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Patients with</w:t>
            </w:r>
            <w:r>
              <w:rPr>
                <w:rFonts w:hint="eastAsia" w:ascii="Times New Roman" w:hAnsi="Times New Roman" w:eastAsia="宋体" w:cs="Times New Roman"/>
                <w:b/>
                <w:bCs/>
                <w:color w:val="000000"/>
                <w:kern w:val="0"/>
                <w:szCs w:val="21"/>
                <w:lang w:val="en-US" w:eastAsia="zh-CN"/>
              </w:rPr>
              <w:t xml:space="preserve"> early</w:t>
            </w:r>
            <w:r>
              <w:rPr>
                <w:rFonts w:hint="eastAsia" w:ascii="Times New Roman" w:hAnsi="Times New Roman" w:eastAsia="宋体" w:cs="Times New Roman"/>
                <w:b/>
                <w:bCs/>
                <w:color w:val="000000"/>
                <w:kern w:val="0"/>
                <w:szCs w:val="21"/>
              </w:rPr>
              <w:t xml:space="preserve"> development of thrombocytopenia</w:t>
            </w:r>
          </w:p>
        </w:tc>
        <w:tc>
          <w:tcPr>
            <w:tcW w:w="3115" w:type="dxa"/>
            <w:tcBorders>
              <w:top w:val="single" w:color="000000" w:sz="12" w:space="0"/>
              <w:left w:val="nil"/>
              <w:bottom w:val="nil"/>
              <w:right w:val="nil"/>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Patients with</w:t>
            </w:r>
            <w:r>
              <w:rPr>
                <w:rFonts w:hint="eastAsia" w:ascii="Times New Roman" w:hAnsi="Times New Roman" w:eastAsia="宋体" w:cs="Times New Roman"/>
                <w:b/>
                <w:bCs/>
                <w:color w:val="000000"/>
                <w:kern w:val="0"/>
                <w:szCs w:val="21"/>
                <w:lang w:val="en-US" w:eastAsia="zh-CN"/>
              </w:rPr>
              <w:t xml:space="preserve"> </w:t>
            </w:r>
            <w:r>
              <w:rPr>
                <w:rFonts w:hint="eastAsia" w:ascii="Times New Roman" w:hAnsi="Times New Roman" w:eastAsia="宋体" w:cs="Times New Roman"/>
                <w:b/>
                <w:bCs/>
                <w:color w:val="000000"/>
                <w:kern w:val="0"/>
                <w:szCs w:val="21"/>
              </w:rPr>
              <w:t>late development of thrombocytopenia</w:t>
            </w:r>
          </w:p>
        </w:tc>
        <w:tc>
          <w:tcPr>
            <w:tcW w:w="1049" w:type="dxa"/>
            <w:vMerge w:val="restart"/>
            <w:tcBorders>
              <w:top w:val="single" w:color="000000" w:sz="12" w:space="0"/>
              <w:left w:val="nil"/>
              <w:bottom w:val="single" w:color="000000" w:sz="8" w:space="0"/>
              <w:right w:val="nil"/>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P value</w:t>
            </w:r>
          </w:p>
        </w:tc>
      </w:tr>
      <w:tr>
        <w:tblPrEx>
          <w:tblCellMar>
            <w:top w:w="0" w:type="dxa"/>
            <w:left w:w="108" w:type="dxa"/>
            <w:bottom w:w="0" w:type="dxa"/>
            <w:right w:w="108" w:type="dxa"/>
          </w:tblCellMar>
        </w:tblPrEx>
        <w:trPr>
          <w:trHeight w:val="285" w:hRule="atLeast"/>
          <w:jc w:val="center"/>
        </w:trPr>
        <w:tc>
          <w:tcPr>
            <w:tcW w:w="2712" w:type="dxa"/>
            <w:vMerge w:val="continue"/>
            <w:tcBorders>
              <w:top w:val="single" w:color="000000" w:sz="12" w:space="0"/>
              <w:left w:val="nil"/>
              <w:bottom w:val="single" w:color="000000" w:sz="8" w:space="0"/>
              <w:right w:val="nil"/>
            </w:tcBorders>
            <w:vAlign w:val="center"/>
          </w:tcPr>
          <w:p>
            <w:pPr>
              <w:widowControl/>
              <w:jc w:val="left"/>
              <w:rPr>
                <w:rFonts w:ascii="Times New Roman" w:hAnsi="Times New Roman" w:eastAsia="宋体" w:cs="Times New Roman"/>
                <w:b/>
                <w:bCs/>
                <w:color w:val="000000"/>
                <w:kern w:val="0"/>
                <w:szCs w:val="21"/>
              </w:rPr>
            </w:pPr>
          </w:p>
        </w:tc>
        <w:tc>
          <w:tcPr>
            <w:tcW w:w="1724" w:type="dxa"/>
            <w:tcBorders>
              <w:top w:val="nil"/>
              <w:left w:val="nil"/>
              <w:bottom w:val="single" w:color="000000" w:sz="8" w:space="0"/>
              <w:right w:val="nil"/>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(N=245)</w:t>
            </w:r>
          </w:p>
        </w:tc>
        <w:tc>
          <w:tcPr>
            <w:tcW w:w="3115" w:type="dxa"/>
            <w:tcBorders>
              <w:top w:val="nil"/>
              <w:left w:val="nil"/>
              <w:bottom w:val="single" w:color="000000" w:sz="8" w:space="0"/>
              <w:right w:val="nil"/>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(n=184)</w:t>
            </w:r>
          </w:p>
        </w:tc>
        <w:tc>
          <w:tcPr>
            <w:tcW w:w="3115" w:type="dxa"/>
            <w:tcBorders>
              <w:top w:val="nil"/>
              <w:left w:val="nil"/>
              <w:bottom w:val="single" w:color="000000" w:sz="8" w:space="0"/>
              <w:right w:val="nil"/>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(n=61)</w:t>
            </w:r>
          </w:p>
        </w:tc>
        <w:tc>
          <w:tcPr>
            <w:tcW w:w="1049" w:type="dxa"/>
            <w:vMerge w:val="continue"/>
            <w:tcBorders>
              <w:top w:val="single" w:color="000000" w:sz="12" w:space="0"/>
              <w:left w:val="nil"/>
              <w:bottom w:val="single" w:color="000000" w:sz="8" w:space="0"/>
              <w:right w:val="nil"/>
            </w:tcBorders>
            <w:vAlign w:val="center"/>
          </w:tcPr>
          <w:p>
            <w:pPr>
              <w:widowControl/>
              <w:jc w:val="left"/>
              <w:rPr>
                <w:rFonts w:ascii="Times New Roman" w:hAnsi="Times New Roman" w:eastAsia="宋体" w:cs="Times New Roman"/>
                <w:b/>
                <w:bCs/>
                <w:color w:val="000000"/>
                <w:kern w:val="0"/>
                <w:szCs w:val="21"/>
              </w:rPr>
            </w:pPr>
          </w:p>
        </w:tc>
      </w:tr>
      <w:tr>
        <w:tblPrEx>
          <w:tblCellMar>
            <w:top w:w="0" w:type="dxa"/>
            <w:left w:w="108" w:type="dxa"/>
            <w:bottom w:w="0" w:type="dxa"/>
            <w:right w:w="108" w:type="dxa"/>
          </w:tblCellMar>
        </w:tblPrEx>
        <w:trPr>
          <w:trHeight w:val="270" w:hRule="atLeast"/>
          <w:jc w:val="center"/>
        </w:trPr>
        <w:tc>
          <w:tcPr>
            <w:tcW w:w="2712" w:type="dxa"/>
            <w:tcBorders>
              <w:top w:val="nil"/>
              <w:left w:val="nil"/>
              <w:bottom w:val="nil"/>
              <w:right w:val="nil"/>
            </w:tcBorders>
            <w:shd w:val="clear" w:color="auto" w:fill="E7E6E6"/>
            <w:noWrap/>
            <w:vAlign w:val="center"/>
          </w:tcPr>
          <w:p>
            <w:pPr>
              <w:widowControl/>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Age, years (median, IQR)</w:t>
            </w:r>
          </w:p>
        </w:tc>
        <w:tc>
          <w:tcPr>
            <w:tcW w:w="1724" w:type="dxa"/>
            <w:tcBorders>
              <w:top w:val="nil"/>
              <w:left w:val="nil"/>
              <w:bottom w:val="nil"/>
              <w:right w:val="nil"/>
            </w:tcBorders>
            <w:shd w:val="clear" w:color="auto" w:fill="E7E6E6"/>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66 (54-75)</w:t>
            </w:r>
          </w:p>
        </w:tc>
        <w:tc>
          <w:tcPr>
            <w:tcW w:w="3115" w:type="dxa"/>
            <w:tcBorders>
              <w:top w:val="nil"/>
              <w:left w:val="nil"/>
              <w:bottom w:val="nil"/>
              <w:right w:val="nil"/>
            </w:tcBorders>
            <w:shd w:val="clear" w:color="auto" w:fill="E7E6E6"/>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65 (53.5-75.25)</w:t>
            </w:r>
          </w:p>
        </w:tc>
        <w:tc>
          <w:tcPr>
            <w:tcW w:w="3115" w:type="dxa"/>
            <w:tcBorders>
              <w:top w:val="nil"/>
              <w:left w:val="nil"/>
              <w:bottom w:val="nil"/>
              <w:right w:val="nil"/>
            </w:tcBorders>
            <w:shd w:val="clear" w:color="auto" w:fill="E7E6E6"/>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69 (56-75)</w:t>
            </w:r>
          </w:p>
        </w:tc>
        <w:tc>
          <w:tcPr>
            <w:tcW w:w="1049" w:type="dxa"/>
            <w:tcBorders>
              <w:top w:val="nil"/>
              <w:left w:val="nil"/>
              <w:bottom w:val="nil"/>
              <w:right w:val="nil"/>
            </w:tcBorders>
            <w:shd w:val="clear" w:color="auto" w:fill="E7E6E6"/>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0.389</w:t>
            </w:r>
          </w:p>
        </w:tc>
      </w:tr>
      <w:tr>
        <w:tblPrEx>
          <w:tblCellMar>
            <w:top w:w="0" w:type="dxa"/>
            <w:left w:w="108" w:type="dxa"/>
            <w:bottom w:w="0" w:type="dxa"/>
            <w:right w:w="108" w:type="dxa"/>
          </w:tblCellMar>
        </w:tblPrEx>
        <w:trPr>
          <w:trHeight w:val="270" w:hRule="atLeast"/>
          <w:jc w:val="center"/>
        </w:trPr>
        <w:tc>
          <w:tcPr>
            <w:tcW w:w="2712" w:type="dxa"/>
            <w:tcBorders>
              <w:top w:val="nil"/>
              <w:left w:val="nil"/>
              <w:bottom w:val="nil"/>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w:t>
            </w:r>
          </w:p>
        </w:tc>
        <w:tc>
          <w:tcPr>
            <w:tcW w:w="1724"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33 (13.5)</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 (13.6)</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 (13.1)</w:t>
            </w:r>
          </w:p>
        </w:tc>
        <w:tc>
          <w:tcPr>
            <w:tcW w:w="1049"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0.458</w:t>
            </w:r>
          </w:p>
        </w:tc>
      </w:tr>
      <w:tr>
        <w:tblPrEx>
          <w:tblCellMar>
            <w:top w:w="0" w:type="dxa"/>
            <w:left w:w="108" w:type="dxa"/>
            <w:bottom w:w="0" w:type="dxa"/>
            <w:right w:w="108" w:type="dxa"/>
          </w:tblCellMar>
        </w:tblPrEx>
        <w:trPr>
          <w:trHeight w:val="270" w:hRule="atLeast"/>
          <w:jc w:val="center"/>
        </w:trPr>
        <w:tc>
          <w:tcPr>
            <w:tcW w:w="2712" w:type="dxa"/>
            <w:tcBorders>
              <w:top w:val="nil"/>
              <w:left w:val="nil"/>
              <w:bottom w:val="nil"/>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45-60</w:t>
            </w:r>
          </w:p>
        </w:tc>
        <w:tc>
          <w:tcPr>
            <w:tcW w:w="1724"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58 (23.7)</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47 (25.5)</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 (18)</w:t>
            </w:r>
          </w:p>
        </w:tc>
        <w:tc>
          <w:tcPr>
            <w:tcW w:w="1049"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p>
        </w:tc>
      </w:tr>
      <w:tr>
        <w:tblPrEx>
          <w:tblCellMar>
            <w:top w:w="0" w:type="dxa"/>
            <w:left w:w="108" w:type="dxa"/>
            <w:bottom w:w="0" w:type="dxa"/>
            <w:right w:w="108" w:type="dxa"/>
          </w:tblCellMar>
        </w:tblPrEx>
        <w:trPr>
          <w:trHeight w:val="270" w:hRule="atLeast"/>
          <w:jc w:val="center"/>
        </w:trPr>
        <w:tc>
          <w:tcPr>
            <w:tcW w:w="2712" w:type="dxa"/>
            <w:tcBorders>
              <w:top w:val="nil"/>
              <w:left w:val="nil"/>
              <w:bottom w:val="nil"/>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&gt;60</w:t>
            </w:r>
          </w:p>
        </w:tc>
        <w:tc>
          <w:tcPr>
            <w:tcW w:w="1724"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154 (62.9)</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112 (60.9)</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42 (68.9)</w:t>
            </w:r>
          </w:p>
        </w:tc>
        <w:tc>
          <w:tcPr>
            <w:tcW w:w="1049"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p>
        </w:tc>
      </w:tr>
      <w:tr>
        <w:tblPrEx>
          <w:tblCellMar>
            <w:top w:w="0" w:type="dxa"/>
            <w:left w:w="108" w:type="dxa"/>
            <w:bottom w:w="0" w:type="dxa"/>
            <w:right w:w="108" w:type="dxa"/>
          </w:tblCellMar>
        </w:tblPrEx>
        <w:trPr>
          <w:trHeight w:val="270" w:hRule="atLeast"/>
          <w:jc w:val="center"/>
        </w:trPr>
        <w:tc>
          <w:tcPr>
            <w:tcW w:w="2712" w:type="dxa"/>
            <w:tcBorders>
              <w:top w:val="nil"/>
              <w:left w:val="nil"/>
              <w:bottom w:val="nil"/>
              <w:right w:val="nil"/>
            </w:tcBorders>
            <w:shd w:val="clear" w:color="auto" w:fill="E7E6E6"/>
            <w:noWrap/>
            <w:vAlign w:val="center"/>
          </w:tcPr>
          <w:p>
            <w:pPr>
              <w:widowControl/>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Sex, male, n (%)</w:t>
            </w:r>
          </w:p>
        </w:tc>
        <w:tc>
          <w:tcPr>
            <w:tcW w:w="1724" w:type="dxa"/>
            <w:tcBorders>
              <w:top w:val="nil"/>
              <w:left w:val="nil"/>
              <w:bottom w:val="nil"/>
              <w:right w:val="nil"/>
            </w:tcBorders>
            <w:shd w:val="clear" w:color="auto" w:fill="E7E6E6"/>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 (61.2)</w:t>
            </w:r>
          </w:p>
        </w:tc>
        <w:tc>
          <w:tcPr>
            <w:tcW w:w="3115" w:type="dxa"/>
            <w:tcBorders>
              <w:top w:val="nil"/>
              <w:left w:val="nil"/>
              <w:bottom w:val="nil"/>
              <w:right w:val="nil"/>
            </w:tcBorders>
            <w:shd w:val="clear" w:color="auto" w:fill="E7E6E6"/>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116 (63)</w:t>
            </w:r>
          </w:p>
        </w:tc>
        <w:tc>
          <w:tcPr>
            <w:tcW w:w="3115" w:type="dxa"/>
            <w:tcBorders>
              <w:top w:val="nil"/>
              <w:left w:val="nil"/>
              <w:bottom w:val="nil"/>
              <w:right w:val="nil"/>
            </w:tcBorders>
            <w:shd w:val="clear" w:color="auto" w:fill="E7E6E6"/>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34 (55.7)</w:t>
            </w:r>
          </w:p>
        </w:tc>
        <w:tc>
          <w:tcPr>
            <w:tcW w:w="1049" w:type="dxa"/>
            <w:tcBorders>
              <w:top w:val="nil"/>
              <w:left w:val="nil"/>
              <w:bottom w:val="nil"/>
              <w:right w:val="nil"/>
            </w:tcBorders>
            <w:shd w:val="clear" w:color="auto" w:fill="E7E6E6"/>
            <w:vAlign w:val="center"/>
          </w:tcPr>
          <w:p>
            <w:pPr>
              <w:widowControl/>
              <w:jc w:val="center"/>
              <w:rPr>
                <w:rFonts w:hint="eastAsia" w:ascii="Times New Roman" w:hAnsi="Times New Roman" w:eastAsia="宋体" w:cs="Times New Roman"/>
                <w:color w:val="000000"/>
                <w:kern w:val="0"/>
                <w:szCs w:val="21"/>
                <w:lang w:val="en-US" w:eastAsia="zh-CN"/>
              </w:rPr>
            </w:pPr>
            <w:r>
              <w:rPr>
                <w:rFonts w:ascii="Times New Roman" w:hAnsi="Times New Roman" w:eastAsia="宋体" w:cs="Times New Roman"/>
                <w:color w:val="000000"/>
                <w:kern w:val="0"/>
                <w:szCs w:val="21"/>
              </w:rPr>
              <w:t>0.31</w:t>
            </w:r>
            <w:r>
              <w:rPr>
                <w:rFonts w:hint="eastAsia" w:ascii="Times New Roman" w:hAnsi="Times New Roman" w:eastAsia="宋体" w:cs="Times New Roman"/>
                <w:color w:val="000000"/>
                <w:kern w:val="0"/>
                <w:szCs w:val="21"/>
                <w:lang w:val="en-US" w:eastAsia="zh-CN"/>
              </w:rPr>
              <w:t>0</w:t>
            </w:r>
          </w:p>
        </w:tc>
      </w:tr>
      <w:tr>
        <w:tblPrEx>
          <w:tblCellMar>
            <w:top w:w="0" w:type="dxa"/>
            <w:left w:w="108" w:type="dxa"/>
            <w:bottom w:w="0" w:type="dxa"/>
            <w:right w:w="108" w:type="dxa"/>
          </w:tblCellMar>
        </w:tblPrEx>
        <w:trPr>
          <w:trHeight w:val="300" w:hRule="atLeast"/>
          <w:jc w:val="center"/>
        </w:trPr>
        <w:tc>
          <w:tcPr>
            <w:tcW w:w="7551" w:type="dxa"/>
            <w:gridSpan w:val="3"/>
            <w:tcBorders>
              <w:top w:val="nil"/>
              <w:left w:val="nil"/>
              <w:bottom w:val="nil"/>
              <w:right w:val="nil"/>
            </w:tcBorders>
            <w:shd w:val="clear" w:color="auto" w:fill="E7E6E6"/>
            <w:noWrap/>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Days from disease onset to clinic visit, median (IQR)</w:t>
            </w:r>
          </w:p>
        </w:tc>
        <w:tc>
          <w:tcPr>
            <w:tcW w:w="3115" w:type="dxa"/>
            <w:tcBorders>
              <w:top w:val="nil"/>
              <w:left w:val="nil"/>
              <w:bottom w:val="nil"/>
              <w:right w:val="nil"/>
            </w:tcBorders>
            <w:shd w:val="clear" w:color="auto" w:fill="E7E6E6"/>
            <w:noWrap/>
            <w:vAlign w:val="center"/>
          </w:tcPr>
          <w:p>
            <w:pPr>
              <w:widowControl/>
              <w:jc w:val="left"/>
              <w:rPr>
                <w:rFonts w:ascii="Times New Roman" w:hAnsi="Times New Roman" w:eastAsia="宋体" w:cs="Times New Roman"/>
                <w:b/>
                <w:bCs/>
                <w:color w:val="000000"/>
                <w:kern w:val="0"/>
                <w:szCs w:val="21"/>
              </w:rPr>
            </w:pPr>
          </w:p>
        </w:tc>
        <w:tc>
          <w:tcPr>
            <w:tcW w:w="1049" w:type="dxa"/>
            <w:tcBorders>
              <w:top w:val="nil"/>
              <w:left w:val="nil"/>
              <w:bottom w:val="nil"/>
              <w:right w:val="nil"/>
            </w:tcBorders>
            <w:shd w:val="clear" w:color="auto" w:fill="E7E6E6"/>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70" w:hRule="atLeast"/>
          <w:jc w:val="center"/>
        </w:trPr>
        <w:tc>
          <w:tcPr>
            <w:tcW w:w="2712"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724"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 (4-9)</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 (3-8)</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 (7-10)</w:t>
            </w:r>
          </w:p>
        </w:tc>
        <w:tc>
          <w:tcPr>
            <w:tcW w:w="1049"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&lt;0.001</w:t>
            </w:r>
          </w:p>
        </w:tc>
      </w:tr>
      <w:tr>
        <w:tblPrEx>
          <w:tblCellMar>
            <w:top w:w="0" w:type="dxa"/>
            <w:left w:w="108" w:type="dxa"/>
            <w:bottom w:w="0" w:type="dxa"/>
            <w:right w:w="108" w:type="dxa"/>
          </w:tblCellMar>
        </w:tblPrEx>
        <w:trPr>
          <w:trHeight w:val="300" w:hRule="atLeast"/>
          <w:jc w:val="center"/>
        </w:trPr>
        <w:tc>
          <w:tcPr>
            <w:tcW w:w="7551" w:type="dxa"/>
            <w:gridSpan w:val="3"/>
            <w:tcBorders>
              <w:top w:val="nil"/>
              <w:left w:val="nil"/>
              <w:bottom w:val="nil"/>
              <w:right w:val="nil"/>
            </w:tcBorders>
            <w:shd w:val="clear" w:color="auto" w:fill="E7E6E6"/>
            <w:noWrap/>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Length of stay, days, median (IQR)</w:t>
            </w:r>
          </w:p>
        </w:tc>
        <w:tc>
          <w:tcPr>
            <w:tcW w:w="3115" w:type="dxa"/>
            <w:tcBorders>
              <w:top w:val="nil"/>
              <w:left w:val="nil"/>
              <w:bottom w:val="nil"/>
              <w:right w:val="nil"/>
            </w:tcBorders>
            <w:shd w:val="clear" w:color="auto" w:fill="E7E6E6"/>
            <w:noWrap/>
            <w:vAlign w:val="center"/>
          </w:tcPr>
          <w:p>
            <w:pPr>
              <w:widowControl/>
              <w:jc w:val="left"/>
              <w:rPr>
                <w:rFonts w:ascii="Times New Roman" w:hAnsi="Times New Roman" w:eastAsia="宋体" w:cs="Times New Roman"/>
                <w:b/>
                <w:bCs/>
                <w:color w:val="000000"/>
                <w:kern w:val="0"/>
                <w:szCs w:val="21"/>
              </w:rPr>
            </w:pPr>
          </w:p>
        </w:tc>
        <w:tc>
          <w:tcPr>
            <w:tcW w:w="1049" w:type="dxa"/>
            <w:tcBorders>
              <w:top w:val="nil"/>
              <w:left w:val="nil"/>
              <w:bottom w:val="nil"/>
              <w:right w:val="nil"/>
            </w:tcBorders>
            <w:shd w:val="clear" w:color="auto" w:fill="E7E6E6"/>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70" w:hRule="atLeast"/>
          <w:jc w:val="center"/>
        </w:trPr>
        <w:tc>
          <w:tcPr>
            <w:tcW w:w="2712"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724"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 (10-24)</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 (9-23)</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21 (14-30)</w:t>
            </w:r>
          </w:p>
        </w:tc>
        <w:tc>
          <w:tcPr>
            <w:tcW w:w="1049"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0.001</w:t>
            </w:r>
          </w:p>
        </w:tc>
      </w:tr>
      <w:tr>
        <w:tblPrEx>
          <w:tblCellMar>
            <w:top w:w="0" w:type="dxa"/>
            <w:left w:w="108" w:type="dxa"/>
            <w:bottom w:w="0" w:type="dxa"/>
            <w:right w:w="108" w:type="dxa"/>
          </w:tblCellMar>
        </w:tblPrEx>
        <w:trPr>
          <w:trHeight w:val="300" w:hRule="atLeast"/>
          <w:jc w:val="center"/>
        </w:trPr>
        <w:tc>
          <w:tcPr>
            <w:tcW w:w="2712" w:type="dxa"/>
            <w:tcBorders>
              <w:top w:val="nil"/>
              <w:left w:val="nil"/>
              <w:bottom w:val="nil"/>
              <w:right w:val="nil"/>
            </w:tcBorders>
            <w:shd w:val="clear" w:color="auto" w:fill="E7E6E6"/>
            <w:noWrap/>
            <w:vAlign w:val="center"/>
          </w:tcPr>
          <w:p>
            <w:pPr>
              <w:widowControl/>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Any comorbidity, n (%)</w:t>
            </w:r>
          </w:p>
        </w:tc>
        <w:tc>
          <w:tcPr>
            <w:tcW w:w="1724" w:type="dxa"/>
            <w:tcBorders>
              <w:top w:val="nil"/>
              <w:left w:val="nil"/>
              <w:bottom w:val="nil"/>
              <w:right w:val="nil"/>
            </w:tcBorders>
            <w:shd w:val="clear" w:color="auto" w:fill="E7E6E6"/>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124 (50.6)</w:t>
            </w:r>
          </w:p>
        </w:tc>
        <w:tc>
          <w:tcPr>
            <w:tcW w:w="3115" w:type="dxa"/>
            <w:tcBorders>
              <w:top w:val="nil"/>
              <w:left w:val="nil"/>
              <w:bottom w:val="nil"/>
              <w:right w:val="nil"/>
            </w:tcBorders>
            <w:shd w:val="clear" w:color="auto" w:fill="E7E6E6"/>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94 (51.1)</w:t>
            </w:r>
          </w:p>
        </w:tc>
        <w:tc>
          <w:tcPr>
            <w:tcW w:w="3115" w:type="dxa"/>
            <w:tcBorders>
              <w:top w:val="nil"/>
              <w:left w:val="nil"/>
              <w:bottom w:val="nil"/>
              <w:right w:val="nil"/>
            </w:tcBorders>
            <w:shd w:val="clear" w:color="auto" w:fill="E7E6E6"/>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30 (49.2)</w:t>
            </w:r>
          </w:p>
        </w:tc>
        <w:tc>
          <w:tcPr>
            <w:tcW w:w="1049" w:type="dxa"/>
            <w:tcBorders>
              <w:top w:val="nil"/>
              <w:left w:val="nil"/>
              <w:bottom w:val="nil"/>
              <w:right w:val="nil"/>
            </w:tcBorders>
            <w:shd w:val="clear" w:color="auto" w:fill="E7E6E6"/>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0.796</w:t>
            </w:r>
          </w:p>
        </w:tc>
      </w:tr>
      <w:tr>
        <w:tblPrEx>
          <w:tblCellMar>
            <w:top w:w="0" w:type="dxa"/>
            <w:left w:w="108" w:type="dxa"/>
            <w:bottom w:w="0" w:type="dxa"/>
            <w:right w:w="108" w:type="dxa"/>
          </w:tblCellMar>
        </w:tblPrEx>
        <w:trPr>
          <w:trHeight w:val="300" w:hRule="atLeast"/>
          <w:jc w:val="center"/>
        </w:trPr>
        <w:tc>
          <w:tcPr>
            <w:tcW w:w="2712" w:type="dxa"/>
            <w:tcBorders>
              <w:top w:val="nil"/>
              <w:left w:val="nil"/>
              <w:bottom w:val="nil"/>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Hypertension</w:t>
            </w:r>
          </w:p>
        </w:tc>
        <w:tc>
          <w:tcPr>
            <w:tcW w:w="1724"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100 (40.8)</w:t>
            </w:r>
          </w:p>
        </w:tc>
        <w:tc>
          <w:tcPr>
            <w:tcW w:w="311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73 (39.7)</w:t>
            </w:r>
          </w:p>
        </w:tc>
        <w:tc>
          <w:tcPr>
            <w:tcW w:w="311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27 (44.3)</w:t>
            </w:r>
          </w:p>
        </w:tc>
        <w:tc>
          <w:tcPr>
            <w:tcW w:w="104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0.527</w:t>
            </w:r>
          </w:p>
        </w:tc>
      </w:tr>
      <w:tr>
        <w:tblPrEx>
          <w:tblCellMar>
            <w:top w:w="0" w:type="dxa"/>
            <w:left w:w="108" w:type="dxa"/>
            <w:bottom w:w="0" w:type="dxa"/>
            <w:right w:w="108" w:type="dxa"/>
          </w:tblCellMar>
        </w:tblPrEx>
        <w:trPr>
          <w:trHeight w:val="300" w:hRule="atLeast"/>
          <w:jc w:val="center"/>
        </w:trPr>
        <w:tc>
          <w:tcPr>
            <w:tcW w:w="2712" w:type="dxa"/>
            <w:tcBorders>
              <w:top w:val="nil"/>
              <w:left w:val="nil"/>
              <w:bottom w:val="nil"/>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Diabetes</w:t>
            </w:r>
          </w:p>
        </w:tc>
        <w:tc>
          <w:tcPr>
            <w:tcW w:w="172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44 (18)</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36 (19.6)</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8 (13.1)</w:t>
            </w:r>
          </w:p>
        </w:tc>
        <w:tc>
          <w:tcPr>
            <w:tcW w:w="104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0.255</w:t>
            </w:r>
          </w:p>
        </w:tc>
      </w:tr>
      <w:tr>
        <w:tblPrEx>
          <w:tblCellMar>
            <w:top w:w="0" w:type="dxa"/>
            <w:left w:w="108" w:type="dxa"/>
            <w:bottom w:w="0" w:type="dxa"/>
            <w:right w:w="108" w:type="dxa"/>
          </w:tblCellMar>
        </w:tblPrEx>
        <w:trPr>
          <w:trHeight w:val="300" w:hRule="atLeast"/>
          <w:jc w:val="center"/>
        </w:trPr>
        <w:tc>
          <w:tcPr>
            <w:tcW w:w="2712" w:type="dxa"/>
            <w:tcBorders>
              <w:top w:val="nil"/>
              <w:left w:val="nil"/>
              <w:bottom w:val="nil"/>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Coronary heart disease</w:t>
            </w:r>
          </w:p>
        </w:tc>
        <w:tc>
          <w:tcPr>
            <w:tcW w:w="172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31 (12.7)</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19 (10.3)</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12 (19.7)</w:t>
            </w:r>
          </w:p>
        </w:tc>
        <w:tc>
          <w:tcPr>
            <w:tcW w:w="104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0.057</w:t>
            </w:r>
          </w:p>
        </w:tc>
      </w:tr>
      <w:tr>
        <w:tblPrEx>
          <w:tblCellMar>
            <w:top w:w="0" w:type="dxa"/>
            <w:left w:w="108" w:type="dxa"/>
            <w:bottom w:w="0" w:type="dxa"/>
            <w:right w:w="108" w:type="dxa"/>
          </w:tblCellMar>
        </w:tblPrEx>
        <w:trPr>
          <w:trHeight w:val="300" w:hRule="atLeast"/>
          <w:jc w:val="center"/>
        </w:trPr>
        <w:tc>
          <w:tcPr>
            <w:tcW w:w="2712" w:type="dxa"/>
            <w:tcBorders>
              <w:top w:val="nil"/>
              <w:left w:val="nil"/>
              <w:bottom w:val="nil"/>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Cerebral infarction</w:t>
            </w:r>
          </w:p>
        </w:tc>
        <w:tc>
          <w:tcPr>
            <w:tcW w:w="172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19 (7.8)</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13 (7.1)</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6 (9.8)</w:t>
            </w:r>
          </w:p>
        </w:tc>
        <w:tc>
          <w:tcPr>
            <w:tcW w:w="104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0.671</w:t>
            </w:r>
          </w:p>
        </w:tc>
      </w:tr>
      <w:tr>
        <w:tblPrEx>
          <w:tblCellMar>
            <w:top w:w="0" w:type="dxa"/>
            <w:left w:w="108" w:type="dxa"/>
            <w:bottom w:w="0" w:type="dxa"/>
            <w:right w:w="108" w:type="dxa"/>
          </w:tblCellMar>
        </w:tblPrEx>
        <w:trPr>
          <w:trHeight w:val="300" w:hRule="atLeast"/>
          <w:jc w:val="center"/>
        </w:trPr>
        <w:tc>
          <w:tcPr>
            <w:tcW w:w="2712" w:type="dxa"/>
            <w:tcBorders>
              <w:top w:val="nil"/>
              <w:left w:val="nil"/>
              <w:bottom w:val="nil"/>
              <w:right w:val="nil"/>
            </w:tcBorders>
            <w:shd w:val="clear" w:color="auto" w:fill="E7E6E6"/>
            <w:noWrap/>
            <w:vAlign w:val="center"/>
          </w:tcPr>
          <w:p>
            <w:pPr>
              <w:widowControl/>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Symptoms, n (%)</w:t>
            </w:r>
          </w:p>
        </w:tc>
        <w:tc>
          <w:tcPr>
            <w:tcW w:w="1724" w:type="dxa"/>
            <w:tcBorders>
              <w:top w:val="nil"/>
              <w:left w:val="nil"/>
              <w:bottom w:val="nil"/>
              <w:right w:val="nil"/>
            </w:tcBorders>
            <w:shd w:val="clear" w:color="auto" w:fill="E7E6E6"/>
            <w:noWrap/>
            <w:vAlign w:val="center"/>
          </w:tcPr>
          <w:p>
            <w:pPr>
              <w:widowControl/>
              <w:rPr>
                <w:rFonts w:ascii="Times New Roman" w:hAnsi="Times New Roman" w:eastAsia="宋体" w:cs="Times New Roman"/>
                <w:b/>
                <w:bCs/>
                <w:color w:val="000000"/>
                <w:kern w:val="0"/>
                <w:szCs w:val="21"/>
              </w:rPr>
            </w:pPr>
          </w:p>
        </w:tc>
        <w:tc>
          <w:tcPr>
            <w:tcW w:w="3115" w:type="dxa"/>
            <w:tcBorders>
              <w:top w:val="nil"/>
              <w:left w:val="nil"/>
              <w:bottom w:val="nil"/>
              <w:right w:val="nil"/>
            </w:tcBorders>
            <w:shd w:val="clear" w:color="auto" w:fill="E7E6E6"/>
            <w:noWrap/>
            <w:vAlign w:val="center"/>
          </w:tcPr>
          <w:p>
            <w:pPr>
              <w:widowControl/>
              <w:jc w:val="center"/>
              <w:rPr>
                <w:rFonts w:ascii="Times New Roman" w:hAnsi="Times New Roman" w:eastAsia="Times New Roman" w:cs="Times New Roman"/>
                <w:kern w:val="0"/>
                <w:sz w:val="20"/>
                <w:szCs w:val="20"/>
              </w:rPr>
            </w:pPr>
          </w:p>
        </w:tc>
        <w:tc>
          <w:tcPr>
            <w:tcW w:w="3115" w:type="dxa"/>
            <w:tcBorders>
              <w:top w:val="nil"/>
              <w:left w:val="nil"/>
              <w:bottom w:val="nil"/>
              <w:right w:val="nil"/>
            </w:tcBorders>
            <w:shd w:val="clear" w:color="auto" w:fill="E7E6E6"/>
            <w:noWrap/>
            <w:vAlign w:val="center"/>
          </w:tcPr>
          <w:p>
            <w:pPr>
              <w:widowControl/>
              <w:jc w:val="center"/>
              <w:rPr>
                <w:rFonts w:ascii="Times New Roman" w:hAnsi="Times New Roman" w:eastAsia="Times New Roman" w:cs="Times New Roman"/>
                <w:kern w:val="0"/>
                <w:sz w:val="20"/>
                <w:szCs w:val="20"/>
              </w:rPr>
            </w:pPr>
          </w:p>
        </w:tc>
        <w:tc>
          <w:tcPr>
            <w:tcW w:w="1049" w:type="dxa"/>
            <w:tcBorders>
              <w:top w:val="nil"/>
              <w:left w:val="nil"/>
              <w:bottom w:val="nil"/>
              <w:right w:val="nil"/>
            </w:tcBorders>
            <w:shd w:val="clear" w:color="auto" w:fill="E7E6E6"/>
            <w:noWrap/>
            <w:vAlign w:val="center"/>
          </w:tcPr>
          <w:p>
            <w:pPr>
              <w:widowControl/>
              <w:jc w:val="center"/>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300" w:hRule="atLeast"/>
          <w:jc w:val="center"/>
        </w:trPr>
        <w:tc>
          <w:tcPr>
            <w:tcW w:w="2712" w:type="dxa"/>
            <w:tcBorders>
              <w:top w:val="nil"/>
              <w:left w:val="nil"/>
              <w:bottom w:val="nil"/>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Fever</w:t>
            </w:r>
          </w:p>
        </w:tc>
        <w:tc>
          <w:tcPr>
            <w:tcW w:w="172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208 (84.9)</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155 (84.2)</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53 (86.9)</w:t>
            </w:r>
          </w:p>
        </w:tc>
        <w:tc>
          <w:tcPr>
            <w:tcW w:w="104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0.617</w:t>
            </w:r>
          </w:p>
        </w:tc>
      </w:tr>
      <w:tr>
        <w:tblPrEx>
          <w:tblCellMar>
            <w:top w:w="0" w:type="dxa"/>
            <w:left w:w="108" w:type="dxa"/>
            <w:bottom w:w="0" w:type="dxa"/>
            <w:right w:w="108" w:type="dxa"/>
          </w:tblCellMar>
        </w:tblPrEx>
        <w:trPr>
          <w:trHeight w:val="300" w:hRule="atLeast"/>
          <w:jc w:val="center"/>
        </w:trPr>
        <w:tc>
          <w:tcPr>
            <w:tcW w:w="2712" w:type="dxa"/>
            <w:tcBorders>
              <w:top w:val="nil"/>
              <w:left w:val="nil"/>
              <w:bottom w:val="nil"/>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Cough</w:t>
            </w:r>
          </w:p>
        </w:tc>
        <w:tc>
          <w:tcPr>
            <w:tcW w:w="172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159 (64.9)</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114 (62)</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45 (73.8)</w:t>
            </w:r>
          </w:p>
        </w:tc>
        <w:tc>
          <w:tcPr>
            <w:tcW w:w="104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22"/>
                <w:szCs w:val="22"/>
              </w:rPr>
            </w:pPr>
            <w:r>
              <w:rPr>
                <w:rFonts w:ascii="Times New Roman" w:hAnsi="Times New Roman" w:eastAsia="宋体" w:cs="Times New Roman"/>
                <w:kern w:val="0"/>
                <w:sz w:val="22"/>
                <w:szCs w:val="22"/>
              </w:rPr>
              <w:t>0.094</w:t>
            </w:r>
          </w:p>
        </w:tc>
      </w:tr>
      <w:tr>
        <w:tblPrEx>
          <w:tblCellMar>
            <w:top w:w="0" w:type="dxa"/>
            <w:left w:w="108" w:type="dxa"/>
            <w:bottom w:w="0" w:type="dxa"/>
            <w:right w:w="108" w:type="dxa"/>
          </w:tblCellMar>
        </w:tblPrEx>
        <w:trPr>
          <w:trHeight w:val="300" w:hRule="atLeast"/>
          <w:jc w:val="center"/>
        </w:trPr>
        <w:tc>
          <w:tcPr>
            <w:tcW w:w="2712" w:type="dxa"/>
            <w:tcBorders>
              <w:top w:val="nil"/>
              <w:left w:val="nil"/>
              <w:bottom w:val="nil"/>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Fatigue</w:t>
            </w:r>
          </w:p>
        </w:tc>
        <w:tc>
          <w:tcPr>
            <w:tcW w:w="1724"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125 (51)</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95 (51.6)</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30 (49.2)</w:t>
            </w:r>
          </w:p>
        </w:tc>
        <w:tc>
          <w:tcPr>
            <w:tcW w:w="1049" w:type="dxa"/>
            <w:tcBorders>
              <w:top w:val="nil"/>
              <w:left w:val="nil"/>
              <w:bottom w:val="nil"/>
              <w:right w:val="nil"/>
            </w:tcBorders>
            <w:shd w:val="clear" w:color="auto" w:fill="auto"/>
            <w:noWrap/>
            <w:vAlign w:val="center"/>
          </w:tcPr>
          <w:p>
            <w:pPr>
              <w:widowControl/>
              <w:jc w:val="center"/>
              <w:rPr>
                <w:rFonts w:hint="eastAsia" w:ascii="Times New Roman" w:hAnsi="Times New Roman" w:eastAsia="宋体" w:cs="Times New Roman"/>
                <w:color w:val="000000"/>
                <w:kern w:val="0"/>
                <w:sz w:val="22"/>
                <w:szCs w:val="22"/>
                <w:lang w:val="en-US" w:eastAsia="zh-CN"/>
              </w:rPr>
            </w:pPr>
            <w:r>
              <w:rPr>
                <w:rFonts w:ascii="Times New Roman" w:hAnsi="Times New Roman" w:eastAsia="宋体" w:cs="Times New Roman"/>
                <w:color w:val="000000"/>
                <w:kern w:val="0"/>
                <w:sz w:val="22"/>
                <w:szCs w:val="22"/>
              </w:rPr>
              <w:t>0.74</w:t>
            </w:r>
            <w:r>
              <w:rPr>
                <w:rFonts w:hint="eastAsia" w:ascii="Times New Roman" w:hAnsi="Times New Roman" w:eastAsia="宋体" w:cs="Times New Roman"/>
                <w:color w:val="000000"/>
                <w:kern w:val="0"/>
                <w:sz w:val="22"/>
                <w:szCs w:val="22"/>
                <w:lang w:val="en-US" w:eastAsia="zh-CN"/>
              </w:rPr>
              <w:t>0</w:t>
            </w:r>
          </w:p>
        </w:tc>
      </w:tr>
      <w:tr>
        <w:tblPrEx>
          <w:tblCellMar>
            <w:top w:w="0" w:type="dxa"/>
            <w:left w:w="108" w:type="dxa"/>
            <w:bottom w:w="0" w:type="dxa"/>
            <w:right w:w="108" w:type="dxa"/>
          </w:tblCellMar>
        </w:tblPrEx>
        <w:trPr>
          <w:trHeight w:val="270" w:hRule="atLeast"/>
          <w:jc w:val="center"/>
        </w:trPr>
        <w:tc>
          <w:tcPr>
            <w:tcW w:w="2712" w:type="dxa"/>
            <w:tcBorders>
              <w:top w:val="nil"/>
              <w:left w:val="nil"/>
              <w:bottom w:val="nil"/>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Chest tightness</w:t>
            </w:r>
          </w:p>
        </w:tc>
        <w:tc>
          <w:tcPr>
            <w:tcW w:w="1724"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110 (44.9)</w:t>
            </w:r>
          </w:p>
        </w:tc>
        <w:tc>
          <w:tcPr>
            <w:tcW w:w="311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85 (46.2)</w:t>
            </w:r>
          </w:p>
        </w:tc>
        <w:tc>
          <w:tcPr>
            <w:tcW w:w="311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 (41)</w:t>
            </w:r>
          </w:p>
        </w:tc>
        <w:tc>
          <w:tcPr>
            <w:tcW w:w="1049"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0.478</w:t>
            </w:r>
          </w:p>
        </w:tc>
      </w:tr>
      <w:tr>
        <w:tblPrEx>
          <w:tblCellMar>
            <w:top w:w="0" w:type="dxa"/>
            <w:left w:w="108" w:type="dxa"/>
            <w:bottom w:w="0" w:type="dxa"/>
            <w:right w:w="108" w:type="dxa"/>
          </w:tblCellMar>
        </w:tblPrEx>
        <w:trPr>
          <w:trHeight w:val="300" w:hRule="atLeast"/>
          <w:jc w:val="center"/>
        </w:trPr>
        <w:tc>
          <w:tcPr>
            <w:tcW w:w="2712" w:type="dxa"/>
            <w:tcBorders>
              <w:top w:val="nil"/>
              <w:left w:val="nil"/>
              <w:bottom w:val="nil"/>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Anorexia</w:t>
            </w:r>
          </w:p>
        </w:tc>
        <w:tc>
          <w:tcPr>
            <w:tcW w:w="1724"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81 (33.1)</w:t>
            </w:r>
          </w:p>
        </w:tc>
        <w:tc>
          <w:tcPr>
            <w:tcW w:w="311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59 (32.1)</w:t>
            </w:r>
          </w:p>
        </w:tc>
        <w:tc>
          <w:tcPr>
            <w:tcW w:w="311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 (36.1)</w:t>
            </w:r>
          </w:p>
        </w:tc>
        <w:tc>
          <w:tcPr>
            <w:tcW w:w="104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0.565</w:t>
            </w:r>
          </w:p>
        </w:tc>
      </w:tr>
      <w:tr>
        <w:tblPrEx>
          <w:tblCellMar>
            <w:top w:w="0" w:type="dxa"/>
            <w:left w:w="108" w:type="dxa"/>
            <w:bottom w:w="0" w:type="dxa"/>
            <w:right w:w="108" w:type="dxa"/>
          </w:tblCellMar>
        </w:tblPrEx>
        <w:trPr>
          <w:trHeight w:val="270" w:hRule="atLeast"/>
          <w:jc w:val="center"/>
        </w:trPr>
        <w:tc>
          <w:tcPr>
            <w:tcW w:w="2712" w:type="dxa"/>
            <w:tcBorders>
              <w:top w:val="nil"/>
              <w:left w:val="nil"/>
              <w:bottom w:val="nil"/>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Anhelation</w:t>
            </w:r>
          </w:p>
        </w:tc>
        <w:tc>
          <w:tcPr>
            <w:tcW w:w="1724"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61 (24.9)</w:t>
            </w:r>
          </w:p>
        </w:tc>
        <w:tc>
          <w:tcPr>
            <w:tcW w:w="311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49 (26.6)</w:t>
            </w:r>
          </w:p>
        </w:tc>
        <w:tc>
          <w:tcPr>
            <w:tcW w:w="3115"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 (19.7)</w:t>
            </w:r>
          </w:p>
        </w:tc>
        <w:tc>
          <w:tcPr>
            <w:tcW w:w="1049"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0.276</w:t>
            </w:r>
          </w:p>
        </w:tc>
      </w:tr>
      <w:tr>
        <w:tblPrEx>
          <w:tblCellMar>
            <w:top w:w="0" w:type="dxa"/>
            <w:left w:w="108" w:type="dxa"/>
            <w:bottom w:w="0" w:type="dxa"/>
            <w:right w:w="108" w:type="dxa"/>
          </w:tblCellMar>
        </w:tblPrEx>
        <w:trPr>
          <w:trHeight w:val="270" w:hRule="atLeast"/>
          <w:jc w:val="center"/>
        </w:trPr>
        <w:tc>
          <w:tcPr>
            <w:tcW w:w="2712" w:type="dxa"/>
            <w:tcBorders>
              <w:top w:val="nil"/>
              <w:left w:val="nil"/>
              <w:bottom w:val="nil"/>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Diarrhea</w:t>
            </w:r>
          </w:p>
        </w:tc>
        <w:tc>
          <w:tcPr>
            <w:tcW w:w="1724"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21 (8.6)</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 (9.2)</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 (6.6)</w:t>
            </w:r>
          </w:p>
        </w:tc>
        <w:tc>
          <w:tcPr>
            <w:tcW w:w="104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0.517 </w:t>
            </w:r>
          </w:p>
        </w:tc>
      </w:tr>
      <w:tr>
        <w:tblPrEx>
          <w:tblCellMar>
            <w:top w:w="0" w:type="dxa"/>
            <w:left w:w="108" w:type="dxa"/>
            <w:bottom w:w="0" w:type="dxa"/>
            <w:right w:w="108" w:type="dxa"/>
          </w:tblCellMar>
        </w:tblPrEx>
        <w:trPr>
          <w:trHeight w:val="270" w:hRule="atLeast"/>
          <w:jc w:val="center"/>
        </w:trPr>
        <w:tc>
          <w:tcPr>
            <w:tcW w:w="2712" w:type="dxa"/>
            <w:tcBorders>
              <w:top w:val="nil"/>
              <w:left w:val="nil"/>
              <w:bottom w:val="nil"/>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Nausea</w:t>
            </w:r>
          </w:p>
        </w:tc>
        <w:tc>
          <w:tcPr>
            <w:tcW w:w="1724" w:type="dxa"/>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21 (8.6)</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 (7.1)</w:t>
            </w:r>
          </w:p>
        </w:tc>
        <w:tc>
          <w:tcPr>
            <w:tcW w:w="3115"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 (13.1)</w:t>
            </w:r>
          </w:p>
        </w:tc>
        <w:tc>
          <w:tcPr>
            <w:tcW w:w="1049" w:type="dxa"/>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0.144</w:t>
            </w:r>
          </w:p>
        </w:tc>
      </w:tr>
      <w:tr>
        <w:tblPrEx>
          <w:tblCellMar>
            <w:top w:w="0" w:type="dxa"/>
            <w:left w:w="108" w:type="dxa"/>
            <w:bottom w:w="0" w:type="dxa"/>
            <w:right w:w="108" w:type="dxa"/>
          </w:tblCellMar>
        </w:tblPrEx>
        <w:trPr>
          <w:trHeight w:val="285" w:hRule="atLeast"/>
          <w:jc w:val="center"/>
        </w:trPr>
        <w:tc>
          <w:tcPr>
            <w:tcW w:w="2712" w:type="dxa"/>
            <w:tcBorders>
              <w:top w:val="nil"/>
              <w:left w:val="nil"/>
              <w:bottom w:val="single" w:color="000000" w:sz="12" w:space="0"/>
              <w:right w:val="nil"/>
            </w:tcBorders>
            <w:shd w:val="clear" w:color="auto" w:fill="auto"/>
            <w:noWrap/>
            <w:vAlign w:val="center"/>
          </w:tcPr>
          <w:p>
            <w:pPr>
              <w:widowControl/>
              <w:ind w:firstLine="210" w:firstLineChars="1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Headache</w:t>
            </w:r>
          </w:p>
        </w:tc>
        <w:tc>
          <w:tcPr>
            <w:tcW w:w="1724" w:type="dxa"/>
            <w:tcBorders>
              <w:top w:val="nil"/>
              <w:left w:val="nil"/>
              <w:bottom w:val="single" w:color="000000" w:sz="12" w:space="0"/>
              <w:right w:val="nil"/>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 (2.9)</w:t>
            </w:r>
          </w:p>
        </w:tc>
        <w:tc>
          <w:tcPr>
            <w:tcW w:w="3115" w:type="dxa"/>
            <w:tcBorders>
              <w:top w:val="nil"/>
              <w:left w:val="nil"/>
              <w:bottom w:val="single" w:color="000000" w:sz="12" w:space="0"/>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 (3.3)</w:t>
            </w:r>
          </w:p>
        </w:tc>
        <w:tc>
          <w:tcPr>
            <w:tcW w:w="3115" w:type="dxa"/>
            <w:tcBorders>
              <w:top w:val="nil"/>
              <w:left w:val="nil"/>
              <w:bottom w:val="single" w:color="000000" w:sz="12" w:space="0"/>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 (1.6)</w:t>
            </w:r>
          </w:p>
        </w:tc>
        <w:tc>
          <w:tcPr>
            <w:tcW w:w="1049" w:type="dxa"/>
            <w:tcBorders>
              <w:top w:val="nil"/>
              <w:left w:val="nil"/>
              <w:bottom w:val="single" w:color="000000" w:sz="12" w:space="0"/>
              <w:right w:val="nil"/>
            </w:tcBorders>
            <w:shd w:val="clear" w:color="auto" w:fill="auto"/>
            <w:noWrap/>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0.829</w:t>
            </w:r>
          </w:p>
        </w:tc>
      </w:tr>
    </w:tbl>
    <w:p>
      <w:pPr>
        <w:tabs>
          <w:tab w:val="left" w:pos="1322"/>
        </w:tabs>
        <w:ind w:firstLine="240" w:firstLineChars="100"/>
        <w:jc w:val="left"/>
        <w:rPr>
          <w:rFonts w:ascii="Times New Roman" w:hAnsi="Times New Roman" w:cs="Times New Roman"/>
          <w:sz w:val="24"/>
        </w:rPr>
      </w:pPr>
      <w:r>
        <w:rPr>
          <w:rFonts w:ascii="Times New Roman" w:hAnsi="Times New Roman" w:cs="Times New Roman"/>
          <w:sz w:val="24"/>
        </w:rPr>
        <w:t>IQR, interquartile range</w:t>
      </w:r>
      <w:r>
        <w:rPr>
          <w:rFonts w:hint="eastAsia" w:ascii="Times New Roman" w:hAnsi="Times New Roman" w:cs="Times New Roman"/>
          <w:sz w:val="24"/>
        </w:rPr>
        <w:t xml:space="preserve">. </w:t>
      </w:r>
      <w:r>
        <w:rPr>
          <w:rFonts w:ascii="Times New Roman" w:hAnsi="Times New Roman" w:cs="Times New Roman"/>
          <w:sz w:val="24"/>
        </w:rPr>
        <w:t>COVID-19, coronavirus disease 2019.</w:t>
      </w:r>
    </w:p>
    <w:p>
      <w:pPr>
        <w:rPr>
          <w:rFonts w:ascii="Times New Roman" w:hAnsi="Times New Roman" w:cs="Times New Roman"/>
          <w:sz w:val="24"/>
        </w:rPr>
      </w:pPr>
      <w:r>
        <w:rPr>
          <w:rFonts w:ascii="Times New Roman" w:hAnsi="Times New Roman" w:cs="Times New Roman"/>
          <w:sz w:val="24"/>
        </w:rPr>
        <w:br w:type="page"/>
      </w:r>
    </w:p>
    <w:p>
      <w:pPr>
        <w:pStyle w:val="10"/>
        <w:keepNext w:val="0"/>
        <w:keepLines w:val="0"/>
        <w:pageBreakBefore w:val="0"/>
        <w:kinsoku/>
        <w:wordWrap/>
        <w:overflowPunct/>
        <w:topLinePunct w:val="0"/>
        <w:bidi w:val="0"/>
        <w:spacing w:line="240" w:lineRule="auto"/>
        <w:contextualSpacing w:val="0"/>
        <w:rPr>
          <w:rFonts w:ascii="Times New Roman" w:hAnsi="Times New Roman" w:cs="Times New Roman"/>
          <w:b/>
          <w:bCs/>
          <w:sz w:val="24"/>
        </w:rPr>
        <w:sectPr>
          <w:pgSz w:w="11906" w:h="16838"/>
          <w:pgMar w:top="1440" w:right="1800" w:bottom="1440" w:left="1800" w:header="851" w:footer="992" w:gutter="0"/>
          <w:cols w:space="0" w:num="1"/>
          <w:rtlGutter w:val="0"/>
          <w:docGrid w:type="lines" w:linePitch="312" w:charSpace="0"/>
        </w:sectPr>
      </w:pPr>
    </w:p>
    <w:p>
      <w:pPr>
        <w:pStyle w:val="10"/>
        <w:keepNext w:val="0"/>
        <w:keepLines w:val="0"/>
        <w:pageBreakBefore w:val="0"/>
        <w:kinsoku/>
        <w:wordWrap/>
        <w:overflowPunct/>
        <w:topLinePunct w:val="0"/>
        <w:bidi w:val="0"/>
        <w:spacing w:line="240" w:lineRule="auto"/>
        <w:contextualSpacing w:val="0"/>
        <w:rPr>
          <w:rFonts w:ascii="Times New Roman" w:hAnsi="Times New Roman" w:cs="Times New Roman"/>
          <w:sz w:val="24"/>
        </w:rPr>
      </w:pPr>
      <w:r>
        <w:rPr>
          <w:rFonts w:ascii="Times New Roman" w:hAnsi="Times New Roman" w:cs="Times New Roman"/>
          <w:b/>
          <w:bCs/>
          <w:sz w:val="24"/>
        </w:rPr>
        <w:t xml:space="preserve">S1 </w:t>
      </w:r>
      <w:r>
        <w:rPr>
          <w:rFonts w:hint="eastAsia" w:ascii="Times New Roman" w:hAnsi="Times New Roman" w:cs="Times New Roman"/>
          <w:b/>
          <w:bCs/>
          <w:sz w:val="24"/>
          <w:lang w:eastAsia="zh-CN"/>
        </w:rPr>
        <w:t>Figure</w:t>
      </w:r>
      <w:r>
        <w:rPr>
          <w:rFonts w:hint="eastAsia" w:ascii="Times New Roman" w:hAnsi="Times New Roman" w:cs="Times New Roman"/>
          <w:b/>
          <w:bCs/>
          <w:sz w:val="24"/>
          <w:lang w:val="en-US" w:eastAsia="zh-CN"/>
        </w:rPr>
        <w:t>.</w:t>
      </w:r>
      <w:r>
        <w:rPr>
          <w:rFonts w:ascii="Times New Roman" w:hAnsi="Times New Roman" w:cs="Times New Roman"/>
          <w:b/>
          <w:bCs/>
          <w:sz w:val="24"/>
        </w:rPr>
        <w:t xml:space="preserve"> Dynamic profile of platelet counts in thrombocytopenia patients with COVID-19 in different groups based on the PSM database. </w:t>
      </w:r>
      <w:r>
        <w:rPr>
          <w:rFonts w:ascii="Times New Roman" w:hAnsi="Times New Roman" w:cs="Times New Roman"/>
          <w:sz w:val="24"/>
        </w:rPr>
        <w:t xml:space="preserve">A, platelet counts in survival and fatal group; B, platelet counts in non-hypertension and hypertension group; C, platelet counts in non-diabetes and diabetes group; D, platelet counts in non-cardiovascular disease and cardiovascular disease group; E, platelet counts in non-cerebral infarction and cerebral infarction group. The p value was calculated by generalized estimating equation regression model. </w:t>
      </w:r>
    </w:p>
    <w:p>
      <w:pPr>
        <w:tabs>
          <w:tab w:val="left" w:pos="1322"/>
        </w:tabs>
        <w:jc w:val="left"/>
        <w:rPr>
          <w:rFonts w:hint="eastAsia" w:ascii="Times New Roman" w:hAnsi="Times New Roman" w:cs="Times New Roman" w:eastAsiaTheme="minorEastAsia"/>
          <w:sz w:val="24"/>
          <w:lang w:eastAsia="zh-CN"/>
        </w:rPr>
      </w:pPr>
      <w:r>
        <w:rPr>
          <w:rFonts w:hint="eastAsia" w:ascii="Times New Roman" w:hAnsi="Times New Roman" w:cs="Times New Roman" w:eastAsiaTheme="minorEastAsia"/>
          <w:sz w:val="24"/>
          <w:lang w:eastAsia="zh-CN"/>
        </w:rPr>
        <w:drawing>
          <wp:inline distT="0" distB="0" distL="114300" distR="114300">
            <wp:extent cx="9625330" cy="3948430"/>
            <wp:effectExtent l="0" t="0" r="13970" b="13970"/>
            <wp:docPr id="1" name="图片 1" descr="S1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1 Fig"/>
                    <pic:cNvPicPr>
                      <a:picLocks noChangeAspect="1"/>
                    </pic:cNvPicPr>
                  </pic:nvPicPr>
                  <pic:blipFill>
                    <a:blip r:embed="rId4"/>
                    <a:stretch>
                      <a:fillRect/>
                    </a:stretch>
                  </pic:blipFill>
                  <pic:spPr>
                    <a:xfrm>
                      <a:off x="0" y="0"/>
                      <a:ext cx="9625330" cy="3948430"/>
                    </a:xfrm>
                    <a:prstGeom prst="rect">
                      <a:avLst/>
                    </a:prstGeom>
                  </pic:spPr>
                </pic:pic>
              </a:graphicData>
            </a:graphic>
          </wp:inline>
        </w:drawing>
      </w:r>
    </w:p>
    <w:p>
      <w:pPr>
        <w:rPr>
          <w:rFonts w:ascii="Times New Roman" w:hAnsi="Times New Roman" w:cs="Times New Roman"/>
          <w:sz w:val="24"/>
        </w:rPr>
      </w:pPr>
      <w:r>
        <w:rPr>
          <w:rFonts w:ascii="Times New Roman" w:hAnsi="Times New Roman" w:cs="Times New Roman"/>
          <w:sz w:val="24"/>
        </w:rPr>
        <w:br w:type="page"/>
      </w:r>
    </w:p>
    <w:p>
      <w:pPr>
        <w:pStyle w:val="10"/>
        <w:keepNext w:val="0"/>
        <w:keepLines w:val="0"/>
        <w:pageBreakBefore w:val="0"/>
        <w:kinsoku/>
        <w:wordWrap/>
        <w:overflowPunct/>
        <w:topLinePunct w:val="0"/>
        <w:bidi w:val="0"/>
        <w:spacing w:line="240" w:lineRule="auto"/>
        <w:contextualSpacing w:val="0"/>
        <w:rPr>
          <w:rFonts w:ascii="Times New Roman" w:hAnsi="Times New Roman" w:cs="Times New Roman"/>
          <w:sz w:val="24"/>
        </w:rPr>
      </w:pPr>
      <w:r>
        <w:rPr>
          <w:rFonts w:ascii="Times New Roman" w:hAnsi="Times New Roman" w:cs="Times New Roman"/>
          <w:b/>
          <w:bCs/>
          <w:sz w:val="24"/>
        </w:rPr>
        <w:t xml:space="preserve">S2 </w:t>
      </w:r>
      <w:r>
        <w:rPr>
          <w:rFonts w:hint="eastAsia" w:ascii="Times New Roman" w:hAnsi="Times New Roman" w:cs="Times New Roman"/>
          <w:b/>
          <w:bCs/>
          <w:sz w:val="24"/>
          <w:lang w:eastAsia="zh-CN"/>
        </w:rPr>
        <w:t>Figure</w:t>
      </w:r>
      <w:r>
        <w:rPr>
          <w:rFonts w:hint="eastAsia" w:ascii="Times New Roman" w:hAnsi="Times New Roman" w:cs="Times New Roman"/>
          <w:b/>
          <w:bCs/>
          <w:sz w:val="24"/>
          <w:lang w:val="en-US" w:eastAsia="zh-CN"/>
        </w:rPr>
        <w:t>.</w:t>
      </w:r>
      <w:r>
        <w:rPr>
          <w:rFonts w:ascii="Times New Roman" w:hAnsi="Times New Roman" w:cs="Times New Roman"/>
          <w:b/>
          <w:bCs/>
          <w:sz w:val="24"/>
        </w:rPr>
        <w:t xml:space="preserve"> Laboratory indicators of patients with early and late development of thrombocytopenia. </w:t>
      </w:r>
      <w:r>
        <w:rPr>
          <w:rFonts w:ascii="Times New Roman" w:hAnsi="Times New Roman" w:cs="Times New Roman"/>
          <w:sz w:val="24"/>
        </w:rPr>
        <w:t xml:space="preserve">A, neutrophil count; B, lymphocyte count; C, thrombocytocrit; D, international normalization ratio (INR); E, C reaction protein (CRP); F, procalcitonin. Dots present the values for individual detection, and the lines and error bars indicate the median and interquartile range, respectively. Dotted line indicates the lower limit and upper limit of each laboratory indicator. *P &lt; 0.05 using a generalized estimating equation regression model adjusted for age, sex, delay from disease onset to hospital admission and comorbidities. The markers in comparisons without significant differences were not shown. </w:t>
      </w:r>
    </w:p>
    <w:p>
      <w:pPr>
        <w:rPr>
          <w:rFonts w:hint="eastAsia" w:ascii="Times New Roman" w:hAnsi="Times New Roman" w:cs="Times New Roman" w:eastAsiaTheme="minorEastAsia"/>
          <w:sz w:val="24"/>
          <w:lang w:eastAsia="zh-CN"/>
        </w:rPr>
      </w:pPr>
      <w:r>
        <w:rPr>
          <w:rFonts w:hint="eastAsia" w:ascii="Times New Roman" w:hAnsi="Times New Roman" w:cs="Times New Roman" w:eastAsiaTheme="minorEastAsia"/>
          <w:sz w:val="24"/>
          <w:lang w:eastAsia="zh-CN"/>
        </w:rPr>
        <w:drawing>
          <wp:inline distT="0" distB="0" distL="114300" distR="114300">
            <wp:extent cx="9760585" cy="3596005"/>
            <wp:effectExtent l="0" t="0" r="12065" b="4445"/>
            <wp:docPr id="2" name="图片 2" descr="S2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2 Fig"/>
                    <pic:cNvPicPr>
                      <a:picLocks noChangeAspect="1"/>
                    </pic:cNvPicPr>
                  </pic:nvPicPr>
                  <pic:blipFill>
                    <a:blip r:embed="rId5"/>
                    <a:stretch>
                      <a:fillRect/>
                    </a:stretch>
                  </pic:blipFill>
                  <pic:spPr>
                    <a:xfrm>
                      <a:off x="0" y="0"/>
                      <a:ext cx="9760585" cy="3596005"/>
                    </a:xfrm>
                    <a:prstGeom prst="rect">
                      <a:avLst/>
                    </a:prstGeom>
                  </pic:spPr>
                </pic:pic>
              </a:graphicData>
            </a:graphic>
          </wp:inline>
        </w:drawing>
      </w:r>
    </w:p>
    <w:p>
      <w:pPr>
        <w:rPr>
          <w:rFonts w:ascii="Times New Roman" w:hAnsi="Times New Roman" w:cs="Times New Roman"/>
          <w:sz w:val="24"/>
          <w:szCs w:val="24"/>
        </w:rPr>
        <w:sectPr>
          <w:pgSz w:w="16838" w:h="11906" w:orient="landscape"/>
          <w:pgMar w:top="1803" w:right="1440" w:bottom="1803" w:left="1440" w:header="851" w:footer="992" w:gutter="0"/>
          <w:cols w:space="0" w:num="1"/>
          <w:rtlGutter w:val="0"/>
          <w:docGrid w:type="lines" w:linePitch="319" w:charSpace="0"/>
        </w:sectPr>
      </w:pPr>
      <w:r>
        <w:rPr>
          <w:rFonts w:ascii="Times New Roman" w:hAnsi="Times New Roman" w:cs="Times New Roman"/>
          <w:sz w:val="24"/>
          <w:szCs w:val="24"/>
        </w:rPr>
        <w:br w:type="page"/>
      </w:r>
    </w:p>
    <w:p>
      <w:pPr>
        <w:pStyle w:val="10"/>
        <w:keepNext w:val="0"/>
        <w:keepLines w:val="0"/>
        <w:pageBreakBefore w:val="0"/>
        <w:kinsoku/>
        <w:wordWrap/>
        <w:overflowPunct/>
        <w:topLinePunct w:val="0"/>
        <w:bidi w:val="0"/>
        <w:spacing w:line="240" w:lineRule="auto"/>
        <w:contextualSpacing w:val="0"/>
        <w:rPr>
          <w:rFonts w:ascii="Times New Roman" w:hAnsi="Times New Roman" w:cs="Times New Roman"/>
          <w:sz w:val="24"/>
        </w:rPr>
      </w:pPr>
      <w:r>
        <w:rPr>
          <w:rFonts w:ascii="Times New Roman" w:hAnsi="Times New Roman" w:cs="Times New Roman"/>
          <w:b/>
          <w:bCs/>
          <w:sz w:val="24"/>
        </w:rPr>
        <w:t xml:space="preserve">S3 </w:t>
      </w:r>
      <w:r>
        <w:rPr>
          <w:rFonts w:hint="eastAsia" w:ascii="Times New Roman" w:hAnsi="Times New Roman" w:cs="Times New Roman"/>
          <w:b/>
          <w:bCs/>
          <w:sz w:val="24"/>
          <w:lang w:eastAsia="zh-CN"/>
        </w:rPr>
        <w:t>Figure</w:t>
      </w:r>
      <w:r>
        <w:rPr>
          <w:rFonts w:hint="eastAsia" w:ascii="Times New Roman" w:hAnsi="Times New Roman" w:cs="Times New Roman"/>
          <w:b/>
          <w:bCs/>
          <w:sz w:val="24"/>
          <w:lang w:val="en-US" w:eastAsia="zh-CN"/>
        </w:rPr>
        <w:t>.</w:t>
      </w:r>
      <w:r>
        <w:rPr>
          <w:rFonts w:ascii="Times New Roman" w:hAnsi="Times New Roman" w:cs="Times New Roman"/>
          <w:b/>
          <w:bCs/>
          <w:sz w:val="24"/>
        </w:rPr>
        <w:t xml:space="preserve"> The dynamic profile of platelet counts and 60-day Kaplan-Meier survival curves of COVID-19 patients with early and late development of thrombocytopenia. </w:t>
      </w:r>
      <w:r>
        <w:rPr>
          <w:rFonts w:ascii="Times New Roman" w:hAnsi="Times New Roman" w:cs="Times New Roman"/>
          <w:sz w:val="24"/>
        </w:rPr>
        <w:t>A, dynamic profile of platelet count was plotted in the two groups of patients with early and late development of thrombocytopenia. The median and interquartile range were shown. B, Survival curves on probability of survival from the patients with early and late development of thrombocytopenia and compared by log-rank test.</w:t>
      </w:r>
    </w:p>
    <w:p>
      <w:pPr>
        <w:rPr>
          <w:rFonts w:hint="eastAsia" w:ascii="Times New Roman" w:hAnsi="Times New Roman" w:cs="Times New Roman" w:eastAsiaTheme="minorEastAsia"/>
          <w:sz w:val="24"/>
          <w:lang w:eastAsia="zh-CN"/>
        </w:rPr>
      </w:pPr>
      <w:r>
        <w:rPr>
          <w:rFonts w:hint="eastAsia" w:ascii="Times New Roman" w:hAnsi="Times New Roman" w:cs="Times New Roman" w:eastAsiaTheme="minorEastAsia"/>
          <w:sz w:val="24"/>
          <w:lang w:eastAsia="zh-CN"/>
        </w:rPr>
        <w:drawing>
          <wp:inline distT="0" distB="0" distL="114300" distR="114300">
            <wp:extent cx="5266690" cy="6172835"/>
            <wp:effectExtent l="0" t="0" r="10160" b="18415"/>
            <wp:docPr id="3" name="图片 3" descr="S3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3 Fig"/>
                    <pic:cNvPicPr>
                      <a:picLocks noChangeAspect="1"/>
                    </pic:cNvPicPr>
                  </pic:nvPicPr>
                  <pic:blipFill>
                    <a:blip r:embed="rId6"/>
                    <a:stretch>
                      <a:fillRect/>
                    </a:stretch>
                  </pic:blipFill>
                  <pic:spPr>
                    <a:xfrm>
                      <a:off x="0" y="0"/>
                      <a:ext cx="5266690" cy="6172835"/>
                    </a:xfrm>
                    <a:prstGeom prst="rect">
                      <a:avLst/>
                    </a:prstGeom>
                  </pic:spPr>
                </pic:pic>
              </a:graphicData>
            </a:graphic>
          </wp:inline>
        </w:drawing>
      </w: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105"/>
  <w:drawingGridVerticalSpacing w:val="159"/>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B5551B"/>
    <w:rsid w:val="00085120"/>
    <w:rsid w:val="001D5D41"/>
    <w:rsid w:val="001E15D6"/>
    <w:rsid w:val="002E53CF"/>
    <w:rsid w:val="00467EEA"/>
    <w:rsid w:val="005032C0"/>
    <w:rsid w:val="005D51E6"/>
    <w:rsid w:val="00613DB1"/>
    <w:rsid w:val="0061645F"/>
    <w:rsid w:val="00623C8F"/>
    <w:rsid w:val="0066702D"/>
    <w:rsid w:val="00692E2D"/>
    <w:rsid w:val="00A16981"/>
    <w:rsid w:val="00A44147"/>
    <w:rsid w:val="00A47A9A"/>
    <w:rsid w:val="00BB0ED9"/>
    <w:rsid w:val="00BC74D2"/>
    <w:rsid w:val="00BF35C4"/>
    <w:rsid w:val="00D85682"/>
    <w:rsid w:val="1BAB6483"/>
    <w:rsid w:val="202B2DE9"/>
    <w:rsid w:val="20BC3C87"/>
    <w:rsid w:val="25B5551B"/>
    <w:rsid w:val="311B786B"/>
    <w:rsid w:val="3D9F0BB9"/>
    <w:rsid w:val="3F405359"/>
    <w:rsid w:val="4DC05C5D"/>
    <w:rsid w:val="4EB303F3"/>
    <w:rsid w:val="5E264DC6"/>
    <w:rsid w:val="7C8840F2"/>
    <w:rsid w:val="7E325A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kern w:val="2"/>
      <w:sz w:val="18"/>
      <w:szCs w:val="18"/>
    </w:rPr>
  </w:style>
  <w:style w:type="character" w:customStyle="1" w:styleId="8">
    <w:name w:val="页脚 字符"/>
    <w:basedOn w:val="6"/>
    <w:link w:val="3"/>
    <w:qFormat/>
    <w:uiPriority w:val="0"/>
    <w:rPr>
      <w:kern w:val="2"/>
      <w:sz w:val="18"/>
      <w:szCs w:val="18"/>
    </w:rPr>
  </w:style>
  <w:style w:type="character" w:customStyle="1" w:styleId="9">
    <w:name w:val="批注框文本 字符"/>
    <w:basedOn w:val="6"/>
    <w:link w:val="2"/>
    <w:qFormat/>
    <w:uiPriority w:val="0"/>
    <w:rPr>
      <w:rFonts w:asciiTheme="minorHAnsi" w:hAnsiTheme="minorHAnsi" w:eastAsiaTheme="minorEastAsia" w:cstheme="minorBidi"/>
      <w:kern w:val="2"/>
      <w:sz w:val="18"/>
      <w:szCs w:val="18"/>
    </w:rPr>
  </w:style>
  <w:style w:type="paragraph" w:customStyle="1" w:styleId="10">
    <w:name w:val="正文1"/>
    <w:qFormat/>
    <w:uiPriority w:val="0"/>
    <w:pPr>
      <w:spacing w:line="276" w:lineRule="auto"/>
      <w:contextualSpacing/>
    </w:pPr>
    <w:rPr>
      <w:rFonts w:ascii="Arial" w:hAnsi="Arial" w:eastAsia="宋体" w:cs="Arial"/>
      <w:sz w:val="22"/>
      <w:szCs w:val="22"/>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201</Words>
  <Characters>1151</Characters>
  <Lines>9</Lines>
  <Paragraphs>2</Paragraphs>
  <TotalTime>3</TotalTime>
  <ScaleCrop>false</ScaleCrop>
  <LinksUpToDate>false</LinksUpToDate>
  <CharactersWithSpaces>1350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2020-06-05T13:51:00Z</dcterms:created>
  <dc:creator>yuan y</dc:creator>
  <cp:lastModifiedBy>yuan yang</cp:lastModifiedBy>
  <dcterms:modified xsi:type="dcterms:W3CDTF">2021-08-16T14:38:09Z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126C3AAB15A94E00AA25DC206169362A</vt:lpwstr>
  </property>
</Properties>
</file>