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B5" w:rsidRPr="00B848B1" w:rsidRDefault="003F59B5" w:rsidP="003F59B5">
      <w:pPr>
        <w:spacing w:before="240" w:line="276" w:lineRule="auto"/>
        <w:rPr>
          <w:rFonts w:ascii="Arial" w:hAnsi="Arial" w:cs="Arial"/>
          <w:b/>
          <w:bCs/>
          <w:sz w:val="24"/>
          <w:lang w:val="en-GB"/>
        </w:rPr>
      </w:pPr>
      <w:r w:rsidRPr="00B848B1">
        <w:rPr>
          <w:rFonts w:ascii="Arial" w:hAnsi="Arial" w:cs="Arial"/>
          <w:b/>
          <w:bCs/>
          <w:sz w:val="24"/>
          <w:lang w:val="en-GB"/>
        </w:rPr>
        <w:t>Factors limiting reproductive success in urban Greylag Geese (</w:t>
      </w:r>
      <w:proofErr w:type="spellStart"/>
      <w:r w:rsidRPr="00B848B1">
        <w:rPr>
          <w:rFonts w:ascii="Arial" w:hAnsi="Arial" w:cs="Arial"/>
          <w:b/>
          <w:bCs/>
          <w:i/>
          <w:sz w:val="24"/>
          <w:lang w:val="en-GB"/>
        </w:rPr>
        <w:t>Anser</w:t>
      </w:r>
      <w:proofErr w:type="spellEnd"/>
      <w:r w:rsidRPr="00B848B1">
        <w:rPr>
          <w:rFonts w:ascii="Arial" w:hAnsi="Arial" w:cs="Arial"/>
          <w:b/>
          <w:bCs/>
          <w:i/>
          <w:sz w:val="24"/>
          <w:lang w:val="en-GB"/>
        </w:rPr>
        <w:t xml:space="preserve"> </w:t>
      </w:r>
      <w:proofErr w:type="spellStart"/>
      <w:r w:rsidRPr="00B848B1">
        <w:rPr>
          <w:rFonts w:ascii="Arial" w:hAnsi="Arial" w:cs="Arial"/>
          <w:b/>
          <w:bCs/>
          <w:i/>
          <w:sz w:val="24"/>
          <w:lang w:val="en-GB"/>
        </w:rPr>
        <w:t>anser</w:t>
      </w:r>
      <w:proofErr w:type="spellEnd"/>
      <w:r w:rsidRPr="00B848B1">
        <w:rPr>
          <w:rFonts w:ascii="Arial" w:hAnsi="Arial" w:cs="Arial"/>
          <w:b/>
          <w:bCs/>
          <w:sz w:val="24"/>
          <w:lang w:val="en-GB"/>
        </w:rPr>
        <w:t>)</w:t>
      </w:r>
    </w:p>
    <w:p w:rsidR="00BB292E" w:rsidRPr="0039659A" w:rsidRDefault="00B848B1" w:rsidP="00BB292E">
      <w:pPr>
        <w:spacing w:before="240" w:line="276" w:lineRule="auto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t>Supplemental Material</w:t>
      </w:r>
      <w:r w:rsidR="00C07C85">
        <w:rPr>
          <w:rFonts w:ascii="Arial" w:hAnsi="Arial" w:cs="Arial"/>
          <w:b/>
          <w:sz w:val="24"/>
          <w:lang w:val="en-GB"/>
        </w:rPr>
        <w:t xml:space="preserve"> S1</w:t>
      </w:r>
    </w:p>
    <w:p w:rsidR="0039659A" w:rsidRPr="0039659A" w:rsidRDefault="0039659A" w:rsidP="00BB292E">
      <w:pPr>
        <w:spacing w:before="240" w:line="276" w:lineRule="auto"/>
        <w:rPr>
          <w:rFonts w:ascii="Arial" w:hAnsi="Arial" w:cs="Arial"/>
          <w:b/>
          <w:bCs/>
          <w:sz w:val="20"/>
          <w:lang w:val="en-GB"/>
        </w:rPr>
      </w:pPr>
    </w:p>
    <w:p w:rsidR="0039659A" w:rsidRPr="0039659A" w:rsidRDefault="0039659A" w:rsidP="00BB292E">
      <w:pPr>
        <w:spacing w:before="240" w:line="276" w:lineRule="auto"/>
        <w:rPr>
          <w:rFonts w:ascii="Arial" w:hAnsi="Arial" w:cs="Arial"/>
          <w:sz w:val="20"/>
          <w:lang w:val="en-GB"/>
        </w:rPr>
      </w:pPr>
      <w:r w:rsidRPr="0039659A">
        <w:rPr>
          <w:rFonts w:ascii="Arial" w:hAnsi="Arial" w:cs="Arial"/>
          <w:b/>
          <w:bCs/>
          <w:sz w:val="20"/>
          <w:lang w:val="en-GB"/>
        </w:rPr>
        <w:t>Table S1.</w:t>
      </w:r>
      <w:r w:rsidRPr="0039659A">
        <w:rPr>
          <w:rFonts w:ascii="Arial" w:hAnsi="Arial" w:cs="Arial"/>
          <w:bCs/>
          <w:sz w:val="20"/>
          <w:lang w:val="en-GB"/>
        </w:rPr>
        <w:t xml:space="preserve"> Yearly percentage of breeders and non-breeders in the local population during March and April (n, number of geese).</w:t>
      </w:r>
    </w:p>
    <w:tbl>
      <w:tblPr>
        <w:tblW w:w="5107" w:type="dxa"/>
        <w:tblLook w:val="04A0"/>
      </w:tblPr>
      <w:tblGrid>
        <w:gridCol w:w="1208"/>
        <w:gridCol w:w="1208"/>
        <w:gridCol w:w="1553"/>
        <w:gridCol w:w="1138"/>
      </w:tblGrid>
      <w:tr w:rsidR="00BB292E" w:rsidRPr="0039659A" w:rsidTr="00B72025">
        <w:trPr>
          <w:trHeight w:val="300"/>
        </w:trPr>
        <w:tc>
          <w:tcPr>
            <w:tcW w:w="1208" w:type="dxa"/>
            <w:tcBorders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BB292E" w:rsidRPr="0039659A" w:rsidRDefault="00BB292E" w:rsidP="0039659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39659A">
              <w:rPr>
                <w:rFonts w:ascii="Calibri" w:hAnsi="Calibri" w:cs="Calibri"/>
                <w:b/>
                <w:bCs/>
                <w:color w:val="000000"/>
                <w:lang w:val="en-GB"/>
              </w:rPr>
              <w:t>Year</w:t>
            </w:r>
          </w:p>
        </w:tc>
        <w:tc>
          <w:tcPr>
            <w:tcW w:w="1208" w:type="dxa"/>
            <w:tcBorders>
              <w:bottom w:val="single" w:sz="12" w:space="0" w:color="000000"/>
            </w:tcBorders>
            <w:noWrap/>
            <w:vAlign w:val="center"/>
            <w:hideMark/>
          </w:tcPr>
          <w:p w:rsidR="00BB292E" w:rsidRPr="0039659A" w:rsidRDefault="00BB292E" w:rsidP="0039659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39659A">
              <w:rPr>
                <w:rFonts w:ascii="Calibri" w:hAnsi="Calibri" w:cs="Calibri"/>
                <w:b/>
                <w:bCs/>
                <w:color w:val="000000"/>
                <w:lang w:val="en-GB"/>
              </w:rPr>
              <w:t>%</w:t>
            </w:r>
            <w:r w:rsidR="00B72025">
              <w:rPr>
                <w:rFonts w:ascii="Calibri" w:hAnsi="Calibri" w:cs="Calibri"/>
                <w:b/>
                <w:bCs/>
                <w:color w:val="000000"/>
                <w:lang w:val="en-GB"/>
              </w:rPr>
              <w:t xml:space="preserve"> </w:t>
            </w:r>
            <w:r w:rsidRPr="0039659A">
              <w:rPr>
                <w:rFonts w:ascii="Calibri" w:hAnsi="Calibri" w:cs="Calibri"/>
                <w:b/>
                <w:bCs/>
                <w:color w:val="000000"/>
                <w:lang w:val="en-GB"/>
              </w:rPr>
              <w:t>Breeder</w:t>
            </w:r>
          </w:p>
        </w:tc>
        <w:tc>
          <w:tcPr>
            <w:tcW w:w="1553" w:type="dxa"/>
            <w:tcBorders>
              <w:bottom w:val="single" w:sz="12" w:space="0" w:color="000000"/>
            </w:tcBorders>
            <w:noWrap/>
            <w:vAlign w:val="center"/>
            <w:hideMark/>
          </w:tcPr>
          <w:p w:rsidR="00BB292E" w:rsidRPr="0039659A" w:rsidRDefault="00BB292E" w:rsidP="0039659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39659A">
              <w:rPr>
                <w:rFonts w:ascii="Calibri" w:hAnsi="Calibri" w:cs="Calibri"/>
                <w:b/>
                <w:bCs/>
                <w:color w:val="000000"/>
                <w:lang w:val="en-GB"/>
              </w:rPr>
              <w:t>%</w:t>
            </w:r>
            <w:r w:rsidR="00B72025">
              <w:rPr>
                <w:rFonts w:ascii="Calibri" w:hAnsi="Calibri" w:cs="Calibri"/>
                <w:b/>
                <w:bCs/>
                <w:color w:val="000000"/>
                <w:lang w:val="en-GB"/>
              </w:rPr>
              <w:t xml:space="preserve"> </w:t>
            </w:r>
            <w:r w:rsidRPr="0039659A">
              <w:rPr>
                <w:rFonts w:ascii="Calibri" w:hAnsi="Calibri" w:cs="Calibri"/>
                <w:b/>
                <w:bCs/>
                <w:color w:val="000000"/>
                <w:lang w:val="en-GB"/>
              </w:rPr>
              <w:t>Non</w:t>
            </w:r>
            <w:r w:rsidR="00542C70">
              <w:rPr>
                <w:rFonts w:ascii="Calibri" w:hAnsi="Calibri" w:cs="Calibri"/>
                <w:b/>
                <w:bCs/>
                <w:color w:val="000000"/>
                <w:lang w:val="en-GB"/>
              </w:rPr>
              <w:t>-</w:t>
            </w:r>
            <w:r w:rsidRPr="0039659A">
              <w:rPr>
                <w:rFonts w:ascii="Calibri" w:hAnsi="Calibri" w:cs="Calibri"/>
                <w:b/>
                <w:bCs/>
                <w:color w:val="000000"/>
                <w:lang w:val="en-GB"/>
              </w:rPr>
              <w:t>breeder</w:t>
            </w:r>
          </w:p>
        </w:tc>
        <w:tc>
          <w:tcPr>
            <w:tcW w:w="1138" w:type="dxa"/>
            <w:tcBorders>
              <w:bottom w:val="single" w:sz="12" w:space="0" w:color="000000"/>
            </w:tcBorders>
            <w:noWrap/>
            <w:vAlign w:val="center"/>
            <w:hideMark/>
          </w:tcPr>
          <w:p w:rsidR="00BB292E" w:rsidRPr="0039659A" w:rsidRDefault="00BB292E" w:rsidP="0039659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39659A">
              <w:rPr>
                <w:rFonts w:ascii="Calibri" w:hAnsi="Calibri" w:cs="Calibri"/>
                <w:b/>
                <w:bCs/>
                <w:color w:val="000000"/>
                <w:lang w:val="en-GB"/>
              </w:rPr>
              <w:t>n</w:t>
            </w:r>
          </w:p>
        </w:tc>
      </w:tr>
      <w:tr w:rsidR="00BB292E" w:rsidRPr="0039659A" w:rsidTr="00B72025">
        <w:trPr>
          <w:trHeight w:val="300"/>
        </w:trPr>
        <w:tc>
          <w:tcPr>
            <w:tcW w:w="0" w:type="auto"/>
            <w:tcBorders>
              <w:right w:val="single" w:sz="12" w:space="0" w:color="000000"/>
            </w:tcBorders>
            <w:noWrap/>
            <w:vAlign w:val="center"/>
            <w:hideMark/>
          </w:tcPr>
          <w:p w:rsidR="00BB292E" w:rsidRPr="0039659A" w:rsidRDefault="00BB292E" w:rsidP="0039659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39659A">
              <w:rPr>
                <w:rFonts w:ascii="Calibri" w:hAnsi="Calibri" w:cs="Calibri"/>
                <w:b/>
                <w:bCs/>
                <w:color w:val="000000"/>
                <w:lang w:val="en-GB"/>
              </w:rPr>
              <w:t>2007</w:t>
            </w:r>
          </w:p>
        </w:tc>
        <w:tc>
          <w:tcPr>
            <w:tcW w:w="0" w:type="auto"/>
            <w:noWrap/>
            <w:vAlign w:val="center"/>
            <w:hideMark/>
          </w:tcPr>
          <w:p w:rsidR="00BB292E" w:rsidRPr="0039659A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39659A">
              <w:rPr>
                <w:rFonts w:ascii="Calibri" w:hAnsi="Calibri" w:cs="Calibri"/>
                <w:color w:val="000000"/>
                <w:lang w:val="en-GB"/>
              </w:rPr>
              <w:t>20%</w:t>
            </w:r>
          </w:p>
        </w:tc>
        <w:tc>
          <w:tcPr>
            <w:tcW w:w="1553" w:type="dxa"/>
            <w:noWrap/>
            <w:vAlign w:val="center"/>
            <w:hideMark/>
          </w:tcPr>
          <w:p w:rsidR="00BB292E" w:rsidRPr="0039659A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39659A">
              <w:rPr>
                <w:rFonts w:ascii="Calibri" w:hAnsi="Calibri" w:cs="Calibri"/>
                <w:color w:val="000000"/>
                <w:lang w:val="en-GB"/>
              </w:rPr>
              <w:t>80%</w:t>
            </w:r>
          </w:p>
        </w:tc>
        <w:tc>
          <w:tcPr>
            <w:tcW w:w="1138" w:type="dxa"/>
            <w:noWrap/>
            <w:vAlign w:val="center"/>
            <w:hideMark/>
          </w:tcPr>
          <w:p w:rsidR="00BB292E" w:rsidRPr="0039659A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39659A">
              <w:rPr>
                <w:rFonts w:ascii="Calibri" w:hAnsi="Calibri" w:cs="Calibri"/>
                <w:color w:val="000000"/>
                <w:lang w:val="en-GB"/>
              </w:rPr>
              <w:t>70</w:t>
            </w:r>
          </w:p>
        </w:tc>
      </w:tr>
      <w:tr w:rsidR="00BB292E" w:rsidRPr="00ED2889" w:rsidTr="00B72025">
        <w:trPr>
          <w:trHeight w:val="300"/>
        </w:trPr>
        <w:tc>
          <w:tcPr>
            <w:tcW w:w="0" w:type="auto"/>
            <w:tcBorders>
              <w:right w:val="single" w:sz="12" w:space="0" w:color="000000"/>
            </w:tcBorders>
            <w:noWrap/>
            <w:vAlign w:val="center"/>
            <w:hideMark/>
          </w:tcPr>
          <w:p w:rsidR="00BB292E" w:rsidRPr="0039659A" w:rsidRDefault="00BB292E" w:rsidP="0039659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39659A">
              <w:rPr>
                <w:rFonts w:ascii="Calibri" w:hAnsi="Calibri" w:cs="Calibri"/>
                <w:b/>
                <w:bCs/>
                <w:color w:val="000000"/>
                <w:lang w:val="en-GB"/>
              </w:rPr>
              <w:t>2008</w:t>
            </w:r>
          </w:p>
        </w:tc>
        <w:tc>
          <w:tcPr>
            <w:tcW w:w="0" w:type="auto"/>
            <w:noWrap/>
            <w:vAlign w:val="center"/>
            <w:hideMark/>
          </w:tcPr>
          <w:p w:rsidR="00BB292E" w:rsidRPr="0039659A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39659A">
              <w:rPr>
                <w:rFonts w:ascii="Calibri" w:hAnsi="Calibri" w:cs="Calibri"/>
                <w:color w:val="000000"/>
                <w:lang w:val="en-GB"/>
              </w:rPr>
              <w:t>16%</w:t>
            </w:r>
          </w:p>
        </w:tc>
        <w:tc>
          <w:tcPr>
            <w:tcW w:w="1553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39659A">
              <w:rPr>
                <w:rFonts w:ascii="Calibri" w:hAnsi="Calibri" w:cs="Calibri"/>
                <w:color w:val="000000"/>
                <w:lang w:val="en-GB"/>
              </w:rPr>
              <w:t>84</w:t>
            </w:r>
            <w:r w:rsidRPr="00ED2889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38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BB292E" w:rsidRPr="00ED2889" w:rsidTr="00B72025">
        <w:trPr>
          <w:trHeight w:val="300"/>
        </w:trPr>
        <w:tc>
          <w:tcPr>
            <w:tcW w:w="0" w:type="auto"/>
            <w:tcBorders>
              <w:right w:val="single" w:sz="12" w:space="0" w:color="000000"/>
            </w:tcBorders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2889">
              <w:rPr>
                <w:rFonts w:ascii="Calibri" w:hAnsi="Calibri" w:cs="Calibri"/>
                <w:b/>
                <w:bCs/>
                <w:color w:val="000000"/>
              </w:rPr>
              <w:t>2009</w:t>
            </w:r>
          </w:p>
        </w:tc>
        <w:tc>
          <w:tcPr>
            <w:tcW w:w="0" w:type="auto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1553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72%</w:t>
            </w:r>
          </w:p>
        </w:tc>
        <w:tc>
          <w:tcPr>
            <w:tcW w:w="1138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99</w:t>
            </w:r>
          </w:p>
        </w:tc>
      </w:tr>
      <w:tr w:rsidR="00BB292E" w:rsidRPr="00ED2889" w:rsidTr="00B72025">
        <w:trPr>
          <w:trHeight w:val="300"/>
        </w:trPr>
        <w:tc>
          <w:tcPr>
            <w:tcW w:w="0" w:type="auto"/>
            <w:tcBorders>
              <w:right w:val="single" w:sz="12" w:space="0" w:color="000000"/>
            </w:tcBorders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2889">
              <w:rPr>
                <w:rFonts w:ascii="Calibri" w:hAnsi="Calibri" w:cs="Calibri"/>
                <w:b/>
                <w:bCs/>
                <w:color w:val="000000"/>
              </w:rPr>
              <w:t>2010</w:t>
            </w:r>
          </w:p>
        </w:tc>
        <w:tc>
          <w:tcPr>
            <w:tcW w:w="0" w:type="auto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1553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73%</w:t>
            </w:r>
          </w:p>
        </w:tc>
        <w:tc>
          <w:tcPr>
            <w:tcW w:w="1138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127</w:t>
            </w:r>
          </w:p>
        </w:tc>
      </w:tr>
      <w:tr w:rsidR="00BB292E" w:rsidRPr="00ED2889" w:rsidTr="00B72025">
        <w:trPr>
          <w:trHeight w:val="300"/>
        </w:trPr>
        <w:tc>
          <w:tcPr>
            <w:tcW w:w="0" w:type="auto"/>
            <w:tcBorders>
              <w:right w:val="single" w:sz="12" w:space="0" w:color="000000"/>
            </w:tcBorders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2889">
              <w:rPr>
                <w:rFonts w:ascii="Calibri" w:hAnsi="Calibri" w:cs="Calibri"/>
                <w:b/>
                <w:bCs/>
                <w:color w:val="000000"/>
              </w:rPr>
              <w:t>2011</w:t>
            </w:r>
          </w:p>
        </w:tc>
        <w:tc>
          <w:tcPr>
            <w:tcW w:w="0" w:type="auto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1553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72%</w:t>
            </w:r>
          </w:p>
        </w:tc>
        <w:tc>
          <w:tcPr>
            <w:tcW w:w="1138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171</w:t>
            </w:r>
          </w:p>
        </w:tc>
      </w:tr>
      <w:tr w:rsidR="00BB292E" w:rsidRPr="00ED2889" w:rsidTr="00B72025">
        <w:trPr>
          <w:trHeight w:val="300"/>
        </w:trPr>
        <w:tc>
          <w:tcPr>
            <w:tcW w:w="0" w:type="auto"/>
            <w:tcBorders>
              <w:right w:val="single" w:sz="12" w:space="0" w:color="000000"/>
            </w:tcBorders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2889">
              <w:rPr>
                <w:rFonts w:ascii="Calibri" w:hAnsi="Calibri" w:cs="Calibri"/>
                <w:b/>
                <w:bCs/>
                <w:color w:val="000000"/>
              </w:rPr>
              <w:t>2012</w:t>
            </w:r>
          </w:p>
        </w:tc>
        <w:tc>
          <w:tcPr>
            <w:tcW w:w="0" w:type="auto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1553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83%</w:t>
            </w:r>
          </w:p>
        </w:tc>
        <w:tc>
          <w:tcPr>
            <w:tcW w:w="1138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180</w:t>
            </w:r>
          </w:p>
        </w:tc>
      </w:tr>
      <w:tr w:rsidR="00BB292E" w:rsidRPr="00ED2889" w:rsidTr="00B72025">
        <w:trPr>
          <w:trHeight w:val="300"/>
        </w:trPr>
        <w:tc>
          <w:tcPr>
            <w:tcW w:w="0" w:type="auto"/>
            <w:tcBorders>
              <w:right w:val="single" w:sz="12" w:space="0" w:color="000000"/>
            </w:tcBorders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2889">
              <w:rPr>
                <w:rFonts w:ascii="Calibri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0" w:type="auto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22%</w:t>
            </w:r>
          </w:p>
        </w:tc>
        <w:tc>
          <w:tcPr>
            <w:tcW w:w="1553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78%</w:t>
            </w:r>
          </w:p>
        </w:tc>
        <w:tc>
          <w:tcPr>
            <w:tcW w:w="1138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172</w:t>
            </w:r>
          </w:p>
        </w:tc>
      </w:tr>
      <w:tr w:rsidR="00BB292E" w:rsidRPr="00ED2889" w:rsidTr="00B72025">
        <w:trPr>
          <w:trHeight w:val="300"/>
        </w:trPr>
        <w:tc>
          <w:tcPr>
            <w:tcW w:w="0" w:type="auto"/>
            <w:tcBorders>
              <w:right w:val="single" w:sz="12" w:space="0" w:color="000000"/>
            </w:tcBorders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2889">
              <w:rPr>
                <w:rFonts w:ascii="Calibri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0" w:type="auto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19%</w:t>
            </w:r>
          </w:p>
        </w:tc>
        <w:tc>
          <w:tcPr>
            <w:tcW w:w="1553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81%</w:t>
            </w:r>
          </w:p>
        </w:tc>
        <w:tc>
          <w:tcPr>
            <w:tcW w:w="1138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190</w:t>
            </w:r>
          </w:p>
        </w:tc>
      </w:tr>
      <w:tr w:rsidR="00BB292E" w:rsidRPr="00ED2889" w:rsidTr="00B72025">
        <w:trPr>
          <w:trHeight w:val="300"/>
        </w:trPr>
        <w:tc>
          <w:tcPr>
            <w:tcW w:w="0" w:type="auto"/>
            <w:tcBorders>
              <w:right w:val="single" w:sz="12" w:space="0" w:color="000000"/>
            </w:tcBorders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2889">
              <w:rPr>
                <w:rFonts w:ascii="Calibri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0" w:type="auto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24%</w:t>
            </w:r>
          </w:p>
        </w:tc>
        <w:tc>
          <w:tcPr>
            <w:tcW w:w="1553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76%</w:t>
            </w:r>
          </w:p>
        </w:tc>
        <w:tc>
          <w:tcPr>
            <w:tcW w:w="1138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216</w:t>
            </w:r>
          </w:p>
        </w:tc>
      </w:tr>
      <w:tr w:rsidR="00BB292E" w:rsidRPr="00ED2889" w:rsidTr="00B72025">
        <w:trPr>
          <w:trHeight w:val="300"/>
        </w:trPr>
        <w:tc>
          <w:tcPr>
            <w:tcW w:w="0" w:type="auto"/>
            <w:tcBorders>
              <w:right w:val="single" w:sz="12" w:space="0" w:color="000000"/>
            </w:tcBorders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2889">
              <w:rPr>
                <w:rFonts w:ascii="Calibri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0" w:type="auto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1553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83%</w:t>
            </w:r>
          </w:p>
        </w:tc>
        <w:tc>
          <w:tcPr>
            <w:tcW w:w="1138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BB292E" w:rsidRPr="00ED2889" w:rsidTr="00B72025">
        <w:trPr>
          <w:trHeight w:val="300"/>
        </w:trPr>
        <w:tc>
          <w:tcPr>
            <w:tcW w:w="0" w:type="auto"/>
            <w:tcBorders>
              <w:right w:val="single" w:sz="12" w:space="0" w:color="000000"/>
            </w:tcBorders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2889">
              <w:rPr>
                <w:rFonts w:ascii="Calibri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0" w:type="auto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14%</w:t>
            </w:r>
          </w:p>
        </w:tc>
        <w:tc>
          <w:tcPr>
            <w:tcW w:w="1553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86%</w:t>
            </w:r>
          </w:p>
        </w:tc>
        <w:tc>
          <w:tcPr>
            <w:tcW w:w="1138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182</w:t>
            </w:r>
          </w:p>
        </w:tc>
      </w:tr>
      <w:tr w:rsidR="00BB292E" w:rsidRPr="00ED2889" w:rsidTr="00B72025">
        <w:trPr>
          <w:trHeight w:val="300"/>
        </w:trPr>
        <w:tc>
          <w:tcPr>
            <w:tcW w:w="0" w:type="auto"/>
            <w:tcBorders>
              <w:right w:val="single" w:sz="12" w:space="0" w:color="000000"/>
            </w:tcBorders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2889">
              <w:rPr>
                <w:rFonts w:ascii="Calibri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0" w:type="auto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14%</w:t>
            </w:r>
          </w:p>
        </w:tc>
        <w:tc>
          <w:tcPr>
            <w:tcW w:w="1553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86%</w:t>
            </w:r>
          </w:p>
        </w:tc>
        <w:tc>
          <w:tcPr>
            <w:tcW w:w="1138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216</w:t>
            </w:r>
          </w:p>
        </w:tc>
      </w:tr>
      <w:tr w:rsidR="00BB292E" w:rsidRPr="00ED2889" w:rsidTr="00B72025">
        <w:trPr>
          <w:trHeight w:val="300"/>
        </w:trPr>
        <w:tc>
          <w:tcPr>
            <w:tcW w:w="0" w:type="auto"/>
            <w:tcBorders>
              <w:right w:val="single" w:sz="12" w:space="0" w:color="000000"/>
            </w:tcBorders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2889">
              <w:rPr>
                <w:rFonts w:ascii="Calibri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0" w:type="auto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13%</w:t>
            </w:r>
          </w:p>
        </w:tc>
        <w:tc>
          <w:tcPr>
            <w:tcW w:w="1553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87%</w:t>
            </w:r>
          </w:p>
        </w:tc>
        <w:tc>
          <w:tcPr>
            <w:tcW w:w="1138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194</w:t>
            </w:r>
          </w:p>
        </w:tc>
      </w:tr>
      <w:tr w:rsidR="00BB292E" w:rsidRPr="00ED2889" w:rsidTr="00B72025">
        <w:trPr>
          <w:trHeight w:val="315"/>
        </w:trPr>
        <w:tc>
          <w:tcPr>
            <w:tcW w:w="0" w:type="auto"/>
            <w:tcBorders>
              <w:right w:val="single" w:sz="12" w:space="0" w:color="000000"/>
            </w:tcBorders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2889"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0" w:type="auto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1553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85%</w:t>
            </w:r>
          </w:p>
        </w:tc>
        <w:tc>
          <w:tcPr>
            <w:tcW w:w="1138" w:type="dxa"/>
            <w:noWrap/>
            <w:vAlign w:val="center"/>
            <w:hideMark/>
          </w:tcPr>
          <w:p w:rsidR="00BB292E" w:rsidRPr="00ED2889" w:rsidRDefault="00BB292E" w:rsidP="003965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D2889">
              <w:rPr>
                <w:rFonts w:ascii="Calibri" w:hAnsi="Calibri" w:cs="Calibri"/>
                <w:color w:val="000000"/>
              </w:rPr>
              <w:t>184</w:t>
            </w:r>
          </w:p>
        </w:tc>
      </w:tr>
    </w:tbl>
    <w:p w:rsidR="0039659A" w:rsidRDefault="0039659A" w:rsidP="0039659A">
      <w:pPr>
        <w:spacing w:before="240" w:line="276" w:lineRule="auto"/>
        <w:rPr>
          <w:rFonts w:ascii="Arial" w:hAnsi="Arial" w:cs="Arial"/>
          <w:sz w:val="20"/>
          <w:lang w:val="en-GB"/>
        </w:rPr>
      </w:pPr>
    </w:p>
    <w:p w:rsidR="0039659A" w:rsidRPr="0039659A" w:rsidRDefault="0039659A" w:rsidP="0039659A">
      <w:pPr>
        <w:spacing w:before="240" w:line="276" w:lineRule="auto"/>
        <w:rPr>
          <w:rFonts w:ascii="Arial" w:hAnsi="Arial" w:cs="Arial"/>
          <w:sz w:val="20"/>
          <w:szCs w:val="20"/>
          <w:lang w:val="en-GB"/>
        </w:rPr>
      </w:pPr>
      <w:r w:rsidRPr="0039659A">
        <w:rPr>
          <w:rFonts w:ascii="Arial" w:hAnsi="Arial" w:cs="Arial"/>
          <w:noProof/>
          <w:sz w:val="20"/>
          <w:szCs w:val="20"/>
          <w:lang w:eastAsia="de-DE"/>
        </w:rPr>
        <w:lastRenderedPageBreak/>
        <w:drawing>
          <wp:inline distT="0" distB="0" distL="0" distR="0">
            <wp:extent cx="6045672" cy="610905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S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672" cy="610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59A" w:rsidRPr="0039659A" w:rsidRDefault="0039659A" w:rsidP="0039659A">
      <w:pPr>
        <w:spacing w:before="240" w:line="276" w:lineRule="auto"/>
        <w:rPr>
          <w:rFonts w:ascii="Arial" w:hAnsi="Arial" w:cs="Arial"/>
          <w:sz w:val="20"/>
          <w:szCs w:val="20"/>
          <w:lang w:val="en-GB"/>
        </w:rPr>
      </w:pPr>
      <w:r w:rsidRPr="0039659A">
        <w:rPr>
          <w:rFonts w:ascii="Arial" w:hAnsi="Arial" w:cs="Arial"/>
          <w:b/>
          <w:sz w:val="20"/>
          <w:szCs w:val="20"/>
          <w:lang w:val="en-GB"/>
        </w:rPr>
        <w:t>Figure S</w:t>
      </w:r>
      <w:r w:rsidR="00BD5CEF">
        <w:rPr>
          <w:rFonts w:ascii="Arial" w:hAnsi="Arial" w:cs="Arial"/>
          <w:b/>
          <w:sz w:val="20"/>
          <w:szCs w:val="20"/>
          <w:lang w:val="en-GB"/>
        </w:rPr>
        <w:t>1</w:t>
      </w:r>
      <w:r w:rsidRPr="0039659A">
        <w:rPr>
          <w:rFonts w:ascii="Arial" w:hAnsi="Arial" w:cs="Arial"/>
          <w:b/>
          <w:sz w:val="20"/>
          <w:szCs w:val="20"/>
          <w:lang w:val="en-GB"/>
        </w:rPr>
        <w:t>.</w:t>
      </w:r>
      <w:r w:rsidRPr="0039659A">
        <w:rPr>
          <w:rFonts w:ascii="Arial" w:hAnsi="Arial" w:cs="Arial"/>
          <w:sz w:val="20"/>
          <w:szCs w:val="20"/>
          <w:lang w:val="en-GB"/>
        </w:rPr>
        <w:t xml:space="preserve"> Correlation coefficients between the four variables </w:t>
      </w:r>
      <w:proofErr w:type="spellStart"/>
      <w:r w:rsidRPr="0039659A">
        <w:rPr>
          <w:rFonts w:ascii="Arial" w:hAnsi="Arial" w:cs="Arial"/>
          <w:sz w:val="20"/>
          <w:szCs w:val="20"/>
          <w:lang w:val="en-GB"/>
        </w:rPr>
        <w:t>M</w:t>
      </w:r>
      <w:r w:rsidR="001D5F28">
        <w:rPr>
          <w:rFonts w:ascii="Arial" w:hAnsi="Arial" w:cs="Arial"/>
          <w:sz w:val="20"/>
          <w:szCs w:val="20"/>
          <w:lang w:val="en-GB"/>
        </w:rPr>
        <w:t>ax</w:t>
      </w:r>
      <w:r w:rsidRPr="0039659A">
        <w:rPr>
          <w:rFonts w:ascii="Arial" w:hAnsi="Arial" w:cs="Arial"/>
          <w:sz w:val="20"/>
          <w:szCs w:val="20"/>
          <w:lang w:val="en-GB"/>
        </w:rPr>
        <w:t>G</w:t>
      </w:r>
      <w:r w:rsidR="001D5F28">
        <w:rPr>
          <w:rFonts w:ascii="Arial" w:hAnsi="Arial" w:cs="Arial"/>
          <w:sz w:val="20"/>
          <w:szCs w:val="20"/>
          <w:lang w:val="en-GB"/>
        </w:rPr>
        <w:t>rey</w:t>
      </w:r>
      <w:proofErr w:type="spellEnd"/>
      <w:r w:rsidRPr="0039659A">
        <w:rPr>
          <w:rFonts w:ascii="Arial" w:hAnsi="Arial" w:cs="Arial"/>
          <w:sz w:val="20"/>
          <w:szCs w:val="20"/>
          <w:lang w:val="en-GB"/>
        </w:rPr>
        <w:t xml:space="preserve"> (maximum count of Greylag Geese during moult), </w:t>
      </w:r>
      <w:proofErr w:type="spellStart"/>
      <w:r w:rsidRPr="0039659A">
        <w:rPr>
          <w:rFonts w:ascii="Arial" w:hAnsi="Arial" w:cs="Arial"/>
          <w:sz w:val="20"/>
          <w:szCs w:val="20"/>
          <w:lang w:val="en-GB"/>
        </w:rPr>
        <w:t>P</w:t>
      </w:r>
      <w:r w:rsidR="001D5F28">
        <w:rPr>
          <w:rFonts w:ascii="Arial" w:hAnsi="Arial" w:cs="Arial"/>
          <w:sz w:val="20"/>
          <w:szCs w:val="20"/>
          <w:lang w:val="en-GB"/>
        </w:rPr>
        <w:t>airs</w:t>
      </w:r>
      <w:r w:rsidRPr="0039659A">
        <w:rPr>
          <w:rFonts w:ascii="Arial" w:hAnsi="Arial" w:cs="Arial"/>
          <w:sz w:val="20"/>
          <w:szCs w:val="20"/>
          <w:lang w:val="en-GB"/>
        </w:rPr>
        <w:t>G</w:t>
      </w:r>
      <w:r w:rsidR="001D5F28">
        <w:rPr>
          <w:rFonts w:ascii="Arial" w:hAnsi="Arial" w:cs="Arial"/>
          <w:sz w:val="20"/>
          <w:szCs w:val="20"/>
          <w:lang w:val="en-GB"/>
        </w:rPr>
        <w:t>rey</w:t>
      </w:r>
      <w:proofErr w:type="spellEnd"/>
      <w:r w:rsidRPr="0039659A">
        <w:rPr>
          <w:rFonts w:ascii="Arial" w:hAnsi="Arial" w:cs="Arial"/>
          <w:sz w:val="20"/>
          <w:szCs w:val="20"/>
          <w:lang w:val="en-GB"/>
        </w:rPr>
        <w:t xml:space="preserve"> (number of Greylag Goose pairs), </w:t>
      </w:r>
      <w:proofErr w:type="spellStart"/>
      <w:r w:rsidRPr="0039659A">
        <w:rPr>
          <w:rFonts w:ascii="Arial" w:hAnsi="Arial" w:cs="Arial"/>
          <w:sz w:val="20"/>
          <w:szCs w:val="20"/>
          <w:lang w:val="en-GB"/>
        </w:rPr>
        <w:t>M</w:t>
      </w:r>
      <w:r w:rsidR="001D5F28">
        <w:rPr>
          <w:rFonts w:ascii="Arial" w:hAnsi="Arial" w:cs="Arial"/>
          <w:sz w:val="20"/>
          <w:szCs w:val="20"/>
          <w:lang w:val="en-GB"/>
        </w:rPr>
        <w:t>ax</w:t>
      </w:r>
      <w:r w:rsidRPr="0039659A">
        <w:rPr>
          <w:rFonts w:ascii="Arial" w:hAnsi="Arial" w:cs="Arial"/>
          <w:sz w:val="20"/>
          <w:szCs w:val="20"/>
          <w:lang w:val="en-GB"/>
        </w:rPr>
        <w:t>E</w:t>
      </w:r>
      <w:r w:rsidR="001D5F28">
        <w:rPr>
          <w:rFonts w:ascii="Arial" w:hAnsi="Arial" w:cs="Arial"/>
          <w:sz w:val="20"/>
          <w:szCs w:val="20"/>
          <w:lang w:val="en-GB"/>
        </w:rPr>
        <w:t>gypt</w:t>
      </w:r>
      <w:proofErr w:type="spellEnd"/>
      <w:r w:rsidRPr="0039659A">
        <w:rPr>
          <w:rFonts w:ascii="Arial" w:hAnsi="Arial" w:cs="Arial"/>
          <w:sz w:val="20"/>
          <w:szCs w:val="20"/>
          <w:lang w:val="en-GB"/>
        </w:rPr>
        <w:t xml:space="preserve"> (maximum count of Egyptian Geese in a year) and P</w:t>
      </w:r>
      <w:r w:rsidR="001D5F28">
        <w:rPr>
          <w:rFonts w:ascii="Arial" w:hAnsi="Arial" w:cs="Arial"/>
          <w:sz w:val="20"/>
          <w:szCs w:val="20"/>
          <w:lang w:val="en-GB"/>
        </w:rPr>
        <w:t>airs</w:t>
      </w:r>
      <w:r w:rsidRPr="0039659A">
        <w:rPr>
          <w:rFonts w:ascii="Arial" w:hAnsi="Arial" w:cs="Arial"/>
          <w:sz w:val="20"/>
          <w:szCs w:val="20"/>
          <w:lang w:val="en-GB"/>
        </w:rPr>
        <w:t>E</w:t>
      </w:r>
      <w:r w:rsidR="001D5F28">
        <w:rPr>
          <w:rFonts w:ascii="Arial" w:hAnsi="Arial" w:cs="Arial"/>
          <w:sz w:val="20"/>
          <w:szCs w:val="20"/>
          <w:lang w:val="en-GB"/>
        </w:rPr>
        <w:t>gypt</w:t>
      </w:r>
      <w:bookmarkStart w:id="0" w:name="_GoBack"/>
      <w:bookmarkEnd w:id="0"/>
      <w:r w:rsidRPr="0039659A">
        <w:rPr>
          <w:rFonts w:ascii="Arial" w:hAnsi="Arial" w:cs="Arial"/>
          <w:sz w:val="20"/>
          <w:szCs w:val="20"/>
          <w:lang w:val="en-GB"/>
        </w:rPr>
        <w:t xml:space="preserve"> (number of Egyptian Goose pairs).</w:t>
      </w:r>
    </w:p>
    <w:p w:rsidR="0039659A" w:rsidRPr="0039659A" w:rsidRDefault="0039659A" w:rsidP="0039659A">
      <w:pPr>
        <w:spacing w:before="240" w:line="276" w:lineRule="auto"/>
        <w:rPr>
          <w:rFonts w:ascii="Arial" w:hAnsi="Arial" w:cs="Arial"/>
          <w:sz w:val="20"/>
          <w:szCs w:val="20"/>
          <w:lang w:val="en-GB"/>
        </w:rPr>
      </w:pPr>
    </w:p>
    <w:p w:rsidR="00BD5CEF" w:rsidRDefault="00BD5CEF" w:rsidP="00BD5CEF">
      <w:pPr>
        <w:spacing w:before="240" w:line="276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noProof/>
          <w:lang w:eastAsia="de-DE"/>
        </w:rPr>
        <w:lastRenderedPageBreak/>
        <w:drawing>
          <wp:inline distT="0" distB="0" distL="0" distR="0">
            <wp:extent cx="4966546" cy="3522847"/>
            <wp:effectExtent l="19050" t="0" r="5504" b="0"/>
            <wp:docPr id="3" name="Grafik 2" descr="Fig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S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546" cy="352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EF" w:rsidRDefault="00BD5CEF" w:rsidP="00BD5CEF">
      <w:pPr>
        <w:spacing w:before="240" w:line="276" w:lineRule="auto"/>
        <w:rPr>
          <w:rFonts w:ascii="Arial" w:hAnsi="Arial" w:cs="Arial"/>
          <w:sz w:val="20"/>
          <w:lang w:val="en-GB"/>
        </w:rPr>
      </w:pPr>
      <w:r w:rsidRPr="0039659A">
        <w:rPr>
          <w:rFonts w:ascii="Arial" w:hAnsi="Arial" w:cs="Arial"/>
          <w:b/>
          <w:sz w:val="20"/>
          <w:lang w:val="en-GB"/>
        </w:rPr>
        <w:t>Figure S</w:t>
      </w:r>
      <w:r>
        <w:rPr>
          <w:rFonts w:ascii="Arial" w:hAnsi="Arial" w:cs="Arial"/>
          <w:b/>
          <w:sz w:val="20"/>
          <w:lang w:val="en-GB"/>
        </w:rPr>
        <w:t>2</w:t>
      </w:r>
      <w:r w:rsidRPr="0039659A">
        <w:rPr>
          <w:rFonts w:ascii="Arial" w:hAnsi="Arial" w:cs="Arial"/>
          <w:b/>
          <w:sz w:val="20"/>
          <w:lang w:val="en-GB"/>
        </w:rPr>
        <w:t>.</w:t>
      </w:r>
      <w:r w:rsidRPr="00BF49F1">
        <w:rPr>
          <w:rFonts w:ascii="Arial" w:hAnsi="Arial" w:cs="Arial"/>
          <w:sz w:val="20"/>
          <w:lang w:val="en-GB"/>
        </w:rPr>
        <w:t xml:space="preserve"> Number of </w:t>
      </w:r>
      <w:proofErr w:type="spellStart"/>
      <w:r w:rsidR="00734373">
        <w:rPr>
          <w:rFonts w:ascii="Arial" w:hAnsi="Arial" w:cs="Arial"/>
          <w:sz w:val="20"/>
          <w:lang w:val="en-GB"/>
        </w:rPr>
        <w:t>dispering</w:t>
      </w:r>
      <w:proofErr w:type="spellEnd"/>
      <w:r w:rsidRPr="00BF49F1">
        <w:rPr>
          <w:rFonts w:ascii="Arial" w:hAnsi="Arial" w:cs="Arial"/>
          <w:sz w:val="20"/>
          <w:lang w:val="en-GB"/>
        </w:rPr>
        <w:t xml:space="preserve"> pairs per year</w:t>
      </w:r>
      <w:r>
        <w:rPr>
          <w:rFonts w:ascii="Arial" w:hAnsi="Arial" w:cs="Arial"/>
          <w:sz w:val="20"/>
          <w:lang w:val="en-GB"/>
        </w:rPr>
        <w:t xml:space="preserve">. Some pairs </w:t>
      </w:r>
      <w:r w:rsidR="00734373">
        <w:rPr>
          <w:rFonts w:ascii="Arial" w:hAnsi="Arial" w:cs="Arial"/>
          <w:sz w:val="20"/>
          <w:lang w:val="en-GB"/>
        </w:rPr>
        <w:t xml:space="preserve">dispersed </w:t>
      </w:r>
      <w:r>
        <w:rPr>
          <w:rFonts w:ascii="Arial" w:hAnsi="Arial" w:cs="Arial"/>
          <w:sz w:val="20"/>
          <w:lang w:val="en-GB"/>
        </w:rPr>
        <w:t>in several years.</w:t>
      </w:r>
    </w:p>
    <w:p w:rsidR="007854F7" w:rsidRDefault="007854F7">
      <w:pPr>
        <w:rPr>
          <w:rFonts w:ascii="Arial" w:hAnsi="Arial" w:cs="Arial"/>
          <w:b/>
          <w:sz w:val="20"/>
          <w:lang w:val="en-GB"/>
        </w:rPr>
      </w:pPr>
    </w:p>
    <w:p w:rsidR="007854F7" w:rsidRDefault="007854F7" w:rsidP="007854F7">
      <w:pPr>
        <w:spacing w:line="276" w:lineRule="auto"/>
        <w:rPr>
          <w:rFonts w:ascii="Arial" w:hAnsi="Arial" w:cs="Arial"/>
          <w:sz w:val="20"/>
          <w:lang w:val="en-GB"/>
        </w:rPr>
      </w:pPr>
      <w:r w:rsidRPr="0039659A">
        <w:rPr>
          <w:rFonts w:ascii="Arial" w:hAnsi="Arial" w:cs="Arial"/>
          <w:b/>
          <w:sz w:val="20"/>
          <w:lang w:val="en-GB"/>
        </w:rPr>
        <w:t>Table S2.</w:t>
      </w:r>
      <w:r w:rsidRPr="00594D11">
        <w:rPr>
          <w:rFonts w:ascii="Arial" w:hAnsi="Arial" w:cs="Arial"/>
          <w:sz w:val="20"/>
          <w:lang w:val="en-GB"/>
        </w:rPr>
        <w:t xml:space="preserve"> Parameter estimates for the </w:t>
      </w:r>
      <w:r>
        <w:rPr>
          <w:rFonts w:ascii="Arial" w:hAnsi="Arial" w:cs="Arial"/>
          <w:sz w:val="20"/>
          <w:lang w:val="en-GB"/>
        </w:rPr>
        <w:t>six</w:t>
      </w:r>
      <w:r w:rsidRPr="00594D11">
        <w:rPr>
          <w:rFonts w:ascii="Arial" w:hAnsi="Arial" w:cs="Arial"/>
          <w:sz w:val="20"/>
          <w:lang w:val="en-GB"/>
        </w:rPr>
        <w:t xml:space="preserve"> models with the lowest </w:t>
      </w:r>
      <w:proofErr w:type="spellStart"/>
      <w:r w:rsidRPr="00594D11">
        <w:rPr>
          <w:rFonts w:ascii="Arial" w:hAnsi="Arial" w:cs="Arial"/>
          <w:sz w:val="20"/>
          <w:lang w:val="en-GB"/>
        </w:rPr>
        <w:t>AICc</w:t>
      </w:r>
      <w:proofErr w:type="spellEnd"/>
      <w:r w:rsidRPr="00594D11">
        <w:rPr>
          <w:rFonts w:ascii="Arial" w:hAnsi="Arial" w:cs="Arial"/>
          <w:sz w:val="20"/>
          <w:lang w:val="en-GB"/>
        </w:rPr>
        <w:t>, which describe the effect of each explanatory variable in the various models on the probability of hatchling survival</w:t>
      </w:r>
      <w:r>
        <w:rPr>
          <w:rFonts w:ascii="Arial" w:hAnsi="Arial" w:cs="Arial"/>
          <w:sz w:val="20"/>
          <w:lang w:val="en-GB"/>
        </w:rPr>
        <w:t xml:space="preserve"> </w:t>
      </w:r>
      <w:r w:rsidRPr="00594D11">
        <w:rPr>
          <w:rFonts w:ascii="Arial" w:hAnsi="Arial" w:cs="Arial"/>
          <w:sz w:val="20"/>
          <w:lang w:val="en-GB"/>
        </w:rPr>
        <w:t xml:space="preserve">of Greylag Geese. Grey shaded models contain variables with strong collinearity. The last line shows the cumulative variable </w:t>
      </w:r>
      <w:proofErr w:type="spellStart"/>
      <w:r w:rsidRPr="00594D11">
        <w:rPr>
          <w:rFonts w:ascii="Arial" w:hAnsi="Arial" w:cs="Arial"/>
          <w:sz w:val="20"/>
          <w:lang w:val="en-GB"/>
        </w:rPr>
        <w:t>Akaike</w:t>
      </w:r>
      <w:proofErr w:type="spellEnd"/>
      <w:r w:rsidRPr="00594D11">
        <w:rPr>
          <w:rFonts w:ascii="Arial" w:hAnsi="Arial" w:cs="Arial"/>
          <w:sz w:val="20"/>
          <w:lang w:val="en-GB"/>
        </w:rPr>
        <w:t xml:space="preserve"> weight (</w:t>
      </w:r>
      <w:proofErr w:type="spellStart"/>
      <w:proofErr w:type="gramStart"/>
      <w:r w:rsidRPr="00594D11">
        <w:rPr>
          <w:rFonts w:ascii="Arial" w:hAnsi="Arial" w:cs="Arial"/>
          <w:i/>
          <w:iCs/>
          <w:sz w:val="20"/>
          <w:lang w:val="en-GB"/>
        </w:rPr>
        <w:t>w</w:t>
      </w:r>
      <w:r w:rsidRPr="00594D11">
        <w:rPr>
          <w:rFonts w:ascii="Arial" w:hAnsi="Arial" w:cs="Arial"/>
          <w:i/>
          <w:iCs/>
          <w:sz w:val="20"/>
          <w:vertAlign w:val="subscript"/>
          <w:lang w:val="en-GB"/>
        </w:rPr>
        <w:t>i</w:t>
      </w:r>
      <w:proofErr w:type="spellEnd"/>
      <w:proofErr w:type="gramEnd"/>
      <w:r w:rsidRPr="00594D11">
        <w:rPr>
          <w:rFonts w:ascii="Arial" w:hAnsi="Arial" w:cs="Arial"/>
          <w:sz w:val="20"/>
          <w:lang w:val="en-GB"/>
        </w:rPr>
        <w:t>) for each variable</w:t>
      </w:r>
      <w:r>
        <w:rPr>
          <w:rFonts w:ascii="Arial" w:hAnsi="Arial" w:cs="Arial"/>
          <w:sz w:val="20"/>
          <w:lang w:val="en-GB"/>
        </w:rPr>
        <w:t xml:space="preserve"> for all models (n = 2099)</w:t>
      </w:r>
      <w:r w:rsidRPr="00594D11">
        <w:rPr>
          <w:rFonts w:ascii="Arial" w:hAnsi="Arial" w:cs="Arial"/>
          <w:sz w:val="20"/>
          <w:lang w:val="en-GB"/>
        </w:rPr>
        <w:t xml:space="preserve">. Greylag Geese: </w:t>
      </w:r>
      <w:r w:rsidR="00734373" w:rsidRPr="00734373">
        <w:rPr>
          <w:rFonts w:ascii="Arial" w:hAnsi="Arial" w:cs="Arial"/>
          <w:sz w:val="20"/>
          <w:lang w:val="en-GB"/>
        </w:rPr>
        <w:t>Dispersal, whether a pair dispersed with their young or not (yes/no)</w:t>
      </w:r>
      <w:r w:rsidRPr="00594D11">
        <w:rPr>
          <w:rFonts w:ascii="Arial" w:hAnsi="Arial" w:cs="Arial"/>
          <w:sz w:val="20"/>
          <w:lang w:val="en-GB"/>
        </w:rPr>
        <w:t xml:space="preserve">; </w:t>
      </w:r>
      <w:r w:rsidR="002C13E5">
        <w:rPr>
          <w:rFonts w:ascii="Arial" w:hAnsi="Arial" w:cs="Arial"/>
          <w:sz w:val="20"/>
          <w:lang w:val="en-GB"/>
        </w:rPr>
        <w:t>Hatchlings</w:t>
      </w:r>
      <w:r w:rsidRPr="00594D11">
        <w:rPr>
          <w:rFonts w:ascii="Arial" w:hAnsi="Arial" w:cs="Arial"/>
          <w:sz w:val="20"/>
          <w:lang w:val="en-GB"/>
        </w:rPr>
        <w:t xml:space="preserve">, number of hatchlings per brood; </w:t>
      </w:r>
      <w:proofErr w:type="spellStart"/>
      <w:r w:rsidR="002C13E5">
        <w:rPr>
          <w:rFonts w:ascii="Arial" w:hAnsi="Arial" w:cs="Arial"/>
          <w:sz w:val="20"/>
          <w:lang w:val="en-GB"/>
        </w:rPr>
        <w:t>MaxGrey</w:t>
      </w:r>
      <w:proofErr w:type="spellEnd"/>
      <w:r w:rsidRPr="00594D11">
        <w:rPr>
          <w:rFonts w:ascii="Arial" w:hAnsi="Arial" w:cs="Arial"/>
          <w:sz w:val="20"/>
          <w:lang w:val="en-GB"/>
        </w:rPr>
        <w:t xml:space="preserve">, maximum annual count during moult; </w:t>
      </w:r>
      <w:proofErr w:type="spellStart"/>
      <w:r w:rsidRPr="00594D11">
        <w:rPr>
          <w:rFonts w:ascii="Arial" w:hAnsi="Arial" w:cs="Arial"/>
          <w:sz w:val="20"/>
          <w:lang w:val="en-GB"/>
        </w:rPr>
        <w:t>P</w:t>
      </w:r>
      <w:r w:rsidR="002C13E5">
        <w:rPr>
          <w:rFonts w:ascii="Arial" w:hAnsi="Arial" w:cs="Arial"/>
          <w:sz w:val="20"/>
          <w:lang w:val="en-GB"/>
        </w:rPr>
        <w:t>airs</w:t>
      </w:r>
      <w:r w:rsidRPr="00594D11">
        <w:rPr>
          <w:rFonts w:ascii="Arial" w:hAnsi="Arial" w:cs="Arial"/>
          <w:sz w:val="20"/>
          <w:lang w:val="en-GB"/>
        </w:rPr>
        <w:t>G</w:t>
      </w:r>
      <w:r w:rsidR="002C13E5">
        <w:rPr>
          <w:rFonts w:ascii="Arial" w:hAnsi="Arial" w:cs="Arial"/>
          <w:sz w:val="20"/>
          <w:lang w:val="en-GB"/>
        </w:rPr>
        <w:t>rey</w:t>
      </w:r>
      <w:proofErr w:type="spellEnd"/>
      <w:r w:rsidRPr="00594D11">
        <w:rPr>
          <w:rFonts w:ascii="Arial" w:hAnsi="Arial" w:cs="Arial"/>
          <w:sz w:val="20"/>
          <w:lang w:val="en-GB"/>
        </w:rPr>
        <w:t xml:space="preserve">, number of breeding pairs. Egyptian Geese: </w:t>
      </w:r>
      <w:proofErr w:type="spellStart"/>
      <w:r w:rsidRPr="00594D11">
        <w:rPr>
          <w:rFonts w:ascii="Arial" w:hAnsi="Arial" w:cs="Arial"/>
          <w:sz w:val="20"/>
          <w:lang w:val="en-GB"/>
        </w:rPr>
        <w:t>P</w:t>
      </w:r>
      <w:r w:rsidR="002C13E5">
        <w:rPr>
          <w:rFonts w:ascii="Arial" w:hAnsi="Arial" w:cs="Arial"/>
          <w:sz w:val="20"/>
          <w:lang w:val="en-GB"/>
        </w:rPr>
        <w:t>airs</w:t>
      </w:r>
      <w:r w:rsidRPr="00594D11">
        <w:rPr>
          <w:rFonts w:ascii="Arial" w:hAnsi="Arial" w:cs="Arial"/>
          <w:sz w:val="20"/>
          <w:lang w:val="en-GB"/>
        </w:rPr>
        <w:t>E</w:t>
      </w:r>
      <w:r w:rsidR="002C13E5">
        <w:rPr>
          <w:rFonts w:ascii="Arial" w:hAnsi="Arial" w:cs="Arial"/>
          <w:sz w:val="20"/>
          <w:lang w:val="en-GB"/>
        </w:rPr>
        <w:t>gypt</w:t>
      </w:r>
      <w:proofErr w:type="spellEnd"/>
      <w:r w:rsidRPr="00594D11">
        <w:rPr>
          <w:rFonts w:ascii="Arial" w:hAnsi="Arial" w:cs="Arial"/>
          <w:sz w:val="20"/>
          <w:lang w:val="en-GB"/>
        </w:rPr>
        <w:t>, number of breeding pairs.</w:t>
      </w:r>
    </w:p>
    <w:tbl>
      <w:tblPr>
        <w:tblW w:w="86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992"/>
        <w:gridCol w:w="1276"/>
        <w:gridCol w:w="981"/>
        <w:gridCol w:w="578"/>
        <w:gridCol w:w="851"/>
        <w:gridCol w:w="709"/>
        <w:gridCol w:w="1275"/>
        <w:gridCol w:w="1246"/>
      </w:tblGrid>
      <w:tr w:rsidR="007854F7" w:rsidTr="00F624F5">
        <w:trPr>
          <w:trHeight w:val="320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57FA3">
              <w:rPr>
                <w:rFonts w:ascii="Arial" w:hAnsi="Arial" w:cs="Arial"/>
                <w:b/>
                <w:bCs/>
                <w:lang w:val="en-GB"/>
              </w:rPr>
              <w:t>Model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357FA3">
              <w:rPr>
                <w:rFonts w:ascii="Arial" w:hAnsi="Arial" w:cs="Arial"/>
                <w:b/>
                <w:bCs/>
                <w:color w:val="000000"/>
              </w:rPr>
              <w:t>Intercept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34373" w:rsidP="00C8245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Dispersal</w:t>
            </w:r>
            <w:proofErr w:type="spellEnd"/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2C13E5" w:rsidP="00C8245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Hatch</w:t>
            </w:r>
            <w:r w:rsidR="00F624F5">
              <w:rPr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>lings</w:t>
            </w:r>
            <w:proofErr w:type="spellEnd"/>
          </w:p>
        </w:tc>
        <w:tc>
          <w:tcPr>
            <w:tcW w:w="5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2C13E5" w:rsidP="00C8245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MaxGrey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854F7" w:rsidRPr="00357FA3" w:rsidRDefault="002C13E5" w:rsidP="00C8245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Pairs</w:t>
            </w:r>
            <w:r w:rsidR="00F624F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Grey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7FA3"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="002C13E5">
              <w:rPr>
                <w:rFonts w:ascii="Arial" w:hAnsi="Arial" w:cs="Arial"/>
                <w:b/>
                <w:bCs/>
                <w:color w:val="000000"/>
              </w:rPr>
              <w:t>airs</w:t>
            </w:r>
            <w:r w:rsidR="00F624F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57FA3"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="002C13E5">
              <w:rPr>
                <w:rFonts w:ascii="Arial" w:hAnsi="Arial" w:cs="Arial"/>
                <w:b/>
                <w:bCs/>
                <w:color w:val="000000"/>
              </w:rPr>
              <w:t>gypt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34373" w:rsidP="002C13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Dispersal</w:t>
            </w:r>
            <w:proofErr w:type="spellEnd"/>
            <w:r w:rsidR="007854F7">
              <w:rPr>
                <w:rFonts w:ascii="Arial" w:hAnsi="Arial" w:cs="Arial"/>
                <w:b/>
                <w:bCs/>
                <w:color w:val="000000"/>
                <w:lang w:val="fr-CH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lang w:val="fr-CH"/>
              </w:rPr>
              <w:t xml:space="preserve"> </w:t>
            </w:r>
            <w:proofErr w:type="spellStart"/>
            <w:r w:rsidR="002C13E5">
              <w:rPr>
                <w:rFonts w:ascii="Arial" w:hAnsi="Arial" w:cs="Arial"/>
                <w:b/>
                <w:bCs/>
                <w:color w:val="000000"/>
              </w:rPr>
              <w:t>Hatchlings</w:t>
            </w:r>
            <w:proofErr w:type="spellEnd"/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34373" w:rsidP="002C13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Dispersal</w:t>
            </w:r>
            <w:proofErr w:type="spellEnd"/>
            <w:r w:rsidR="007854F7">
              <w:rPr>
                <w:rFonts w:ascii="Arial" w:hAnsi="Arial" w:cs="Arial"/>
                <w:b/>
                <w:bCs/>
                <w:color w:val="000000"/>
                <w:lang w:val="fr-CH"/>
              </w:rPr>
              <w:t>*</w:t>
            </w:r>
            <w:proofErr w:type="spellStart"/>
            <w:r w:rsidR="007854F7" w:rsidRPr="00357FA3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2C13E5">
              <w:rPr>
                <w:rFonts w:ascii="Arial" w:hAnsi="Arial" w:cs="Arial"/>
                <w:b/>
                <w:bCs/>
                <w:color w:val="000000"/>
              </w:rPr>
              <w:t>ax</w:t>
            </w:r>
            <w:r w:rsidR="007854F7" w:rsidRPr="00357FA3">
              <w:rPr>
                <w:rFonts w:ascii="Arial" w:hAnsi="Arial" w:cs="Arial"/>
                <w:b/>
                <w:bCs/>
                <w:color w:val="000000"/>
              </w:rPr>
              <w:t>G</w:t>
            </w:r>
            <w:r w:rsidR="002C13E5">
              <w:rPr>
                <w:rFonts w:ascii="Arial" w:hAnsi="Arial" w:cs="Arial"/>
                <w:b/>
                <w:bCs/>
                <w:color w:val="000000"/>
              </w:rPr>
              <w:t>rey</w:t>
            </w:r>
            <w:proofErr w:type="spellEnd"/>
          </w:p>
        </w:tc>
      </w:tr>
      <w:tr w:rsidR="007854F7" w:rsidTr="00F624F5">
        <w:trPr>
          <w:trHeight w:val="320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M1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0.55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0.69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0.19</w:t>
            </w:r>
          </w:p>
        </w:tc>
        <w:tc>
          <w:tcPr>
            <w:tcW w:w="5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-0.65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-0.30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54F7" w:rsidTr="00F624F5">
        <w:trPr>
          <w:trHeight w:val="320"/>
        </w:trPr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0.19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-0.50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-0.41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-0.31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F15EC2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54F7" w:rsidTr="00F624F5">
        <w:trPr>
          <w:trHeight w:val="320"/>
        </w:trPr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M3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-0.62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-0.28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0.11</w:t>
            </w:r>
          </w:p>
        </w:tc>
      </w:tr>
      <w:tr w:rsidR="007854F7" w:rsidTr="00F624F5">
        <w:trPr>
          <w:trHeight w:val="320"/>
        </w:trPr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M4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-0.64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854F7" w:rsidTr="00F624F5">
        <w:trPr>
          <w:trHeight w:val="320"/>
        </w:trPr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  <w:highlight w:val="lightGray"/>
              </w:rPr>
            </w:pPr>
            <w:r w:rsidRPr="00357FA3">
              <w:rPr>
                <w:rFonts w:ascii="Arial" w:hAnsi="Arial" w:cs="Arial"/>
                <w:color w:val="000000"/>
                <w:highlight w:val="lightGray"/>
              </w:rPr>
              <w:t>M5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0.19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-0.55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-0.14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-0.30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54F7" w:rsidTr="00F624F5">
        <w:trPr>
          <w:trHeight w:val="320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  <w:highlight w:val="lightGray"/>
              </w:rPr>
            </w:pPr>
            <w:r w:rsidRPr="00357FA3">
              <w:rPr>
                <w:rFonts w:ascii="Arial" w:hAnsi="Arial" w:cs="Arial"/>
                <w:color w:val="000000"/>
                <w:highlight w:val="lightGray"/>
              </w:rPr>
              <w:t>M6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0.19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-0.59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-0.11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-0.31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54F7" w:rsidTr="00F624F5">
        <w:trPr>
          <w:trHeight w:val="320"/>
        </w:trPr>
        <w:tc>
          <w:tcPr>
            <w:tcW w:w="17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</w:rPr>
            </w:pPr>
            <w:r w:rsidRPr="00357FA3">
              <w:rPr>
                <w:rFonts w:ascii="Arial" w:hAnsi="Arial" w:cs="Arial"/>
                <w:b/>
                <w:bCs/>
                <w:lang w:val="en-GB"/>
              </w:rPr>
              <w:t>Variable weight (</w:t>
            </w:r>
            <w:proofErr w:type="spellStart"/>
            <w:r w:rsidRPr="00357FA3">
              <w:rPr>
                <w:rFonts w:ascii="Arial" w:hAnsi="Arial" w:cs="Arial"/>
                <w:b/>
                <w:bCs/>
                <w:i/>
                <w:iCs/>
                <w:lang w:val="en-GB"/>
              </w:rPr>
              <w:t>w</w:t>
            </w:r>
            <w:r w:rsidRPr="00357FA3">
              <w:rPr>
                <w:rFonts w:ascii="Arial" w:hAnsi="Arial" w:cs="Arial"/>
                <w:b/>
                <w:bCs/>
                <w:i/>
                <w:iCs/>
                <w:vertAlign w:val="subscript"/>
                <w:lang w:val="en-GB"/>
              </w:rPr>
              <w:t>i</w:t>
            </w:r>
            <w:proofErr w:type="spellEnd"/>
            <w:r w:rsidRPr="00357FA3">
              <w:rPr>
                <w:rFonts w:ascii="Arial" w:hAnsi="Arial" w:cs="Arial"/>
                <w:b/>
                <w:bCs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0.75</w:t>
            </w:r>
          </w:p>
        </w:tc>
        <w:tc>
          <w:tcPr>
            <w:tcW w:w="5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0.69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0.65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0.66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0.29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4F7" w:rsidRPr="00357FA3" w:rsidRDefault="007854F7" w:rsidP="00C8245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57FA3">
              <w:rPr>
                <w:rFonts w:ascii="Arial" w:hAnsi="Arial" w:cs="Arial"/>
                <w:color w:val="000000"/>
              </w:rPr>
              <w:t>0.26</w:t>
            </w:r>
          </w:p>
        </w:tc>
      </w:tr>
    </w:tbl>
    <w:p w:rsidR="007854F7" w:rsidRPr="00BF49F1" w:rsidRDefault="007854F7" w:rsidP="007854F7">
      <w:pPr>
        <w:spacing w:before="240" w:line="276" w:lineRule="auto"/>
        <w:rPr>
          <w:rFonts w:ascii="Arial" w:hAnsi="Arial" w:cs="Arial"/>
          <w:sz w:val="20"/>
          <w:lang w:val="en-GB"/>
        </w:rPr>
      </w:pPr>
    </w:p>
    <w:p w:rsidR="00BB292E" w:rsidRPr="0039659A" w:rsidRDefault="00BB292E">
      <w:pPr>
        <w:rPr>
          <w:sz w:val="20"/>
          <w:szCs w:val="20"/>
          <w:lang w:val="en-GB"/>
        </w:rPr>
      </w:pPr>
    </w:p>
    <w:sectPr w:rsidR="00BB292E" w:rsidRPr="0039659A" w:rsidSect="00325085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6DA" w:rsidRDefault="00B806DA" w:rsidP="00B806DA">
      <w:pPr>
        <w:spacing w:after="0" w:line="240" w:lineRule="auto"/>
      </w:pPr>
      <w:r>
        <w:separator/>
      </w:r>
    </w:p>
  </w:endnote>
  <w:endnote w:type="continuationSeparator" w:id="0">
    <w:p w:rsidR="00B806DA" w:rsidRDefault="00B806DA" w:rsidP="00B8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3146735"/>
      <w:docPartObj>
        <w:docPartGallery w:val="Page Numbers (Bottom of Page)"/>
        <w:docPartUnique/>
      </w:docPartObj>
    </w:sdtPr>
    <w:sdtContent>
      <w:p w:rsidR="00B806DA" w:rsidRDefault="00B469F2">
        <w:pPr>
          <w:pStyle w:val="Fuzeile"/>
          <w:jc w:val="right"/>
        </w:pPr>
        <w:r>
          <w:fldChar w:fldCharType="begin"/>
        </w:r>
        <w:r w:rsidR="00B806DA">
          <w:instrText>PAGE   \* MERGEFORMAT</w:instrText>
        </w:r>
        <w:r>
          <w:fldChar w:fldCharType="separate"/>
        </w:r>
        <w:r w:rsidR="00A83704">
          <w:rPr>
            <w:noProof/>
          </w:rPr>
          <w:t>1</w:t>
        </w:r>
        <w:r>
          <w:fldChar w:fldCharType="end"/>
        </w:r>
      </w:p>
    </w:sdtContent>
  </w:sdt>
  <w:p w:rsidR="00B806DA" w:rsidRDefault="00B806D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6DA" w:rsidRDefault="00B806DA" w:rsidP="00B806DA">
      <w:pPr>
        <w:spacing w:after="0" w:line="240" w:lineRule="auto"/>
      </w:pPr>
      <w:r>
        <w:separator/>
      </w:r>
    </w:p>
  </w:footnote>
  <w:footnote w:type="continuationSeparator" w:id="0">
    <w:p w:rsidR="00B806DA" w:rsidRDefault="00B806DA" w:rsidP="00B80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92E"/>
    <w:rsid w:val="001D5F28"/>
    <w:rsid w:val="002053A0"/>
    <w:rsid w:val="00265F1F"/>
    <w:rsid w:val="002C13E5"/>
    <w:rsid w:val="00325085"/>
    <w:rsid w:val="0039659A"/>
    <w:rsid w:val="003F59B5"/>
    <w:rsid w:val="004A23C2"/>
    <w:rsid w:val="004B39B2"/>
    <w:rsid w:val="00533996"/>
    <w:rsid w:val="00542C70"/>
    <w:rsid w:val="00734373"/>
    <w:rsid w:val="007854F7"/>
    <w:rsid w:val="008934F6"/>
    <w:rsid w:val="00A83704"/>
    <w:rsid w:val="00B469F2"/>
    <w:rsid w:val="00B72025"/>
    <w:rsid w:val="00B806DA"/>
    <w:rsid w:val="00B8128E"/>
    <w:rsid w:val="00B848B1"/>
    <w:rsid w:val="00BB292E"/>
    <w:rsid w:val="00BD5CEF"/>
    <w:rsid w:val="00C07C85"/>
    <w:rsid w:val="00C20D3F"/>
    <w:rsid w:val="00F6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50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6DA"/>
  </w:style>
  <w:style w:type="paragraph" w:styleId="Fuzeile">
    <w:name w:val="footer"/>
    <w:basedOn w:val="Standard"/>
    <w:link w:val="FuzeileZchn"/>
    <w:uiPriority w:val="99"/>
    <w:unhideWhenUsed/>
    <w:rsid w:val="00B80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6D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5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B37DE-1F5A-4CDB-81EC-E3224281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Mai</cp:lastModifiedBy>
  <cp:revision>15</cp:revision>
  <dcterms:created xsi:type="dcterms:W3CDTF">2022-01-25T14:16:00Z</dcterms:created>
  <dcterms:modified xsi:type="dcterms:W3CDTF">2022-06-13T10:22:00Z</dcterms:modified>
</cp:coreProperties>
</file>