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8"/>
      </w:pPr>
      <w:r>
        <w:t>Niche diversification of Mediterranean and South-Western Asian tortoises</w:t>
      </w:r>
    </w:p>
    <w:p>
      <w:pPr>
        <w:pStyle w:val="17"/>
      </w:pPr>
      <w:r>
        <w:t>– ODMAP Protocol –</w:t>
      </w:r>
    </w:p>
    <w:p>
      <w:pPr>
        <w:pStyle w:val="22"/>
      </w:pPr>
      <w:r>
        <w:t>Daniel Escoriza</w:t>
      </w:r>
    </w:p>
    <w:p>
      <w:pPr>
        <w:pStyle w:val="16"/>
      </w:pPr>
      <w:r>
        <w:t>2022-06-09</w:t>
      </w:r>
    </w:p>
    <w:p>
      <w:r>
        <w:pict>
          <v:rect id="_x0000_i1025" o:spt="1" style="height:1.5pt;width:0pt;" coordsize="21600,21600" o:hr="t" o:hrstd="t" o:hralign="center">
            <v:path/>
            <v:fill focussize="0,0"/>
            <v:stroke/>
            <v:imagedata o:title=""/>
            <o:lock v:ext="edit"/>
            <w10:wrap type="none"/>
            <w10:anchorlock/>
          </v:rect>
        </w:pict>
      </w:r>
    </w:p>
    <w:p>
      <w:pPr>
        <w:pStyle w:val="4"/>
      </w:pPr>
      <w:bookmarkStart w:id="0" w:name="overview"/>
      <w:bookmarkEnd w:id="0"/>
      <w:r>
        <w:t>Overview</w:t>
      </w:r>
    </w:p>
    <w:p>
      <w:pPr>
        <w:pStyle w:val="6"/>
      </w:pPr>
      <w:bookmarkStart w:id="1" w:name="authorship"/>
      <w:bookmarkEnd w:id="1"/>
      <w:r>
        <w:t>Authorship</w:t>
      </w:r>
    </w:p>
    <w:p>
      <w:pPr>
        <w:pStyle w:val="20"/>
      </w:pPr>
      <w:r>
        <w:t xml:space="preserve">Contact : </w:t>
      </w:r>
      <w:r>
        <w:fldChar w:fldCharType="begin"/>
      </w:r>
      <w:r>
        <w:instrText xml:space="preserve"> HYPERLINK "mailto:daniel_escoriza@hotmail.com" \h </w:instrText>
      </w:r>
      <w:r>
        <w:fldChar w:fldCharType="separate"/>
      </w:r>
      <w:r>
        <w:rPr>
          <w:rStyle w:val="13"/>
        </w:rPr>
        <w:t>daniel_escoriza@hotmail.com</w:t>
      </w:r>
      <w:r>
        <w:rPr>
          <w:rStyle w:val="13"/>
        </w:rPr>
        <w:fldChar w:fldCharType="end"/>
      </w:r>
    </w:p>
    <w:p>
      <w:pPr>
        <w:pStyle w:val="3"/>
      </w:pPr>
      <w:r>
        <w:t xml:space="preserve">Study link: </w:t>
      </w:r>
      <w:r>
        <w:fldChar w:fldCharType="begin"/>
      </w:r>
      <w:r>
        <w:instrText xml:space="preserve"> HYPERLINK "https://peerj.com/" \h </w:instrText>
      </w:r>
      <w:r>
        <w:fldChar w:fldCharType="separate"/>
      </w:r>
      <w:r>
        <w:rPr>
          <w:rStyle w:val="13"/>
        </w:rPr>
        <w:t>https://peerj.com/</w:t>
      </w:r>
      <w:r>
        <w:rPr>
          <w:rStyle w:val="13"/>
        </w:rPr>
        <w:fldChar w:fldCharType="end"/>
      </w:r>
    </w:p>
    <w:p>
      <w:pPr>
        <w:pStyle w:val="6"/>
      </w:pPr>
      <w:bookmarkStart w:id="2" w:name="model-objective"/>
      <w:bookmarkEnd w:id="2"/>
      <w:r>
        <w:t>Model objective</w:t>
      </w:r>
    </w:p>
    <w:p>
      <w:pPr>
        <w:pStyle w:val="20"/>
      </w:pPr>
      <w:r>
        <w:t>Model objective: Inference and explanation</w:t>
      </w:r>
    </w:p>
    <w:p>
      <w:pPr>
        <w:pStyle w:val="6"/>
      </w:pPr>
      <w:bookmarkStart w:id="3" w:name="focal-taxon"/>
      <w:bookmarkEnd w:id="3"/>
      <w:r>
        <w:t>Focal Taxon</w:t>
      </w:r>
    </w:p>
    <w:p>
      <w:pPr>
        <w:pStyle w:val="20"/>
      </w:pPr>
      <w:r>
        <w:t>Focal Taxon: Mediterranean Tortoises</w:t>
      </w:r>
    </w:p>
    <w:p>
      <w:pPr>
        <w:pStyle w:val="6"/>
      </w:pPr>
      <w:bookmarkStart w:id="4" w:name="location"/>
      <w:bookmarkEnd w:id="4"/>
      <w:r>
        <w:t>Location</w:t>
      </w:r>
    </w:p>
    <w:p>
      <w:pPr>
        <w:pStyle w:val="20"/>
      </w:pPr>
      <w:r>
        <w:t>Location: Mediterranean basin; south-western Asia</w:t>
      </w:r>
    </w:p>
    <w:p>
      <w:pPr>
        <w:pStyle w:val="6"/>
      </w:pPr>
      <w:bookmarkStart w:id="5" w:name="scale-of-analysis"/>
      <w:bookmarkEnd w:id="5"/>
      <w:r>
        <w:t>Scale of Analysis</w:t>
      </w:r>
    </w:p>
    <w:p>
      <w:pPr>
        <w:pStyle w:val="20"/>
      </w:pPr>
      <w:r>
        <w:t>Spatial extent: -15, 80, 25, 50 (xmin, xmax, ymin, ymax)</w:t>
      </w:r>
    </w:p>
    <w:p>
      <w:pPr>
        <w:pStyle w:val="3"/>
      </w:pPr>
      <w:r>
        <w:t>Spatial resolution: 1</w:t>
      </w:r>
    </w:p>
    <w:p>
      <w:pPr>
        <w:pStyle w:val="3"/>
      </w:pPr>
      <w:r>
        <w:t>Temporal extent: Pliocene to present</w:t>
      </w:r>
    </w:p>
    <w:p>
      <w:pPr>
        <w:pStyle w:val="3"/>
      </w:pPr>
      <w:r>
        <w:t>Temporal resolution: years</w:t>
      </w:r>
    </w:p>
    <w:p>
      <w:pPr>
        <w:pStyle w:val="3"/>
      </w:pPr>
      <w:r>
        <w:t>Boundary: rectangle</w:t>
      </w:r>
    </w:p>
    <w:p>
      <w:pPr>
        <w:pStyle w:val="6"/>
      </w:pPr>
      <w:bookmarkStart w:id="6" w:name="biodiversity-data"/>
      <w:bookmarkEnd w:id="6"/>
      <w:r>
        <w:t>Biodiversity data</w:t>
      </w:r>
    </w:p>
    <w:p>
      <w:pPr>
        <w:pStyle w:val="20"/>
      </w:pPr>
      <w:r>
        <w:t>Observation type: field survey, citizen science</w:t>
      </w:r>
    </w:p>
    <w:p>
      <w:pPr>
        <w:pStyle w:val="3"/>
      </w:pPr>
      <w:r>
        <w:t>Response data type: point occurrence</w:t>
      </w:r>
    </w:p>
    <w:p>
      <w:pPr>
        <w:pStyle w:val="6"/>
      </w:pPr>
      <w:bookmarkStart w:id="7" w:name="predictors"/>
      <w:bookmarkEnd w:id="7"/>
      <w:r>
        <w:t>Predictors</w:t>
      </w:r>
    </w:p>
    <w:p>
      <w:pPr>
        <w:pStyle w:val="20"/>
      </w:pPr>
      <w:r>
        <w:t>Predictor types: climatic</w:t>
      </w:r>
    </w:p>
    <w:p>
      <w:pPr>
        <w:pStyle w:val="6"/>
      </w:pPr>
      <w:bookmarkStart w:id="8" w:name="hypotheses"/>
      <w:bookmarkEnd w:id="8"/>
      <w:r>
        <w:t>Hypotheses</w:t>
      </w:r>
    </w:p>
    <w:p>
      <w:pPr>
        <w:pStyle w:val="20"/>
      </w:pPr>
      <w:r>
        <w:t>Hypotheses: climate partitioning among species</w:t>
      </w:r>
    </w:p>
    <w:p>
      <w:pPr>
        <w:pStyle w:val="6"/>
      </w:pPr>
      <w:bookmarkStart w:id="9" w:name="assumptions"/>
      <w:bookmarkEnd w:id="9"/>
      <w:r>
        <w:t>Assumptions</w:t>
      </w:r>
    </w:p>
    <w:p>
      <w:pPr>
        <w:pStyle w:val="20"/>
      </w:pPr>
      <w:r>
        <w:t>Model assumptions: Species–environment equilibrium (climate determines species fitness)</w:t>
      </w:r>
    </w:p>
    <w:p>
      <w:pPr>
        <w:pStyle w:val="6"/>
      </w:pPr>
      <w:bookmarkStart w:id="10" w:name="algorithms"/>
      <w:bookmarkEnd w:id="10"/>
      <w:r>
        <w:t>Algorithms</w:t>
      </w:r>
    </w:p>
    <w:p>
      <w:pPr>
        <w:pStyle w:val="20"/>
      </w:pPr>
      <w:r>
        <w:t>Modelling techniques: maxent, glm</w:t>
      </w:r>
    </w:p>
    <w:p>
      <w:pPr>
        <w:pStyle w:val="3"/>
      </w:pPr>
      <w:r>
        <w:t>Model complexity: assessment of the best candidate model features to fit the dataset</w:t>
      </w:r>
    </w:p>
    <w:p>
      <w:pPr>
        <w:pStyle w:val="3"/>
      </w:pPr>
      <w:r>
        <w:t>Model averaging: ensemble modelling</w:t>
      </w:r>
    </w:p>
    <w:p>
      <w:pPr>
        <w:pStyle w:val="6"/>
      </w:pPr>
      <w:bookmarkStart w:id="11" w:name="workflow"/>
      <w:bookmarkEnd w:id="11"/>
      <w:r>
        <w:t>Workflow</w:t>
      </w:r>
    </w:p>
    <w:p>
      <w:pPr>
        <w:pStyle w:val="20"/>
      </w:pPr>
      <w:r>
        <w:t>Model workflow: remove multicollinear variables-remove spatial redundancy-select best maxent model</w:t>
      </w:r>
    </w:p>
    <w:p>
      <w:pPr>
        <w:pStyle w:val="6"/>
      </w:pPr>
      <w:bookmarkStart w:id="12" w:name="software"/>
      <w:bookmarkEnd w:id="12"/>
      <w:r>
        <w:t>Software</w:t>
      </w:r>
    </w:p>
    <w:p>
      <w:pPr>
        <w:pStyle w:val="20"/>
      </w:pPr>
      <w:r>
        <w:t>Software: R, enmval, Maxent</w:t>
      </w:r>
    </w:p>
    <w:p>
      <w:pPr>
        <w:pStyle w:val="3"/>
      </w:pPr>
      <w:r>
        <w:t>Code availability: scripts available as supplementary material</w:t>
      </w:r>
    </w:p>
    <w:p>
      <w:pPr>
        <w:pStyle w:val="3"/>
      </w:pPr>
      <w:r>
        <w:t>Data availability: data available as supplementary material and data links to the sources</w:t>
      </w:r>
    </w:p>
    <w:p>
      <w:pPr>
        <w:pStyle w:val="4"/>
      </w:pPr>
      <w:bookmarkStart w:id="13" w:name="data"/>
      <w:bookmarkEnd w:id="13"/>
      <w:r>
        <w:t>Data</w:t>
      </w:r>
    </w:p>
    <w:p>
      <w:pPr>
        <w:pStyle w:val="6"/>
      </w:pPr>
      <w:bookmarkStart w:id="14" w:name="biodiversity-data-1"/>
      <w:bookmarkEnd w:id="14"/>
      <w:r>
        <w:t>Biodiversity data</w:t>
      </w:r>
    </w:p>
    <w:p>
      <w:pPr>
        <w:pStyle w:val="20"/>
      </w:pPr>
      <w:r>
        <w:t>Taxon names: Testudo graeca, Testudo hermanni, Testudo horsfieldii, Testudo kleinmanni, Testudo marginata</w:t>
      </w:r>
    </w:p>
    <w:p>
      <w:pPr>
        <w:pStyle w:val="3"/>
      </w:pPr>
      <w:r>
        <w:t>Taxonomic reference system: Linnean-Rhodin AGJ, Iverson JB, Bour R, Fritz U, Georges A, Shaffer HB, van Dijk PP. 2021. Turtles of the World: Annotated Checklist and Atlas of Taxonomy, Synonymy, Distribution, and Conservation Status (9th Ed.). Chelonian Research Monographs 8:1-472. DOI: 10.3854/crm.8.checklist.atlas.v9.2021.</w:t>
      </w:r>
    </w:p>
    <w:p>
      <w:pPr>
        <w:pStyle w:val="3"/>
      </w:pPr>
      <w:r>
        <w:t>Ecological level: species</w:t>
      </w:r>
    </w:p>
    <w:p>
      <w:pPr>
        <w:pStyle w:val="3"/>
      </w:pPr>
      <w:r>
        <w:t xml:space="preserve">Data sources: </w:t>
      </w:r>
      <w:r>
        <w:fldChar w:fldCharType="begin"/>
      </w:r>
      <w:r>
        <w:instrText xml:space="preserve"> HYPERLINK "https://www.gbif.org/" \h </w:instrText>
      </w:r>
      <w:r>
        <w:fldChar w:fldCharType="separate"/>
      </w:r>
      <w:r>
        <w:rPr>
          <w:rStyle w:val="13"/>
        </w:rPr>
        <w:t>https://www.gbif.org/</w:t>
      </w:r>
      <w:r>
        <w:rPr>
          <w:rStyle w:val="13"/>
        </w:rPr>
        <w:fldChar w:fldCharType="end"/>
      </w:r>
      <w:r>
        <w:t xml:space="preserve"> </w:t>
      </w:r>
      <w:r>
        <w:fldChar w:fldCharType="begin"/>
      </w:r>
      <w:r>
        <w:instrText xml:space="preserve"> HYPERLINK "https://www.inaturalist.org/" \h </w:instrText>
      </w:r>
      <w:r>
        <w:fldChar w:fldCharType="separate"/>
      </w:r>
      <w:r>
        <w:rPr>
          <w:rStyle w:val="13"/>
        </w:rPr>
        <w:t>https://www.inaturalist.org/</w:t>
      </w:r>
      <w:r>
        <w:rPr>
          <w:rStyle w:val="13"/>
        </w:rPr>
        <w:fldChar w:fldCharType="end"/>
      </w:r>
    </w:p>
    <w:p>
      <w:pPr>
        <w:pStyle w:val="3"/>
      </w:pPr>
      <w:r>
        <w:t>Sampling design: uniform</w:t>
      </w:r>
    </w:p>
    <w:p>
      <w:pPr>
        <w:pStyle w:val="3"/>
      </w:pPr>
      <w:r>
        <w:t>Sample size: T. graeca (274 records), T. hermanni (103), T. horsfieldii (77), T. kleinmanni (4), and T. marginata (61)</w:t>
      </w:r>
    </w:p>
    <w:p>
      <w:pPr>
        <w:pStyle w:val="3"/>
      </w:pPr>
      <w:r>
        <w:t>Clipping: western Palaearctic</w:t>
      </w:r>
    </w:p>
    <w:p>
      <w:pPr>
        <w:pStyle w:val="3"/>
      </w:pPr>
      <w:r>
        <w:t>Scaling: spatial thinning 10 km</w:t>
      </w:r>
    </w:p>
    <w:p>
      <w:pPr>
        <w:pStyle w:val="3"/>
      </w:pPr>
      <w:r>
        <w:t>Cleaning: We selected from the GBIF those records added since the year 2000, with fine spatial resolution (error &lt; 1000 m), far from cities and within the known ranges of the species, as are defined by Bonin, Devaux &amp; Dupré (2006).</w:t>
      </w:r>
    </w:p>
    <w:p>
      <w:pPr>
        <w:pStyle w:val="3"/>
      </w:pPr>
      <w:r>
        <w:t>Absence data: not applicable</w:t>
      </w:r>
    </w:p>
    <w:p>
      <w:pPr>
        <w:pStyle w:val="3"/>
      </w:pPr>
      <w:r>
        <w:t>Background data: We defined background regions as buffers of 500 km for the species and 250 km for the subspecies and natural micro-endemic T. marginata. These background regions were defined according to the distribution of each species or subspecies, maximizing the inclusion of environmental variation around the occurrence areas while minimizing the effect of non-informative regions (such as temperate-boreal biomes or deserts, not occupied by any species of the genus) .</w:t>
      </w:r>
    </w:p>
    <w:p>
      <w:pPr>
        <w:pStyle w:val="3"/>
      </w:pPr>
      <w:r>
        <w:t>Errors and biases: Data from open databases is subject to these errors: misidentification potential, geo-referencing errors, sampling bias</w:t>
      </w:r>
    </w:p>
    <w:p>
      <w:pPr>
        <w:pStyle w:val="6"/>
      </w:pPr>
      <w:bookmarkStart w:id="15" w:name="predictor-variables"/>
      <w:bookmarkEnd w:id="15"/>
      <w:r>
        <w:t>Predictor variables</w:t>
      </w:r>
    </w:p>
    <w:p>
      <w:pPr>
        <w:pStyle w:val="20"/>
      </w:pPr>
      <w:r>
        <w:t>Predictor variables: Temperature warmest quarter Temperature coldest quarter Temperature wettest quarter Temperature driest quarter Annual Precipitation Precipitation seasonality Precipitation warmest quarter</w:t>
      </w:r>
    </w:p>
    <w:p>
      <w:pPr>
        <w:pStyle w:val="3"/>
      </w:pPr>
      <w:r>
        <w:t xml:space="preserve">Data sources: Worlclim 2 (June 2021): </w:t>
      </w:r>
      <w:r>
        <w:fldChar w:fldCharType="begin"/>
      </w:r>
      <w:r>
        <w:instrText xml:space="preserve"> HYPERLINK "http://www.worldclim.com/version2" \h </w:instrText>
      </w:r>
      <w:r>
        <w:fldChar w:fldCharType="separate"/>
      </w:r>
      <w:r>
        <w:rPr>
          <w:rStyle w:val="13"/>
        </w:rPr>
        <w:t>http://www.worldclim.com/version2</w:t>
      </w:r>
      <w:r>
        <w:rPr>
          <w:rStyle w:val="13"/>
        </w:rPr>
        <w:fldChar w:fldCharType="end"/>
      </w:r>
      <w:r>
        <w:t xml:space="preserve"> </w:t>
      </w:r>
      <w:r>
        <w:fldChar w:fldCharType="begin"/>
      </w:r>
      <w:r>
        <w:instrText xml:space="preserve"> HYPERLINK "http://www.worldclim.com/paleo-climate1" \h </w:instrText>
      </w:r>
      <w:r>
        <w:fldChar w:fldCharType="separate"/>
      </w:r>
      <w:r>
        <w:rPr>
          <w:rStyle w:val="13"/>
        </w:rPr>
        <w:t>http://www.worldclim.com/paleo-climate1</w:t>
      </w:r>
      <w:r>
        <w:rPr>
          <w:rStyle w:val="13"/>
        </w:rPr>
        <w:fldChar w:fldCharType="end"/>
      </w:r>
      <w:r>
        <w:t xml:space="preserve"> (June 2021)</w:t>
      </w:r>
    </w:p>
    <w:p>
      <w:pPr>
        <w:pStyle w:val="3"/>
      </w:pPr>
      <w:r>
        <w:t>Spatial extent: -15, 80, 25, 50 (xmin, xmax, ymin, ymax)</w:t>
      </w:r>
    </w:p>
    <w:p>
      <w:pPr>
        <w:pStyle w:val="3"/>
      </w:pPr>
      <w:r>
        <w:t>Spatial resolution: 1 km</w:t>
      </w:r>
    </w:p>
    <w:p>
      <w:pPr>
        <w:pStyle w:val="3"/>
      </w:pPr>
      <w:r>
        <w:t>Coordinate reference system: wgs 84</w:t>
      </w:r>
    </w:p>
    <w:p>
      <w:pPr>
        <w:pStyle w:val="3"/>
      </w:pPr>
      <w:r>
        <w:t>Temporal extent: 1970-2000</w:t>
      </w:r>
    </w:p>
    <w:p>
      <w:pPr>
        <w:pStyle w:val="3"/>
      </w:pPr>
      <w:r>
        <w:t>Temporal resolution: not applicable</w:t>
      </w:r>
    </w:p>
    <w:p>
      <w:pPr>
        <w:pStyle w:val="3"/>
      </w:pPr>
      <w:r>
        <w:t>Data processing: not applicable</w:t>
      </w:r>
    </w:p>
    <w:p>
      <w:pPr>
        <w:pStyle w:val="3"/>
      </w:pPr>
      <w:r>
        <w:t>Errors and biases: not applicable</w:t>
      </w:r>
    </w:p>
    <w:p>
      <w:pPr>
        <w:pStyle w:val="3"/>
      </w:pPr>
      <w:r>
        <w:t>Dimension reduction: Model complexity was reduced by estimating the increase in the variance inflation factor (VIF)</w:t>
      </w:r>
    </w:p>
    <w:p>
      <w:pPr>
        <w:pStyle w:val="6"/>
      </w:pPr>
      <w:bookmarkStart w:id="16" w:name="transfer-data"/>
      <w:bookmarkEnd w:id="16"/>
      <w:r>
        <w:t>Transfer data</w:t>
      </w:r>
    </w:p>
    <w:p>
      <w:pPr>
        <w:pStyle w:val="20"/>
      </w:pPr>
      <w:r>
        <w:t>Spatial extent: -15, 80, 25, 50 (xmin, xmax, ymin, ymax)</w:t>
      </w:r>
    </w:p>
    <w:p>
      <w:pPr>
        <w:pStyle w:val="3"/>
      </w:pPr>
      <w:r>
        <w:t>Spatial resolution: 1 km</w:t>
      </w:r>
    </w:p>
    <w:p>
      <w:pPr>
        <w:pStyle w:val="3"/>
      </w:pPr>
      <w:r>
        <w:t>Temporal extent: Pliocene-Holocene</w:t>
      </w:r>
    </w:p>
    <w:p>
      <w:pPr>
        <w:pStyle w:val="3"/>
      </w:pPr>
      <w:r>
        <w:t>Temporal resolution: not applicable</w:t>
      </w:r>
    </w:p>
    <w:p>
      <w:pPr>
        <w:pStyle w:val="4"/>
      </w:pPr>
      <w:bookmarkStart w:id="17" w:name="model"/>
      <w:bookmarkEnd w:id="17"/>
      <w:r>
        <w:t>Model</w:t>
      </w:r>
    </w:p>
    <w:p>
      <w:pPr>
        <w:pStyle w:val="6"/>
      </w:pPr>
      <w:bookmarkStart w:id="18" w:name="variable-pre-selection"/>
      <w:bookmarkEnd w:id="18"/>
      <w:r>
        <w:t>Variable pre-selection</w:t>
      </w:r>
    </w:p>
    <w:p>
      <w:pPr>
        <w:pStyle w:val="20"/>
      </w:pPr>
      <w:r>
        <w:t>Variable pre-selection: We started with a simple model including only bio 10 (mean temperature of warmest quarter), bio 11 (mean temperature of coldest quarter), and bio 12 (annual precipitation). These variables were initially chosen because of their relevance in the life cycles of tortoises, and they included summer and winter temperatures (specifically associated with embryonic development and hibernation) and moisture availability</w:t>
      </w:r>
      <w:bookmarkStart w:id="27" w:name="_GoBack"/>
      <w:bookmarkEnd w:id="27"/>
      <w:r>
        <w:t>.</w:t>
      </w:r>
    </w:p>
    <w:p>
      <w:pPr>
        <w:pStyle w:val="6"/>
      </w:pPr>
      <w:bookmarkStart w:id="19" w:name="multicollinearity"/>
      <w:bookmarkEnd w:id="19"/>
      <w:r>
        <w:t>Multicollinearity</w:t>
      </w:r>
    </w:p>
    <w:p>
      <w:pPr>
        <w:pStyle w:val="20"/>
      </w:pPr>
      <w:r>
        <w:t>Multicollinearity: Model complexity was reduced by estimating the increase in the variance inflation factor (VIF).</w:t>
      </w:r>
    </w:p>
    <w:p>
      <w:pPr>
        <w:pStyle w:val="6"/>
      </w:pPr>
      <w:bookmarkStart w:id="20" w:name="model-settings"/>
      <w:bookmarkEnd w:id="20"/>
      <w:r>
        <w:t>Model settings</w:t>
      </w:r>
    </w:p>
    <w:p>
      <w:pPr>
        <w:pStyle w:val="20"/>
      </w:pPr>
      <w:r>
        <w:t>maxent: featureSet (LQHPT LQHPT LQ LQHP LQ), featureRule (default), regularizationMultiplierSet (2.5 2 0.5 1.0 0.5), regularizationRule (default), convergenceThresholdSet (default), samplingBiasRule (default), samplingBiasNotes (default), targetGroupSampleSize (default), offsetSet (default), offsetRule (default), expertMapProbSet (default), expertMapProbRule (default), expertMapRateSet (default), expertMapRateRule (default), expertMapSkewSet (default), expertMapSkewRule (default), expertMapShiftSet (default), expertMapShiftRule (default)</w:t>
      </w:r>
    </w:p>
    <w:p>
      <w:pPr>
        <w:pStyle w:val="3"/>
      </w:pPr>
      <w:r>
        <w:t>glm: family (Logistic), formula (pres ~ bio8+bio9+bio10+bio11+bio12+bio15+bio18)</w:t>
      </w:r>
    </w:p>
    <w:p>
      <w:pPr>
        <w:pStyle w:val="6"/>
      </w:pPr>
      <w:bookmarkStart w:id="21" w:name="model-estimates"/>
      <w:bookmarkEnd w:id="21"/>
      <w:r>
        <w:t>Model estimates</w:t>
      </w:r>
    </w:p>
    <w:p>
      <w:pPr>
        <w:pStyle w:val="20"/>
      </w:pPr>
      <w:r>
        <w:t>Coefficients: not applicable</w:t>
      </w:r>
    </w:p>
    <w:p>
      <w:pPr>
        <w:pStyle w:val="3"/>
      </w:pPr>
      <w:r>
        <w:t>Parameter uncertainty: resampling</w:t>
      </w:r>
    </w:p>
    <w:p>
      <w:pPr>
        <w:pStyle w:val="3"/>
      </w:pPr>
      <w:r>
        <w:t>Variable importance: resampling</w:t>
      </w:r>
    </w:p>
    <w:p>
      <w:pPr>
        <w:pStyle w:val="6"/>
      </w:pPr>
      <w:bookmarkStart w:id="22" w:name="model-selection---model-averaging---ensembles"/>
      <w:bookmarkEnd w:id="22"/>
      <w:r>
        <w:t>Model selection - model averaging - ensembles</w:t>
      </w:r>
    </w:p>
    <w:p>
      <w:pPr>
        <w:pStyle w:val="20"/>
      </w:pPr>
      <w:r>
        <w:t>Model selection: information-theoretic approach for variable selection</w:t>
      </w:r>
    </w:p>
    <w:p>
      <w:pPr>
        <w:pStyle w:val="3"/>
      </w:pPr>
      <w:r>
        <w:t>Model averaging: not applicable</w:t>
      </w:r>
    </w:p>
    <w:p>
      <w:pPr>
        <w:pStyle w:val="3"/>
      </w:pPr>
      <w:r>
        <w:t>Model ensembles: ENMs: The features and the RM for the optimal model were used to generate 30 replicates in Maxent 3.4.4 (Philips, Anderson &amp; Schapire, 2006), calibrated using 75% of the species occurrences. GLMs: number of replicates = 9999, number of background points for models = 10000</w:t>
      </w:r>
    </w:p>
    <w:p>
      <w:pPr>
        <w:pStyle w:val="6"/>
      </w:pPr>
      <w:bookmarkStart w:id="23" w:name="analysis-and-correction-of-non-independence"/>
      <w:bookmarkEnd w:id="23"/>
      <w:r>
        <w:t>Analysis and Correction of non-independence</w:t>
      </w:r>
    </w:p>
    <w:p>
      <w:pPr>
        <w:pStyle w:val="20"/>
      </w:pPr>
      <w:r>
        <w:t>Spatial autocorrelation: spatial thinning of occurrences</w:t>
      </w:r>
    </w:p>
    <w:p>
      <w:pPr>
        <w:pStyle w:val="3"/>
      </w:pPr>
      <w:r>
        <w:t>Temporal autocorrelation: not applicable</w:t>
      </w:r>
    </w:p>
    <w:p>
      <w:pPr>
        <w:pStyle w:val="3"/>
      </w:pPr>
      <w:r>
        <w:t>Nested data: not applicable</w:t>
      </w:r>
    </w:p>
    <w:p>
      <w:pPr>
        <w:pStyle w:val="4"/>
      </w:pPr>
      <w:bookmarkStart w:id="24" w:name="assessment"/>
      <w:bookmarkEnd w:id="24"/>
      <w:r>
        <w:t>Assessment</w:t>
      </w:r>
    </w:p>
    <w:p>
      <w:pPr>
        <w:pStyle w:val="6"/>
      </w:pPr>
      <w:bookmarkStart w:id="25" w:name="performance-statistics"/>
      <w:bookmarkEnd w:id="25"/>
      <w:r>
        <w:t>Performance statistics</w:t>
      </w:r>
    </w:p>
    <w:p>
      <w:pPr>
        <w:pStyle w:val="20"/>
      </w:pPr>
      <w:r>
        <w:t>Performance on training data: AIC, AUC</w:t>
      </w:r>
    </w:p>
    <w:p>
      <w:pPr>
        <w:pStyle w:val="6"/>
      </w:pPr>
      <w:bookmarkStart w:id="26" w:name="plausibility-check"/>
      <w:bookmarkEnd w:id="26"/>
      <w:r>
        <w:t>Plausibility check</w:t>
      </w:r>
    </w:p>
    <w:p>
      <w:pPr>
        <w:pStyle w:val="20"/>
      </w:pPr>
      <w:r>
        <w:t>Response shapes: partial response plots</w:t>
      </w:r>
    </w:p>
    <w:sectPr>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86"/>
    <w:family w:val="auto"/>
    <w:pitch w:val="default"/>
    <w:sig w:usb0="E00006FF" w:usb1="420024FF" w:usb2="02000000" w:usb3="00000000" w:csb0="2000019F" w:csb1="00000000"/>
  </w:font>
  <w:font w:name="Cambria">
    <w:panose1 w:val="02040503050406030204"/>
    <w:charset w:val="00"/>
    <w:family w:val="auto"/>
    <w:pitch w:val="default"/>
    <w:sig w:usb0="E00006FF" w:usb1="420024FF" w:usb2="02000000" w:usb3="00000000" w:csb0="2000019F" w:csb1="00000000"/>
  </w:font>
  <w:font w:name="Consolas">
    <w:panose1 w:val="020B0609020204030204"/>
    <w:charset w:val="00"/>
    <w:family w:val="auto"/>
    <w:pitch w:val="default"/>
    <w:sig w:usb0="E00006FF" w:usb1="0000FCFF" w:usb2="00000001" w:usb3="00000000" w:csb0="6000019F" w:csb1="DFD7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NotTrackMoves/>
  <w:documentProtection w:enforcement="0"/>
  <w:defaultTabStop w:val="720"/>
  <w:drawingGridHorizontalSpacing w:val="360"/>
  <w:drawingGridVerticalSpacing w:val="360"/>
  <w:displayHorizontalDrawingGridEvery w:val="0"/>
  <w:displayVerticalDrawingGridEvery w:val="0"/>
  <w:characterSpacingControl w:val="doNotCompress"/>
  <w:footnotePr>
    <w:footnote w:id="0"/>
    <w:footnote w:id="1"/>
  </w:foot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0D07"/>
    <w:rsid w:val="00011C8B"/>
    <w:rsid w:val="004E29B3"/>
    <w:rsid w:val="00590D07"/>
    <w:rsid w:val="00784D58"/>
    <w:rsid w:val="008D6863"/>
    <w:rsid w:val="00B86B75"/>
    <w:rsid w:val="00BC48D5"/>
    <w:rsid w:val="00C36279"/>
    <w:rsid w:val="00E315A3"/>
    <w:rsid w:val="140035B8"/>
  </w:rsids>
  <m:mathPr>
    <m:mathFont m:val="Lucida Grande"/>
    <m:brkBin m:val="before"/>
    <m:brkBinSub m:val="--"/>
    <m:smallFrac m:val="0"/>
    <m:dispDef m:val="0"/>
    <m:lMargin m:val="0"/>
    <m:rMargin m:val="0"/>
    <m:defJc m:val="centerGroup"/>
    <m:wrapRight m:val="1"/>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iPriority="9"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iPriority="9"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atentStyles>
  <w:style w:type="paragraph" w:default="1" w:styleId="1">
    <w:name w:val="Normal"/>
    <w:qFormat/>
    <w:uiPriority w:val="0"/>
    <w:pPr>
      <w:spacing w:after="200"/>
    </w:pPr>
    <w:rPr>
      <w:rFonts w:asciiTheme="minorHAnsi" w:hAnsiTheme="minorHAnsi" w:eastAsiaTheme="minorHAnsi" w:cstheme="minorBidi"/>
      <w:sz w:val="24"/>
      <w:szCs w:val="24"/>
      <w:lang w:val="en-US" w:eastAsia="en-US" w:bidi="ar-SA"/>
    </w:rPr>
  </w:style>
  <w:style w:type="paragraph" w:styleId="2">
    <w:name w:val="heading 1"/>
    <w:basedOn w:val="1"/>
    <w:next w:val="3"/>
    <w:qFormat/>
    <w:uiPriority w:val="9"/>
    <w:pPr>
      <w:keepNext/>
      <w:keepLines/>
      <w:spacing w:before="480" w:after="0"/>
      <w:outlineLvl w:val="0"/>
    </w:pPr>
    <w:rPr>
      <w:rFonts w:asciiTheme="majorHAnsi" w:hAnsiTheme="majorHAnsi" w:eastAsiaTheme="majorEastAsia" w:cstheme="majorBidi"/>
      <w:b/>
      <w:bCs/>
      <w:color w:val="335B8A" w:themeColor="accent1" w:themeShade="B5"/>
      <w:sz w:val="32"/>
      <w:szCs w:val="32"/>
    </w:rPr>
  </w:style>
  <w:style w:type="paragraph" w:styleId="4">
    <w:name w:val="heading 2"/>
    <w:basedOn w:val="1"/>
    <w:next w:val="3"/>
    <w:unhideWhenUsed/>
    <w:qFormat/>
    <w:uiPriority w:val="9"/>
    <w:pPr>
      <w:keepNext/>
      <w:keepLines/>
      <w:spacing w:before="200" w:after="0"/>
      <w:outlineLvl w:val="1"/>
    </w:pPr>
    <w:rPr>
      <w:rFonts w:asciiTheme="majorHAnsi" w:hAnsiTheme="majorHAnsi" w:eastAsiaTheme="majorEastAsia" w:cstheme="majorBidi"/>
      <w:b/>
      <w:bCs/>
      <w:color w:val="4F81BD" w:themeColor="accent1"/>
      <w:sz w:val="32"/>
      <w:szCs w:val="32"/>
    </w:rPr>
  </w:style>
  <w:style w:type="paragraph" w:styleId="5">
    <w:name w:val="heading 3"/>
    <w:basedOn w:val="1"/>
    <w:next w:val="3"/>
    <w:unhideWhenUsed/>
    <w:qFormat/>
    <w:uiPriority w:val="9"/>
    <w:pPr>
      <w:keepNext/>
      <w:keepLines/>
      <w:spacing w:before="200" w:after="0"/>
      <w:outlineLvl w:val="2"/>
    </w:pPr>
    <w:rPr>
      <w:rFonts w:asciiTheme="majorHAnsi" w:hAnsiTheme="majorHAnsi" w:eastAsiaTheme="majorEastAsia" w:cstheme="majorBidi"/>
      <w:b/>
      <w:bCs/>
      <w:color w:val="4F81BD" w:themeColor="accent1"/>
      <w:sz w:val="28"/>
      <w:szCs w:val="28"/>
    </w:rPr>
  </w:style>
  <w:style w:type="paragraph" w:styleId="6">
    <w:name w:val="heading 4"/>
    <w:basedOn w:val="1"/>
    <w:next w:val="3"/>
    <w:unhideWhenUsed/>
    <w:qFormat/>
    <w:uiPriority w:val="9"/>
    <w:pPr>
      <w:keepNext/>
      <w:keepLines/>
      <w:spacing w:before="200" w:after="0"/>
      <w:outlineLvl w:val="3"/>
    </w:pPr>
    <w:rPr>
      <w:rFonts w:asciiTheme="majorHAnsi" w:hAnsiTheme="majorHAnsi" w:eastAsiaTheme="majorEastAsia" w:cstheme="majorBidi"/>
      <w:b/>
      <w:bCs/>
      <w:color w:val="4F81BD" w:themeColor="accent1"/>
      <w:sz w:val="24"/>
      <w:szCs w:val="24"/>
    </w:rPr>
  </w:style>
  <w:style w:type="paragraph" w:styleId="7">
    <w:name w:val="heading 5"/>
    <w:basedOn w:val="1"/>
    <w:next w:val="3"/>
    <w:unhideWhenUsed/>
    <w:qFormat/>
    <w:uiPriority w:val="9"/>
    <w:pPr>
      <w:keepNext/>
      <w:keepLines/>
      <w:spacing w:before="200" w:after="0"/>
      <w:outlineLvl w:val="4"/>
    </w:pPr>
    <w:rPr>
      <w:rFonts w:asciiTheme="majorHAnsi" w:hAnsiTheme="majorHAnsi" w:eastAsiaTheme="majorEastAsia" w:cstheme="majorBidi"/>
      <w:i/>
      <w:iCs/>
      <w:color w:val="4F81BD" w:themeColor="accent1"/>
      <w:sz w:val="24"/>
      <w:szCs w:val="24"/>
    </w:rPr>
  </w:style>
  <w:style w:type="paragraph" w:styleId="8">
    <w:name w:val="heading 6"/>
    <w:basedOn w:val="1"/>
    <w:next w:val="3"/>
    <w:unhideWhenUsed/>
    <w:qFormat/>
    <w:uiPriority w:val="9"/>
    <w:pPr>
      <w:keepNext/>
      <w:keepLines/>
      <w:spacing w:before="200" w:after="0"/>
      <w:outlineLvl w:val="5"/>
    </w:pPr>
    <w:rPr>
      <w:rFonts w:asciiTheme="majorHAnsi" w:hAnsiTheme="majorHAnsi" w:eastAsiaTheme="majorEastAsia" w:cstheme="majorBidi"/>
      <w:color w:val="4F81BD" w:themeColor="accent1"/>
      <w:sz w:val="24"/>
      <w:szCs w:val="24"/>
    </w:rPr>
  </w:style>
  <w:style w:type="character" w:default="1" w:styleId="9">
    <w:name w:val="Default Paragraph Font"/>
    <w:semiHidden/>
    <w:unhideWhenUsed/>
    <w:uiPriority w:val="0"/>
  </w:style>
  <w:style w:type="table" w:default="1" w:styleId="10">
    <w:name w:val="Normal Table"/>
    <w:semiHidden/>
    <w:unhideWhenUsed/>
    <w:qFormat/>
    <w:uiPriority w:val="0"/>
    <w:tblPr>
      <w:tblCellMar>
        <w:top w:w="0" w:type="dxa"/>
        <w:left w:w="108" w:type="dxa"/>
        <w:bottom w:w="0" w:type="dxa"/>
        <w:right w:w="108" w:type="dxa"/>
      </w:tblCellMar>
    </w:tblPr>
  </w:style>
  <w:style w:type="paragraph" w:styleId="3">
    <w:name w:val="Body Text"/>
    <w:basedOn w:val="1"/>
    <w:link w:val="12"/>
    <w:qFormat/>
    <w:uiPriority w:val="0"/>
    <w:pPr>
      <w:spacing w:before="180" w:after="180"/>
    </w:pPr>
  </w:style>
  <w:style w:type="character" w:styleId="11">
    <w:name w:val="footnote reference"/>
    <w:basedOn w:val="12"/>
    <w:uiPriority w:val="0"/>
    <w:rPr>
      <w:vertAlign w:val="superscript"/>
    </w:rPr>
  </w:style>
  <w:style w:type="character" w:customStyle="1" w:styleId="12">
    <w:name w:val="Body Text Char"/>
    <w:basedOn w:val="9"/>
    <w:link w:val="3"/>
    <w:uiPriority w:val="0"/>
  </w:style>
  <w:style w:type="character" w:styleId="13">
    <w:name w:val="Hyperlink"/>
    <w:basedOn w:val="12"/>
    <w:uiPriority w:val="0"/>
    <w:rPr>
      <w:color w:val="4F81BD" w:themeColor="accent1"/>
    </w:rPr>
  </w:style>
  <w:style w:type="paragraph" w:styleId="14">
    <w:name w:val="footnote text"/>
    <w:basedOn w:val="1"/>
    <w:unhideWhenUsed/>
    <w:qFormat/>
    <w:uiPriority w:val="9"/>
  </w:style>
  <w:style w:type="paragraph" w:styleId="15">
    <w:name w:val="caption"/>
    <w:basedOn w:val="1"/>
    <w:next w:val="1"/>
    <w:uiPriority w:val="0"/>
    <w:pPr>
      <w:spacing w:before="0" w:after="120"/>
    </w:pPr>
    <w:rPr>
      <w:i/>
    </w:rPr>
  </w:style>
  <w:style w:type="paragraph" w:styleId="16">
    <w:name w:val="Date"/>
    <w:next w:val="3"/>
    <w:qFormat/>
    <w:uiPriority w:val="0"/>
    <w:pPr>
      <w:keepNext/>
      <w:keepLines/>
      <w:spacing w:after="200"/>
      <w:jc w:val="center"/>
    </w:pPr>
    <w:rPr>
      <w:rFonts w:asciiTheme="minorHAnsi" w:hAnsiTheme="minorHAnsi" w:eastAsiaTheme="minorHAnsi" w:cstheme="minorBidi"/>
      <w:sz w:val="24"/>
      <w:szCs w:val="24"/>
      <w:lang w:val="en-US" w:eastAsia="en-US" w:bidi="ar-SA"/>
    </w:rPr>
  </w:style>
  <w:style w:type="paragraph" w:styleId="17">
    <w:name w:val="Subtitle"/>
    <w:basedOn w:val="18"/>
    <w:next w:val="3"/>
    <w:qFormat/>
    <w:uiPriority w:val="0"/>
    <w:pPr>
      <w:keepNext/>
      <w:keepLines/>
      <w:spacing w:before="240" w:after="240"/>
      <w:jc w:val="center"/>
    </w:pPr>
    <w:rPr>
      <w:sz w:val="30"/>
      <w:szCs w:val="30"/>
    </w:rPr>
  </w:style>
  <w:style w:type="paragraph" w:styleId="18">
    <w:name w:val="Title"/>
    <w:basedOn w:val="1"/>
    <w:next w:val="3"/>
    <w:qFormat/>
    <w:uiPriority w:val="0"/>
    <w:pPr>
      <w:keepNext/>
      <w:keepLines/>
      <w:spacing w:before="480" w:after="240"/>
      <w:jc w:val="center"/>
    </w:pPr>
    <w:rPr>
      <w:rFonts w:asciiTheme="majorHAnsi" w:hAnsiTheme="majorHAnsi" w:eastAsiaTheme="majorEastAsia" w:cstheme="majorBidi"/>
      <w:b/>
      <w:bCs/>
      <w:color w:val="335B8A" w:themeColor="accent1" w:themeShade="B5"/>
      <w:sz w:val="36"/>
      <w:szCs w:val="36"/>
    </w:rPr>
  </w:style>
  <w:style w:type="paragraph" w:styleId="19">
    <w:name w:val="Block Text"/>
    <w:basedOn w:val="3"/>
    <w:next w:val="3"/>
    <w:unhideWhenUsed/>
    <w:qFormat/>
    <w:uiPriority w:val="9"/>
    <w:pPr>
      <w:spacing w:before="100" w:after="100"/>
      <w:ind w:firstLine="0"/>
    </w:pPr>
    <w:rPr>
      <w:rFonts w:asciiTheme="majorHAnsi" w:hAnsiTheme="majorHAnsi" w:eastAsiaTheme="majorEastAsia" w:cstheme="majorBidi"/>
      <w:bCs/>
      <w:sz w:val="20"/>
      <w:szCs w:val="20"/>
    </w:rPr>
  </w:style>
  <w:style w:type="paragraph" w:customStyle="1" w:styleId="20">
    <w:name w:val="First Paragraph"/>
    <w:basedOn w:val="3"/>
    <w:next w:val="3"/>
    <w:qFormat/>
    <w:uiPriority w:val="0"/>
  </w:style>
  <w:style w:type="paragraph" w:customStyle="1" w:styleId="21">
    <w:name w:val="Compact"/>
    <w:basedOn w:val="3"/>
    <w:qFormat/>
    <w:uiPriority w:val="0"/>
    <w:pPr>
      <w:spacing w:before="36" w:after="36"/>
    </w:pPr>
  </w:style>
  <w:style w:type="paragraph" w:customStyle="1" w:styleId="22">
    <w:name w:val="Author"/>
    <w:next w:val="3"/>
    <w:qFormat/>
    <w:uiPriority w:val="0"/>
    <w:pPr>
      <w:keepNext/>
      <w:keepLines/>
      <w:spacing w:after="200"/>
      <w:jc w:val="center"/>
    </w:pPr>
    <w:rPr>
      <w:rFonts w:asciiTheme="minorHAnsi" w:hAnsiTheme="minorHAnsi" w:eastAsiaTheme="minorHAnsi" w:cstheme="minorBidi"/>
      <w:sz w:val="24"/>
      <w:szCs w:val="24"/>
      <w:lang w:val="en-US" w:eastAsia="en-US" w:bidi="ar-SA"/>
    </w:rPr>
  </w:style>
  <w:style w:type="paragraph" w:customStyle="1" w:styleId="23">
    <w:name w:val="Abstract"/>
    <w:basedOn w:val="1"/>
    <w:next w:val="3"/>
    <w:qFormat/>
    <w:uiPriority w:val="0"/>
    <w:pPr>
      <w:keepNext/>
      <w:keepLines/>
      <w:spacing w:before="300" w:after="300"/>
    </w:pPr>
    <w:rPr>
      <w:sz w:val="20"/>
      <w:szCs w:val="20"/>
    </w:rPr>
  </w:style>
  <w:style w:type="paragraph" w:customStyle="1" w:styleId="24">
    <w:name w:val="Bibliography"/>
    <w:basedOn w:val="1"/>
    <w:qFormat/>
    <w:uiPriority w:val="0"/>
  </w:style>
  <w:style w:type="paragraph" w:customStyle="1" w:styleId="25">
    <w:name w:val="Definition Term"/>
    <w:basedOn w:val="1"/>
    <w:next w:val="26"/>
    <w:uiPriority w:val="0"/>
    <w:pPr>
      <w:keepNext/>
      <w:keepLines/>
      <w:spacing w:after="0"/>
    </w:pPr>
    <w:rPr>
      <w:b/>
    </w:rPr>
  </w:style>
  <w:style w:type="paragraph" w:customStyle="1" w:styleId="26">
    <w:name w:val="Definition"/>
    <w:basedOn w:val="1"/>
    <w:uiPriority w:val="0"/>
  </w:style>
  <w:style w:type="paragraph" w:customStyle="1" w:styleId="27">
    <w:name w:val="Table Caption"/>
    <w:basedOn w:val="15"/>
    <w:uiPriority w:val="0"/>
    <w:pPr>
      <w:keepNext/>
    </w:pPr>
  </w:style>
  <w:style w:type="paragraph" w:customStyle="1" w:styleId="28">
    <w:name w:val="Image Caption"/>
    <w:basedOn w:val="15"/>
    <w:uiPriority w:val="0"/>
  </w:style>
  <w:style w:type="paragraph" w:customStyle="1" w:styleId="29">
    <w:name w:val="Figure"/>
    <w:basedOn w:val="1"/>
    <w:uiPriority w:val="0"/>
  </w:style>
  <w:style w:type="paragraph" w:customStyle="1" w:styleId="30">
    <w:name w:val="Figure with Caption"/>
    <w:basedOn w:val="29"/>
    <w:uiPriority w:val="0"/>
    <w:pPr>
      <w:keepNext/>
    </w:pPr>
  </w:style>
  <w:style w:type="character" w:customStyle="1" w:styleId="31">
    <w:name w:val="Verbatim Char"/>
    <w:basedOn w:val="12"/>
    <w:link w:val="32"/>
    <w:uiPriority w:val="0"/>
    <w:rPr>
      <w:rFonts w:ascii="Consolas" w:hAnsi="Consolas"/>
      <w:sz w:val="22"/>
    </w:rPr>
  </w:style>
  <w:style w:type="paragraph" w:customStyle="1" w:styleId="32">
    <w:name w:val="Source Code"/>
    <w:basedOn w:val="1"/>
    <w:link w:val="31"/>
    <w:uiPriority w:val="0"/>
    <w:pPr>
      <w:shd w:val="clear" w:fill="F8F8F8"/>
      <w:wordWrap w:val="0"/>
    </w:pPr>
  </w:style>
  <w:style w:type="paragraph" w:customStyle="1" w:styleId="33">
    <w:name w:val="TOC Heading"/>
    <w:basedOn w:val="2"/>
    <w:next w:val="3"/>
    <w:unhideWhenUsed/>
    <w:qFormat/>
    <w:uiPriority w:val="39"/>
    <w:pPr>
      <w:spacing w:before="240" w:line="259" w:lineRule="auto"/>
      <w:outlineLvl w:val="9"/>
    </w:pPr>
    <w:rPr>
      <w:rFonts w:asciiTheme="majorHAnsi" w:hAnsiTheme="majorHAnsi" w:eastAsiaTheme="majorEastAsia" w:cstheme="majorBidi"/>
      <w:b w:val="0"/>
      <w:bCs w:val="0"/>
      <w:color w:val="366091" w:themeColor="accent1" w:themeShade="BF"/>
    </w:rPr>
  </w:style>
  <w:style w:type="character" w:customStyle="1" w:styleId="34">
    <w:name w:val="KeywordTok"/>
    <w:basedOn w:val="31"/>
    <w:uiPriority w:val="0"/>
    <w:rPr>
      <w:b/>
      <w:color w:val="204A87"/>
      <w:shd w:val="clear" w:fill="F8F8F8"/>
    </w:rPr>
  </w:style>
  <w:style w:type="character" w:customStyle="1" w:styleId="35">
    <w:name w:val="DataTypeTok"/>
    <w:basedOn w:val="31"/>
    <w:uiPriority w:val="0"/>
    <w:rPr>
      <w:color w:val="204A87"/>
      <w:shd w:val="clear" w:fill="F8F8F8"/>
    </w:rPr>
  </w:style>
  <w:style w:type="character" w:customStyle="1" w:styleId="36">
    <w:name w:val="DecValTok"/>
    <w:basedOn w:val="31"/>
    <w:uiPriority w:val="0"/>
    <w:rPr>
      <w:color w:val="0000CF"/>
      <w:shd w:val="clear" w:fill="F8F8F8"/>
    </w:rPr>
  </w:style>
  <w:style w:type="character" w:customStyle="1" w:styleId="37">
    <w:name w:val="BaseNTok"/>
    <w:basedOn w:val="31"/>
    <w:uiPriority w:val="0"/>
    <w:rPr>
      <w:color w:val="0000CF"/>
      <w:shd w:val="clear" w:fill="F8F8F8"/>
    </w:rPr>
  </w:style>
  <w:style w:type="character" w:customStyle="1" w:styleId="38">
    <w:name w:val="FloatTok"/>
    <w:basedOn w:val="31"/>
    <w:uiPriority w:val="0"/>
    <w:rPr>
      <w:color w:val="0000CF"/>
      <w:shd w:val="clear" w:fill="F8F8F8"/>
    </w:rPr>
  </w:style>
  <w:style w:type="character" w:customStyle="1" w:styleId="39">
    <w:name w:val="ConstantTok"/>
    <w:basedOn w:val="31"/>
    <w:uiPriority w:val="0"/>
    <w:rPr>
      <w:color w:val="000000"/>
      <w:shd w:val="clear" w:fill="F8F8F8"/>
    </w:rPr>
  </w:style>
  <w:style w:type="character" w:customStyle="1" w:styleId="40">
    <w:name w:val="CharTok"/>
    <w:basedOn w:val="31"/>
    <w:uiPriority w:val="0"/>
    <w:rPr>
      <w:color w:val="4E9A06"/>
      <w:shd w:val="clear" w:fill="F8F8F8"/>
    </w:rPr>
  </w:style>
  <w:style w:type="character" w:customStyle="1" w:styleId="41">
    <w:name w:val="SpecialCharTok"/>
    <w:basedOn w:val="31"/>
    <w:uiPriority w:val="0"/>
    <w:rPr>
      <w:color w:val="000000"/>
      <w:shd w:val="clear" w:fill="F8F8F8"/>
    </w:rPr>
  </w:style>
  <w:style w:type="character" w:customStyle="1" w:styleId="42">
    <w:name w:val="StringTok"/>
    <w:basedOn w:val="31"/>
    <w:uiPriority w:val="0"/>
    <w:rPr>
      <w:color w:val="4E9A06"/>
      <w:shd w:val="clear" w:fill="F8F8F8"/>
    </w:rPr>
  </w:style>
  <w:style w:type="character" w:customStyle="1" w:styleId="43">
    <w:name w:val="VerbatimStringTok"/>
    <w:basedOn w:val="31"/>
    <w:uiPriority w:val="0"/>
    <w:rPr>
      <w:color w:val="4E9A06"/>
      <w:shd w:val="clear" w:fill="F8F8F8"/>
    </w:rPr>
  </w:style>
  <w:style w:type="character" w:customStyle="1" w:styleId="44">
    <w:name w:val="SpecialStringTok"/>
    <w:basedOn w:val="31"/>
    <w:uiPriority w:val="0"/>
    <w:rPr>
      <w:color w:val="4E9A06"/>
      <w:shd w:val="clear" w:fill="F8F8F8"/>
    </w:rPr>
  </w:style>
  <w:style w:type="character" w:customStyle="1" w:styleId="45">
    <w:name w:val="ImportTok"/>
    <w:basedOn w:val="31"/>
    <w:uiPriority w:val="0"/>
    <w:rPr>
      <w:shd w:val="clear" w:fill="F8F8F8"/>
    </w:rPr>
  </w:style>
  <w:style w:type="character" w:customStyle="1" w:styleId="46">
    <w:name w:val="CommentTok"/>
    <w:basedOn w:val="31"/>
    <w:uiPriority w:val="0"/>
    <w:rPr>
      <w:i/>
      <w:color w:val="8F5902"/>
      <w:shd w:val="clear" w:fill="F8F8F8"/>
    </w:rPr>
  </w:style>
  <w:style w:type="character" w:customStyle="1" w:styleId="47">
    <w:name w:val="DocumentationTok"/>
    <w:basedOn w:val="31"/>
    <w:uiPriority w:val="0"/>
    <w:rPr>
      <w:b/>
      <w:i/>
      <w:color w:val="8F5902"/>
      <w:shd w:val="clear" w:fill="F8F8F8"/>
    </w:rPr>
  </w:style>
  <w:style w:type="character" w:customStyle="1" w:styleId="48">
    <w:name w:val="AnnotationTok"/>
    <w:basedOn w:val="31"/>
    <w:uiPriority w:val="0"/>
    <w:rPr>
      <w:b/>
      <w:i/>
      <w:color w:val="8F5902"/>
      <w:shd w:val="clear" w:fill="F8F8F8"/>
    </w:rPr>
  </w:style>
  <w:style w:type="character" w:customStyle="1" w:styleId="49">
    <w:name w:val="CommentVarTok"/>
    <w:basedOn w:val="31"/>
    <w:uiPriority w:val="0"/>
    <w:rPr>
      <w:b/>
      <w:i/>
      <w:color w:val="8F5902"/>
      <w:shd w:val="clear" w:fill="F8F8F8"/>
    </w:rPr>
  </w:style>
  <w:style w:type="character" w:customStyle="1" w:styleId="50">
    <w:name w:val="OtherTok"/>
    <w:basedOn w:val="31"/>
    <w:uiPriority w:val="0"/>
    <w:rPr>
      <w:color w:val="8F5902"/>
      <w:shd w:val="clear" w:fill="F8F8F8"/>
    </w:rPr>
  </w:style>
  <w:style w:type="character" w:customStyle="1" w:styleId="51">
    <w:name w:val="FunctionTok"/>
    <w:basedOn w:val="31"/>
    <w:uiPriority w:val="0"/>
    <w:rPr>
      <w:color w:val="000000"/>
      <w:shd w:val="clear" w:fill="F8F8F8"/>
    </w:rPr>
  </w:style>
  <w:style w:type="character" w:customStyle="1" w:styleId="52">
    <w:name w:val="VariableTok"/>
    <w:basedOn w:val="31"/>
    <w:uiPriority w:val="0"/>
    <w:rPr>
      <w:color w:val="000000"/>
      <w:shd w:val="clear" w:fill="F8F8F8"/>
    </w:rPr>
  </w:style>
  <w:style w:type="character" w:customStyle="1" w:styleId="53">
    <w:name w:val="ControlFlowTok"/>
    <w:basedOn w:val="31"/>
    <w:uiPriority w:val="0"/>
    <w:rPr>
      <w:b/>
      <w:color w:val="204A87"/>
      <w:shd w:val="clear" w:fill="F8F8F8"/>
    </w:rPr>
  </w:style>
  <w:style w:type="character" w:customStyle="1" w:styleId="54">
    <w:name w:val="OperatorTok"/>
    <w:basedOn w:val="31"/>
    <w:uiPriority w:val="0"/>
    <w:rPr>
      <w:b/>
      <w:color w:val="CE5C00"/>
      <w:shd w:val="clear" w:fill="F8F8F8"/>
    </w:rPr>
  </w:style>
  <w:style w:type="character" w:customStyle="1" w:styleId="55">
    <w:name w:val="BuiltInTok"/>
    <w:basedOn w:val="31"/>
    <w:uiPriority w:val="0"/>
    <w:rPr>
      <w:shd w:val="clear" w:fill="F8F8F8"/>
    </w:rPr>
  </w:style>
  <w:style w:type="character" w:customStyle="1" w:styleId="56">
    <w:name w:val="ExtensionTok"/>
    <w:basedOn w:val="31"/>
    <w:uiPriority w:val="0"/>
    <w:rPr>
      <w:shd w:val="clear" w:fill="F8F8F8"/>
    </w:rPr>
  </w:style>
  <w:style w:type="character" w:customStyle="1" w:styleId="57">
    <w:name w:val="PreprocessorTok"/>
    <w:basedOn w:val="31"/>
    <w:uiPriority w:val="0"/>
    <w:rPr>
      <w:i/>
      <w:color w:val="8F5902"/>
      <w:shd w:val="clear" w:fill="F8F8F8"/>
    </w:rPr>
  </w:style>
  <w:style w:type="character" w:customStyle="1" w:styleId="58">
    <w:name w:val="AttributeTok"/>
    <w:basedOn w:val="31"/>
    <w:uiPriority w:val="0"/>
    <w:rPr>
      <w:color w:val="C4A000"/>
      <w:shd w:val="clear" w:fill="F8F8F8"/>
    </w:rPr>
  </w:style>
  <w:style w:type="character" w:customStyle="1" w:styleId="59">
    <w:name w:val="RegionMarkerTok"/>
    <w:basedOn w:val="31"/>
    <w:uiPriority w:val="0"/>
    <w:rPr>
      <w:shd w:val="clear" w:fill="F8F8F8"/>
    </w:rPr>
  </w:style>
  <w:style w:type="character" w:customStyle="1" w:styleId="60">
    <w:name w:val="InformationTok"/>
    <w:basedOn w:val="31"/>
    <w:uiPriority w:val="0"/>
    <w:rPr>
      <w:b/>
      <w:i/>
      <w:color w:val="8F5902"/>
      <w:shd w:val="clear" w:fill="F8F8F8"/>
    </w:rPr>
  </w:style>
  <w:style w:type="character" w:customStyle="1" w:styleId="61">
    <w:name w:val="WarningTok"/>
    <w:basedOn w:val="31"/>
    <w:uiPriority w:val="0"/>
    <w:rPr>
      <w:b/>
      <w:i/>
      <w:color w:val="8F5902"/>
      <w:shd w:val="clear" w:fill="F8F8F8"/>
    </w:rPr>
  </w:style>
  <w:style w:type="character" w:customStyle="1" w:styleId="62">
    <w:name w:val="AlertTok"/>
    <w:basedOn w:val="31"/>
    <w:uiPriority w:val="0"/>
    <w:rPr>
      <w:color w:val="EF2929"/>
      <w:shd w:val="clear" w:fill="F8F8F8"/>
    </w:rPr>
  </w:style>
  <w:style w:type="character" w:customStyle="1" w:styleId="63">
    <w:name w:val="ErrorTok"/>
    <w:basedOn w:val="31"/>
    <w:uiPriority w:val="0"/>
    <w:rPr>
      <w:b/>
      <w:color w:val="A40000"/>
      <w:shd w:val="clear" w:fill="F8F8F8"/>
    </w:rPr>
  </w:style>
  <w:style w:type="character" w:customStyle="1" w:styleId="64">
    <w:name w:val="NormalTok"/>
    <w:basedOn w:val="31"/>
    <w:uiPriority w:val="0"/>
    <w:rPr>
      <w:shd w:val="clear" w:fill="F8F8F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docProps/app.xml><?xml version="1.0" encoding="utf-8"?>
<Properties xmlns="http://schemas.openxmlformats.org/officeDocument/2006/extended-properties" xmlns:vt="http://schemas.openxmlformats.org/officeDocument/2006/docPropsVTypes">
  <Template>Normal.dotm</Template>
  <Pages>1</Pages>
  <Words>83</Words>
  <Characters>475</Characters>
  <Lines>12</Lines>
  <Paragraphs>8</Paragraphs>
  <TotalTime>7</TotalTime>
  <ScaleCrop>false</ScaleCrop>
  <LinksUpToDate>false</LinksUpToDate>
  <CharactersWithSpaces>583</CharactersWithSpaces>
  <Application>WPS Office_11.2.0.11156_F1E327BC-269C-435d-A152-05C5408002CA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2022-06-09T09:28:00Z</dcterms:created>
  <dc:creator>Daniel Escoriza</dc:creator>
  <cp:lastModifiedBy>danie</cp:lastModifiedBy>
  <dcterms:modified xsi:type="dcterms:W3CDTF">2022-06-09T09:30:26Z</dcterms:modified>
  <dc:title>Niche diversification of Mediterranean and South-Western Asian tortoises</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3082-11.2.0.11156</vt:lpwstr>
  </property>
  <property fmtid="{D5CDD505-2E9C-101B-9397-08002B2CF9AE}" pid="3" name="ICV">
    <vt:lpwstr>69342823E0694C99884D97D038C468EA</vt:lpwstr>
  </property>
</Properties>
</file>