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1" w:rsidRPr="009C6D71" w:rsidRDefault="00234B11" w:rsidP="00234B11">
      <w:pPr>
        <w:jc w:val="both"/>
        <w:rPr>
          <w:rFonts w:ascii="Times New Roman" w:eastAsia="宋体" w:hAnsi="Times New Roman" w:cs="Times New Roman"/>
          <w:bCs/>
          <w:sz w:val="21"/>
          <w:szCs w:val="21"/>
        </w:rPr>
      </w:pPr>
      <w:r w:rsidRPr="009C6D71">
        <w:rPr>
          <w:rFonts w:ascii="Times New Roman" w:eastAsia="宋体" w:hAnsi="Times New Roman" w:cs="Times New Roman"/>
          <w:bCs/>
          <w:sz w:val="21"/>
          <w:szCs w:val="21"/>
        </w:rPr>
        <w:t>Residents' cognition of the combination of medical care and health care</w:t>
      </w:r>
    </w:p>
    <w:p w:rsidR="00860AC7" w:rsidRPr="009C6D71" w:rsidRDefault="00234B11" w:rsidP="00234B11">
      <w:pPr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C6D71">
        <w:rPr>
          <w:rFonts w:ascii="Times New Roman" w:eastAsia="宋体" w:hAnsi="Times New Roman" w:cs="Times New Roman"/>
          <w:bCs/>
          <w:sz w:val="21"/>
          <w:szCs w:val="21"/>
        </w:rPr>
        <w:t>Residents' cognition of the combination of medical care and health care is relatively high. 63.4% knew better, knew better and knew very well, 35.6% heard of it but didn't know better and never heard of it. The cognition level of residents aged 60-80 years was more than 60%, and the cognition level of residents over 80 years old was lower than that of other age groups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（</w:t>
      </w:r>
      <w:r w:rsidR="00E6521D" w:rsidRPr="009C6D71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073781B1" wp14:editId="7777192C">
            <wp:extent cx="222250" cy="22860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=43.925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，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P&lt;0.05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）；</w:t>
      </w:r>
      <w:r w:rsidRPr="009C6D71">
        <w:rPr>
          <w:rFonts w:ascii="Times New Roman" w:eastAsia="宋体" w:hAnsi="Times New Roman" w:cs="Times New Roman"/>
          <w:sz w:val="21"/>
          <w:szCs w:val="21"/>
        </w:rPr>
        <w:t>The higher the level of education, the higher the recognition of the combination of medical care and health care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（</w:t>
      </w:r>
      <w:r w:rsidR="00E6521D" w:rsidRPr="009C6D71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2F0D9DD4" wp14:editId="386C969F">
            <wp:extent cx="222250" cy="228600"/>
            <wp:effectExtent l="0" t="0" r="0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=65.490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，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P&lt;0.05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）；</w:t>
      </w:r>
      <w:r w:rsidRPr="009C6D71">
        <w:rPr>
          <w:rFonts w:ascii="Times New Roman" w:eastAsia="宋体" w:hAnsi="Times New Roman" w:cs="Times New Roman"/>
          <w:sz w:val="21"/>
          <w:szCs w:val="21"/>
        </w:rPr>
        <w:t>Among household registration types, urban residents have higher recognition of medical, maintenance and health combination than transfer residents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（</w:t>
      </w:r>
      <w:r w:rsidR="00E6521D" w:rsidRPr="009C6D71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38DB2BFA" wp14:editId="4B32E3F8">
            <wp:extent cx="222250" cy="228600"/>
            <wp:effectExtent l="0" t="0" r="0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=28.331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，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P&lt;0.05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）；</w:t>
      </w:r>
      <w:r w:rsidRPr="009C6D71">
        <w:rPr>
          <w:rFonts w:ascii="Times New Roman" w:eastAsia="宋体" w:hAnsi="Times New Roman" w:cs="Times New Roman"/>
          <w:sz w:val="21"/>
          <w:szCs w:val="21"/>
        </w:rPr>
        <w:t>The overall cognition of married residents was significantly higher than that of other residents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（</w:t>
      </w:r>
      <w:r w:rsidR="00E6521D" w:rsidRPr="009C6D71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7A608C3D" wp14:editId="64F0F69F">
            <wp:extent cx="222250" cy="228600"/>
            <wp:effectExtent l="0" t="0" r="0" b="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=32.027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，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P&lt;0.05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）；</w:t>
      </w:r>
      <w:r w:rsidRPr="009C6D71">
        <w:rPr>
          <w:rFonts w:ascii="Times New Roman" w:eastAsia="宋体" w:hAnsi="Times New Roman" w:cs="Times New Roman"/>
          <w:sz w:val="21"/>
          <w:szCs w:val="21"/>
        </w:rPr>
        <w:t>Residents whose occupations before retirement were enterprise employees and national civil servants had higher cognition levels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（</w:t>
      </w:r>
      <w:r w:rsidR="00E6521D" w:rsidRPr="009C6D71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0B321259" wp14:editId="1AF698FB">
            <wp:extent cx="222250" cy="228600"/>
            <wp:effectExtent l="0" t="0" r="0" b="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=51.861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，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P&lt;0.05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）；</w:t>
      </w:r>
      <w:r w:rsidRPr="009C6D71">
        <w:rPr>
          <w:rFonts w:ascii="Times New Roman" w:eastAsia="宋体" w:hAnsi="Times New Roman" w:cs="Times New Roman"/>
          <w:sz w:val="21"/>
          <w:szCs w:val="21"/>
        </w:rPr>
        <w:t>Residents with commercial insurance or commercial insurance + medical insurance had higher overall cognition than those with other medical insurance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（</w:t>
      </w:r>
      <w:r w:rsidR="00E6521D" w:rsidRPr="009C6D71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015794F4" wp14:editId="17F9F7DC">
            <wp:extent cx="222250" cy="228600"/>
            <wp:effectExtent l="0" t="0" r="0" b="0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=64.252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，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P&lt;0.05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）；</w:t>
      </w:r>
      <w:r w:rsidRPr="009C6D71">
        <w:rPr>
          <w:rFonts w:ascii="Times New Roman" w:eastAsia="宋体" w:hAnsi="Times New Roman" w:cs="Times New Roman"/>
          <w:sz w:val="21"/>
          <w:szCs w:val="21"/>
        </w:rPr>
        <w:t>Residents without pension insurance have higher awareness than other residents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（</w:t>
      </w:r>
      <w:r w:rsidR="00E6521D" w:rsidRPr="009C6D71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6BA674A2" wp14:editId="6BD55BA7">
            <wp:extent cx="222250" cy="228600"/>
            <wp:effectExtent l="0" t="0" r="0" b="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=27.857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，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P&lt;0.05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）；</w:t>
      </w:r>
      <w:r w:rsidRPr="009C6D71">
        <w:rPr>
          <w:rFonts w:ascii="Times New Roman" w:eastAsia="宋体" w:hAnsi="Times New Roman" w:cs="Times New Roman"/>
          <w:sz w:val="21"/>
          <w:szCs w:val="21"/>
        </w:rPr>
        <w:t>The higher the monthly household income, the higher the cognition level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（</w:t>
      </w:r>
      <w:r w:rsidR="00E6521D" w:rsidRPr="009C6D71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732A145E" wp14:editId="305C6059">
            <wp:extent cx="222250" cy="228600"/>
            <wp:effectExtent l="0" t="0" r="0" b="0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=43.312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，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P&lt;0.05</w:t>
      </w:r>
      <w:r w:rsidR="00E6521D" w:rsidRPr="009C6D71">
        <w:rPr>
          <w:rFonts w:ascii="Times New Roman" w:eastAsia="宋体" w:hAnsi="Times New Roman" w:cs="Times New Roman"/>
          <w:sz w:val="21"/>
          <w:szCs w:val="21"/>
        </w:rPr>
        <w:t>）。</w:t>
      </w:r>
    </w:p>
    <w:tbl>
      <w:tblPr>
        <w:tblStyle w:val="a3"/>
        <w:tblW w:w="114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50"/>
        <w:gridCol w:w="730"/>
        <w:gridCol w:w="1220"/>
        <w:gridCol w:w="1240"/>
        <w:gridCol w:w="1220"/>
        <w:gridCol w:w="1320"/>
        <w:gridCol w:w="1340"/>
        <w:gridCol w:w="920"/>
        <w:gridCol w:w="820"/>
      </w:tblGrid>
      <w:tr w:rsidR="00860AC7" w:rsidRPr="009C6D71">
        <w:tc>
          <w:tcPr>
            <w:tcW w:w="11460" w:type="dxa"/>
            <w:gridSpan w:val="9"/>
          </w:tcPr>
          <w:p w:rsidR="00860AC7" w:rsidRPr="009C6D71" w:rsidRDefault="00BA604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eastAsia="宋体" w:hAnsi="Times New Roman" w:cs="Times New Roman"/>
                <w:sz w:val="21"/>
                <w:szCs w:val="21"/>
              </w:rPr>
              <w:t>Understanding of the combination mode of medical care and health care</w:t>
            </w:r>
          </w:p>
        </w:tc>
      </w:tr>
      <w:tr w:rsidR="00860AC7" w:rsidRPr="009C6D71">
        <w:tc>
          <w:tcPr>
            <w:tcW w:w="2650" w:type="dxa"/>
            <w:vMerge w:val="restart"/>
          </w:tcPr>
          <w:p w:rsidR="00860AC7" w:rsidRPr="009C6D71" w:rsidRDefault="00BA604E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sz w:val="21"/>
                <w:szCs w:val="21"/>
              </w:rPr>
              <w:t>Item</w:t>
            </w:r>
            <w:r w:rsidR="00E6521D" w:rsidRPr="009C6D71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30" w:type="dxa"/>
          </w:tcPr>
          <w:p w:rsidR="00860AC7" w:rsidRPr="009C6D71" w:rsidRDefault="00BA604E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eastAsia="宋体" w:hAnsi="Times New Roman" w:cs="Times New Roman"/>
                <w:sz w:val="21"/>
                <w:szCs w:val="21"/>
              </w:rPr>
              <w:t>Number</w:t>
            </w:r>
          </w:p>
        </w:tc>
        <w:tc>
          <w:tcPr>
            <w:tcW w:w="1220" w:type="dxa"/>
          </w:tcPr>
          <w:p w:rsidR="00860AC7" w:rsidRPr="009C6D71" w:rsidRDefault="009C6D7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well Known </w:t>
            </w:r>
          </w:p>
        </w:tc>
        <w:tc>
          <w:tcPr>
            <w:tcW w:w="1240" w:type="dxa"/>
          </w:tcPr>
          <w:p w:rsidR="00860AC7" w:rsidRPr="009C6D71" w:rsidRDefault="009C6D7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51CF1">
              <w:rPr>
                <w:rFonts w:ascii="Times New Roman" w:hAnsi="Times New Roman" w:hint="eastAsia"/>
                <w:kern w:val="2"/>
                <w:sz w:val="18"/>
                <w:szCs w:val="18"/>
              </w:rPr>
              <w:t>know</w:t>
            </w:r>
          </w:p>
        </w:tc>
        <w:tc>
          <w:tcPr>
            <w:tcW w:w="1220" w:type="dxa"/>
          </w:tcPr>
          <w:p w:rsidR="00860AC7" w:rsidRPr="009C6D71" w:rsidRDefault="009C6D7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51CF1">
              <w:rPr>
                <w:rFonts w:ascii="Times New Roman" w:hAnsi="Times New Roman" w:hint="eastAsia"/>
                <w:kern w:val="2"/>
                <w:sz w:val="18"/>
                <w:szCs w:val="18"/>
              </w:rPr>
              <w:t>better</w:t>
            </w:r>
            <w:r w:rsidRPr="00F51CF1">
              <w:rPr>
                <w:rFonts w:ascii="Times New Roman" w:hAnsi="Times New Roman"/>
                <w:kern w:val="2"/>
                <w:sz w:val="18"/>
                <w:szCs w:val="18"/>
              </w:rPr>
              <w:t xml:space="preserve"> K</w:t>
            </w:r>
            <w:r w:rsidRPr="00F51CF1">
              <w:rPr>
                <w:rFonts w:ascii="Times New Roman" w:hAnsi="Times New Roman" w:hint="eastAsia"/>
                <w:kern w:val="2"/>
                <w:sz w:val="18"/>
                <w:szCs w:val="18"/>
              </w:rPr>
              <w:t>nown</w:t>
            </w:r>
          </w:p>
        </w:tc>
        <w:tc>
          <w:tcPr>
            <w:tcW w:w="1320" w:type="dxa"/>
          </w:tcPr>
          <w:p w:rsidR="00860AC7" w:rsidRPr="009C6D71" w:rsidRDefault="009C6D7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51CF1">
              <w:rPr>
                <w:rFonts w:ascii="Times New Roman" w:hAnsi="Times New Roman"/>
                <w:kern w:val="2"/>
                <w:sz w:val="18"/>
                <w:szCs w:val="18"/>
              </w:rPr>
              <w:t>L</w:t>
            </w:r>
            <w:r w:rsidRPr="00F51CF1">
              <w:rPr>
                <w:rFonts w:ascii="Times New Roman" w:hAnsi="Times New Roman" w:hint="eastAsia"/>
                <w:kern w:val="2"/>
                <w:sz w:val="18"/>
                <w:szCs w:val="18"/>
              </w:rPr>
              <w:t>ittle known</w:t>
            </w:r>
          </w:p>
        </w:tc>
        <w:tc>
          <w:tcPr>
            <w:tcW w:w="1340" w:type="dxa"/>
          </w:tcPr>
          <w:p w:rsidR="00860AC7" w:rsidRPr="009C6D71" w:rsidRDefault="009C6D7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bookmarkStart w:id="0" w:name="OLE_LINK10"/>
            <w:bookmarkStart w:id="1" w:name="OLE_LINK11"/>
            <w:r w:rsidRPr="00F51CF1">
              <w:rPr>
                <w:rFonts w:ascii="Times New Roman" w:hAnsi="Times New Roman" w:hint="eastAsia"/>
                <w:kern w:val="2"/>
                <w:sz w:val="18"/>
                <w:szCs w:val="18"/>
              </w:rPr>
              <w:t>unknown</w:t>
            </w:r>
            <w:bookmarkEnd w:id="0"/>
            <w:bookmarkEnd w:id="1"/>
          </w:p>
        </w:tc>
        <w:tc>
          <w:tcPr>
            <w:tcW w:w="920" w:type="dxa"/>
          </w:tcPr>
          <w:p w:rsidR="00860AC7" w:rsidRPr="009C6D71" w:rsidRDefault="009C6D7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51CF1">
              <w:rPr>
                <w:rFonts w:ascii="Times New Roman" w:hAnsi="Times New Roman" w:hint="eastAsia"/>
                <w:noProof/>
                <w:sz w:val="18"/>
                <w:szCs w:val="18"/>
              </w:rPr>
              <w:drawing>
                <wp:inline distT="0" distB="0" distL="0" distR="0" wp14:anchorId="6330A822" wp14:editId="5CAF1982">
                  <wp:extent cx="219075" cy="228600"/>
                  <wp:effectExtent l="0" t="0" r="0" b="0"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</w:tcPr>
          <w:p w:rsidR="00860AC7" w:rsidRPr="009C6D71" w:rsidRDefault="009C6D71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51CF1">
              <w:rPr>
                <w:rFonts w:ascii="Times New Roman" w:hAnsi="Times New Roman"/>
                <w:kern w:val="2"/>
                <w:sz w:val="18"/>
                <w:szCs w:val="18"/>
              </w:rPr>
              <w:t>P</w:t>
            </w:r>
            <w:r w:rsidRPr="00F51CF1">
              <w:rPr>
                <w:rFonts w:ascii="Times New Roman" w:hAnsi="Times New Roman" w:hint="eastAsia"/>
                <w:kern w:val="2"/>
                <w:sz w:val="18"/>
                <w:szCs w:val="18"/>
              </w:rPr>
              <w:t xml:space="preserve"> value</w:t>
            </w:r>
            <w:bookmarkStart w:id="2" w:name="_GoBack"/>
            <w:bookmarkEnd w:id="2"/>
          </w:p>
        </w:tc>
      </w:tr>
      <w:tr w:rsidR="00860AC7" w:rsidRPr="009C6D71">
        <w:trPr>
          <w:trHeight w:val="352"/>
        </w:trPr>
        <w:tc>
          <w:tcPr>
            <w:tcW w:w="2650" w:type="dxa"/>
            <w:vMerge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Gender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8.836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0.087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Male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167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29.9%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Female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180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37(20.6%)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37(20.6%)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22.2%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Age (years)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43.923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0.000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 w:rsidP="009C6D71">
            <w:pPr>
              <w:ind w:firstLineChars="100" w:firstLine="210"/>
              <w:rPr>
                <w:rFonts w:ascii="Times New Roman" w:eastAsiaTheme="minorEastAsia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60-65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130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29.2%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19.2%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 w:rsidP="009C6D71">
            <w:pPr>
              <w:ind w:firstLineChars="100" w:firstLine="21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66-70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34.8%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 w:rsidP="009C6D71">
            <w:pPr>
              <w:ind w:firstLineChars="100" w:firstLine="21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71-75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54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22.2%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 w:rsidP="009C6D71">
            <w:pPr>
              <w:ind w:firstLineChars="100" w:firstLine="21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76-80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27.3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24.2%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 w:rsidP="009C6D71">
            <w:pPr>
              <w:ind w:firstLineChars="100" w:firstLine="210"/>
              <w:rPr>
                <w:rFonts w:ascii="Times New Roman" w:eastAsiaTheme="minorEastAsia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&gt;80</w:t>
            </w: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岁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84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36.9%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Level of education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65.490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0.000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176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Primary school the following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44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45.5%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Primary school</w:t>
            </w:r>
            <w:r w:rsidR="00E6521D" w:rsidRPr="009C6D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52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17.3%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32.7%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17.3%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176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lastRenderedPageBreak/>
              <w:t>Junior high school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69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17.4%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21.7%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21.7%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technical secondary school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0(0.0%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37.5%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31.3%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high school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1220" w:type="dxa"/>
          </w:tcPr>
          <w:p w:rsidR="00860AC7" w:rsidRPr="009C6D71" w:rsidRDefault="00E6521D">
            <w:pPr>
              <w:tabs>
                <w:tab w:val="left" w:pos="277"/>
              </w:tabs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31.7%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junior college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97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35.1%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bachelor degree or above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Household type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28.331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0.000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Urban residents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239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31.8%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 w:rsidP="009C6D71">
            <w:pPr>
              <w:ind w:firstLineChars="100" w:firstLine="210"/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Rural farmers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108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5E26FB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Marital status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32.027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0.012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Married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267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27.7%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67.7%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Single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42.9%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28.6%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tabs>
                <w:tab w:val="left" w:pos="437"/>
              </w:tabs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Divorced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61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29.5%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19.7%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36.1%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Widowed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Occupation before retirement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51.861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0.000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Enterprise employees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91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31.9%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>
            <w:pPr>
              <w:ind w:leftChars="120" w:left="240"/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Civil servants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37.5%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Institutions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92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29.3%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Self-employed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37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29.7%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27.0%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Farmers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22.2%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22.2%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Migrant workers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54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24.1%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22.2%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38.9%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Others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Medical treatment insurance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64.252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0.000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None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34.8%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34.8%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Commercial insurance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47.1%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New rural cooperative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73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21.9%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38.4%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urban residents medical treatment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49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32.7%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28.6%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town worker medical insurance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148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>
            <w:pPr>
              <w:ind w:leftChars="120" w:left="24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endowment insurance</w:t>
            </w: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、</w:t>
            </w: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Medical insurance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endowment Insurance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27.857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0.020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None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34.0%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34.0%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17.0%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agency institution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117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28.2%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19.7%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Urban workers or urban and rural residents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125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21.6%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land expropriated farmers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19.2%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38.5%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>
            <w:pPr>
              <w:ind w:leftChars="120" w:left="24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business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46.2%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15.4%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DC050C" w:rsidP="009C6D71">
            <w:pPr>
              <w:ind w:left="2310" w:hangingChars="1100" w:hanging="23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family monthly income</w:t>
            </w:r>
            <w:r w:rsidR="00E6521D" w:rsidRPr="009C6D71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73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4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>
            <w:pPr>
              <w:ind w:leftChars="120" w:left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&lt;3000</w:t>
            </w:r>
            <w:r w:rsidR="00DC050C"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="00DC050C"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RMB</w:t>
            </w: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6.5%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43.5%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43.312</w:t>
            </w:r>
          </w:p>
        </w:tc>
        <w:tc>
          <w:tcPr>
            <w:tcW w:w="8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0.000</w:t>
            </w: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 w:rsidP="009C6D71">
            <w:pPr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3000-5999</w:t>
            </w:r>
            <w:r w:rsidR="00DC050C"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="00DC050C"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RMB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87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8.0%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28.7%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26.4%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16.1%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20.7%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 w:rsidP="009C6D71">
            <w:pPr>
              <w:ind w:firstLineChars="100" w:firstLine="210"/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sz w:val="21"/>
                <w:szCs w:val="21"/>
              </w:rPr>
              <w:t>6000-9999</w:t>
            </w:r>
            <w:r w:rsidR="00DC050C"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="00DC050C"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RMB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110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12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10.9%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30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27.3%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37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16.4%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11.8%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  <w:tr w:rsidR="00860AC7" w:rsidRPr="009C6D71">
        <w:trPr>
          <w:trHeight w:val="352"/>
        </w:trPr>
        <w:tc>
          <w:tcPr>
            <w:tcW w:w="2650" w:type="dxa"/>
          </w:tcPr>
          <w:p w:rsidR="00860AC7" w:rsidRPr="009C6D71" w:rsidRDefault="00E6521D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 xml:space="preserve"> 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 xml:space="preserve"> ≥10000</w:t>
            </w:r>
            <w:r w:rsidR="00DC050C"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="00DC050C" w:rsidRPr="009C6D71">
              <w:rPr>
                <w:rFonts w:ascii="Times New Roman" w:hAnsi="Times New Roman" w:cs="Times New Roman"/>
                <w:kern w:val="2"/>
                <w:sz w:val="21"/>
                <w:szCs w:val="21"/>
              </w:rPr>
              <w:t>RMB</w:t>
            </w:r>
          </w:p>
        </w:tc>
        <w:tc>
          <w:tcPr>
            <w:tcW w:w="73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104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14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13.5%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33.7%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2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25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24.0%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2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19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18.3%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340" w:type="dxa"/>
          </w:tcPr>
          <w:p w:rsidR="00860AC7" w:rsidRPr="009C6D71" w:rsidRDefault="00E6521D">
            <w:pPr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11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（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10.6%</w:t>
            </w:r>
            <w:r w:rsidRPr="009C6D71">
              <w:rPr>
                <w:rFonts w:ascii="Times New Roman" w:eastAsia="宋体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9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0" w:type="dxa"/>
          </w:tcPr>
          <w:p w:rsidR="00860AC7" w:rsidRPr="009C6D71" w:rsidRDefault="00860AC7">
            <w:pPr>
              <w:rPr>
                <w:rFonts w:ascii="Times New Roman" w:hAnsi="Times New Roman" w:cs="Times New Roman"/>
                <w:bCs/>
                <w:spacing w:val="-17"/>
                <w:sz w:val="21"/>
                <w:szCs w:val="21"/>
                <w:shd w:val="clear" w:color="auto" w:fill="FFFFFF"/>
              </w:rPr>
            </w:pPr>
          </w:p>
        </w:tc>
      </w:tr>
    </w:tbl>
    <w:p w:rsidR="00860AC7" w:rsidRPr="009C6D71" w:rsidRDefault="00860AC7">
      <w:pPr>
        <w:rPr>
          <w:rFonts w:ascii="Times New Roman" w:eastAsia="宋体" w:hAnsi="Times New Roman" w:cs="Times New Roman"/>
          <w:sz w:val="21"/>
          <w:szCs w:val="21"/>
        </w:rPr>
      </w:pPr>
    </w:p>
    <w:p w:rsidR="00860AC7" w:rsidRPr="009C6D71" w:rsidRDefault="00860AC7">
      <w:pPr>
        <w:rPr>
          <w:rFonts w:ascii="Times New Roman" w:eastAsia="宋体" w:hAnsi="Times New Roman" w:cs="Times New Roman"/>
          <w:sz w:val="21"/>
          <w:szCs w:val="21"/>
        </w:rPr>
      </w:pPr>
    </w:p>
    <w:p w:rsidR="00860AC7" w:rsidRPr="009C6D71" w:rsidRDefault="00860AC7">
      <w:pPr>
        <w:rPr>
          <w:rFonts w:ascii="Times New Roman" w:eastAsia="宋体" w:hAnsi="Times New Roman" w:cs="Times New Roman"/>
          <w:sz w:val="21"/>
          <w:szCs w:val="21"/>
        </w:rPr>
      </w:pPr>
    </w:p>
    <w:p w:rsidR="00860AC7" w:rsidRPr="009C6D71" w:rsidRDefault="00860AC7">
      <w:pPr>
        <w:rPr>
          <w:rFonts w:ascii="Times New Roman" w:hAnsi="Times New Roman" w:cs="Times New Roman"/>
          <w:sz w:val="21"/>
          <w:szCs w:val="21"/>
        </w:rPr>
      </w:pPr>
    </w:p>
    <w:sectPr w:rsidR="00860AC7" w:rsidRPr="009C6D71">
      <w:pgSz w:w="12242" w:h="15842"/>
      <w:pgMar w:top="1417" w:right="1417" w:bottom="1417" w:left="141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87" w:rsidRDefault="005C6387" w:rsidP="00234B11">
      <w:r>
        <w:separator/>
      </w:r>
    </w:p>
  </w:endnote>
  <w:endnote w:type="continuationSeparator" w:id="0">
    <w:p w:rsidR="005C6387" w:rsidRDefault="005C6387" w:rsidP="0023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87" w:rsidRDefault="005C6387" w:rsidP="00234B11">
      <w:r>
        <w:separator/>
      </w:r>
    </w:p>
  </w:footnote>
  <w:footnote w:type="continuationSeparator" w:id="0">
    <w:p w:rsidR="005C6387" w:rsidRDefault="005C6387" w:rsidP="00234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34B11"/>
    <w:rsid w:val="005C6387"/>
    <w:rsid w:val="005E26FB"/>
    <w:rsid w:val="00860AC7"/>
    <w:rsid w:val="009C6D71"/>
    <w:rsid w:val="00BA604E"/>
    <w:rsid w:val="00DC050C"/>
    <w:rsid w:val="00E6521D"/>
    <w:rsid w:val="1A147D48"/>
    <w:rsid w:val="6826197A"/>
    <w:rsid w:val="7280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/>
    <w:lsdException w:name="heading 1" w:uiPriority="99" w:unhideWhenUsed="1"/>
    <w:lsdException w:name="heading 2" w:uiPriority="99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MingLiU" w:eastAsia="MingLiU" w:hAnsi="MingLiU" w:cstheme="minorBidi"/>
      <w:color w:val="000000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MingLiU" w:eastAsia="MingLiU" w:hAnsi="MingLiU" w:cstheme="minorBidi"/>
      <w:b/>
      <w:color w:val="000000"/>
      <w:sz w:val="32"/>
    </w:rPr>
  </w:style>
  <w:style w:type="paragraph" w:styleId="2">
    <w:name w:val="heading 2"/>
    <w:next w:val="a"/>
    <w:uiPriority w:val="99"/>
    <w:unhideWhenUsed/>
    <w:qFormat/>
    <w:pPr>
      <w:widowControl w:val="0"/>
      <w:autoSpaceDE w:val="0"/>
      <w:autoSpaceDN w:val="0"/>
      <w:adjustRightInd w:val="0"/>
      <w:outlineLvl w:val="1"/>
    </w:pPr>
    <w:rPr>
      <w:rFonts w:ascii="MingLiU" w:eastAsia="MingLiU" w:hAnsi="MingLiU" w:cstheme="minorBidi"/>
      <w:b/>
      <w:i/>
      <w:color w:val="000000"/>
      <w:sz w:val="28"/>
    </w:rPr>
  </w:style>
  <w:style w:type="paragraph" w:styleId="3">
    <w:name w:val="heading 3"/>
    <w:next w:val="a"/>
    <w:uiPriority w:val="99"/>
    <w:unhideWhenUsed/>
    <w:qFormat/>
    <w:pPr>
      <w:widowControl w:val="0"/>
      <w:autoSpaceDE w:val="0"/>
      <w:autoSpaceDN w:val="0"/>
      <w:adjustRightInd w:val="0"/>
      <w:outlineLvl w:val="2"/>
    </w:pPr>
    <w:rPr>
      <w:rFonts w:ascii="MingLiU" w:eastAsia="MingLiU" w:hAnsi="MingLiU" w:cstheme="minorBidi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34B11"/>
    <w:rPr>
      <w:sz w:val="18"/>
      <w:szCs w:val="18"/>
    </w:rPr>
  </w:style>
  <w:style w:type="character" w:customStyle="1" w:styleId="Char">
    <w:name w:val="批注框文本 Char"/>
    <w:basedOn w:val="a0"/>
    <w:link w:val="a4"/>
    <w:rsid w:val="00234B11"/>
    <w:rPr>
      <w:rFonts w:ascii="MingLiU" w:eastAsia="MingLiU" w:hAnsi="MingLiU" w:cstheme="minorBidi"/>
      <w:color w:val="000000"/>
      <w:sz w:val="18"/>
      <w:szCs w:val="18"/>
    </w:rPr>
  </w:style>
  <w:style w:type="paragraph" w:styleId="a5">
    <w:name w:val="header"/>
    <w:basedOn w:val="a"/>
    <w:link w:val="Char0"/>
    <w:rsid w:val="0023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34B11"/>
    <w:rPr>
      <w:rFonts w:ascii="MingLiU" w:eastAsia="MingLiU" w:hAnsi="MingLiU" w:cstheme="minorBidi"/>
      <w:color w:val="000000"/>
      <w:sz w:val="18"/>
      <w:szCs w:val="18"/>
    </w:rPr>
  </w:style>
  <w:style w:type="paragraph" w:styleId="a6">
    <w:name w:val="footer"/>
    <w:basedOn w:val="a"/>
    <w:link w:val="Char1"/>
    <w:rsid w:val="00234B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34B11"/>
    <w:rPr>
      <w:rFonts w:ascii="MingLiU" w:eastAsia="MingLiU" w:hAnsi="MingLiU" w:cstheme="min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/>
    <w:lsdException w:name="heading 1" w:uiPriority="99" w:unhideWhenUsed="1"/>
    <w:lsdException w:name="heading 2" w:uiPriority="99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MingLiU" w:eastAsia="MingLiU" w:hAnsi="MingLiU" w:cstheme="minorBidi"/>
      <w:color w:val="000000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MingLiU" w:eastAsia="MingLiU" w:hAnsi="MingLiU" w:cstheme="minorBidi"/>
      <w:b/>
      <w:color w:val="000000"/>
      <w:sz w:val="32"/>
    </w:rPr>
  </w:style>
  <w:style w:type="paragraph" w:styleId="2">
    <w:name w:val="heading 2"/>
    <w:next w:val="a"/>
    <w:uiPriority w:val="99"/>
    <w:unhideWhenUsed/>
    <w:qFormat/>
    <w:pPr>
      <w:widowControl w:val="0"/>
      <w:autoSpaceDE w:val="0"/>
      <w:autoSpaceDN w:val="0"/>
      <w:adjustRightInd w:val="0"/>
      <w:outlineLvl w:val="1"/>
    </w:pPr>
    <w:rPr>
      <w:rFonts w:ascii="MingLiU" w:eastAsia="MingLiU" w:hAnsi="MingLiU" w:cstheme="minorBidi"/>
      <w:b/>
      <w:i/>
      <w:color w:val="000000"/>
      <w:sz w:val="28"/>
    </w:rPr>
  </w:style>
  <w:style w:type="paragraph" w:styleId="3">
    <w:name w:val="heading 3"/>
    <w:next w:val="a"/>
    <w:uiPriority w:val="99"/>
    <w:unhideWhenUsed/>
    <w:qFormat/>
    <w:pPr>
      <w:widowControl w:val="0"/>
      <w:autoSpaceDE w:val="0"/>
      <w:autoSpaceDN w:val="0"/>
      <w:adjustRightInd w:val="0"/>
      <w:outlineLvl w:val="2"/>
    </w:pPr>
    <w:rPr>
      <w:rFonts w:ascii="MingLiU" w:eastAsia="MingLiU" w:hAnsi="MingLiU" w:cstheme="minorBidi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34B11"/>
    <w:rPr>
      <w:sz w:val="18"/>
      <w:szCs w:val="18"/>
    </w:rPr>
  </w:style>
  <w:style w:type="character" w:customStyle="1" w:styleId="Char">
    <w:name w:val="批注框文本 Char"/>
    <w:basedOn w:val="a0"/>
    <w:link w:val="a4"/>
    <w:rsid w:val="00234B11"/>
    <w:rPr>
      <w:rFonts w:ascii="MingLiU" w:eastAsia="MingLiU" w:hAnsi="MingLiU" w:cstheme="minorBidi"/>
      <w:color w:val="000000"/>
      <w:sz w:val="18"/>
      <w:szCs w:val="18"/>
    </w:rPr>
  </w:style>
  <w:style w:type="paragraph" w:styleId="a5">
    <w:name w:val="header"/>
    <w:basedOn w:val="a"/>
    <w:link w:val="Char0"/>
    <w:rsid w:val="00234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34B11"/>
    <w:rPr>
      <w:rFonts w:ascii="MingLiU" w:eastAsia="MingLiU" w:hAnsi="MingLiU" w:cstheme="minorBidi"/>
      <w:color w:val="000000"/>
      <w:sz w:val="18"/>
      <w:szCs w:val="18"/>
    </w:rPr>
  </w:style>
  <w:style w:type="paragraph" w:styleId="a6">
    <w:name w:val="footer"/>
    <w:basedOn w:val="a"/>
    <w:link w:val="Char1"/>
    <w:rsid w:val="00234B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34B11"/>
    <w:rPr>
      <w:rFonts w:ascii="MingLiU" w:eastAsia="MingLiU" w:hAnsi="MingLiU" w:cstheme="min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紫色风信子</dc:creator>
  <cp:lastModifiedBy>Administrator</cp:lastModifiedBy>
  <cp:revision>5</cp:revision>
  <dcterms:created xsi:type="dcterms:W3CDTF">2021-09-12T07:40:00Z</dcterms:created>
  <dcterms:modified xsi:type="dcterms:W3CDTF">2022-01-12T03:16:00Z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