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92F4D" w14:textId="64EC7E34" w:rsidR="00F15971" w:rsidRPr="00F15971" w:rsidRDefault="00F15971" w:rsidP="00F15971">
      <w:pPr>
        <w:pStyle w:val="Normal1"/>
        <w:contextualSpacing w:val="0"/>
        <w:rPr>
          <w:rFonts w:ascii="Times" w:hAnsi="Times"/>
          <w:b/>
          <w:i/>
          <w:sz w:val="36"/>
          <w:szCs w:val="36"/>
          <w:lang w:val="en"/>
        </w:rPr>
      </w:pPr>
      <w:r w:rsidRPr="00F15971">
        <w:rPr>
          <w:rFonts w:ascii="Times" w:hAnsi="Times"/>
          <w:b/>
          <w:noProof/>
          <w:sz w:val="36"/>
          <w:szCs w:val="36"/>
        </w:rPr>
        <mc:AlternateContent>
          <mc:Choice Requires="wps">
            <w:drawing>
              <wp:anchor distT="0" distB="0" distL="114300" distR="114300" simplePos="0" relativeHeight="251659264" behindDoc="0" locked="0" layoutInCell="1" allowOverlap="1" wp14:anchorId="33B90F66" wp14:editId="5D9096B7">
                <wp:simplePos x="0" y="0"/>
                <wp:positionH relativeFrom="column">
                  <wp:posOffset>-2857500</wp:posOffset>
                </wp:positionH>
                <wp:positionV relativeFrom="paragraph">
                  <wp:posOffset>357505</wp:posOffset>
                </wp:positionV>
                <wp:extent cx="114300" cy="571500"/>
                <wp:effectExtent l="0" t="0" r="0" b="0"/>
                <wp:wrapTight wrapText="bothSides">
                  <wp:wrapPolygon edited="0">
                    <wp:start x="0" y="0"/>
                    <wp:lineTo x="21600" y="0"/>
                    <wp:lineTo x="21600" y="21600"/>
                    <wp:lineTo x="0" y="2160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5F6F" w14:textId="77777777" w:rsidR="00F15971" w:rsidRPr="00D94FB8" w:rsidRDefault="00F15971" w:rsidP="00F15971">
                            <w:pPr>
                              <w:rPr>
                                <w:b/>
                                <w:sz w:val="28"/>
                              </w:rPr>
                            </w:pPr>
                            <w:r w:rsidRPr="00D94FB8">
                              <w:rPr>
                                <w:b/>
                                <w:sz w:val="28"/>
                              </w:rPr>
                              <w:t>Guidance</w:t>
                            </w:r>
                            <w:r>
                              <w:rPr>
                                <w:b/>
                                <w:sz w:val="28"/>
                              </w:rPr>
                              <w:t xml:space="preserve"> – remove this box before submitting!</w:t>
                            </w:r>
                          </w:p>
                          <w:p w14:paraId="0CFB1220" w14:textId="77777777" w:rsidR="00F15971" w:rsidRDefault="00F15971" w:rsidP="00F15971">
                            <w:r>
                              <w:t xml:space="preserve">Yellow callout boxes provide general notes. Please remove the yellow boxes before submitting. For full guidance see </w:t>
                            </w:r>
                            <w:hyperlink r:id="rId8" w:history="1">
                              <w:r w:rsidRPr="007C7029">
                                <w:rPr>
                                  <w:rStyle w:val="Hyperlink"/>
                                </w:rPr>
                                <w:t>https://peerj.com/about/author-instructions</w:t>
                              </w:r>
                            </w:hyperlink>
                          </w:p>
                          <w:p w14:paraId="16F2FF37" w14:textId="77777777" w:rsidR="00F15971" w:rsidRDefault="00F15971" w:rsidP="00F15971"/>
                          <w:p w14:paraId="03358D31" w14:textId="77777777" w:rsidR="00F15971" w:rsidRDefault="00F15971" w:rsidP="00F15971">
                            <w:r w:rsidRPr="00D94FB8">
                              <w:rPr>
                                <w:highlight w:val="cyan"/>
                              </w:rPr>
                              <w:t>Blue highlighted example text should be replaced or removed with your own information</w:t>
                            </w:r>
                            <w:r w:rsidRPr="00FD22BE">
                              <w:rPr>
                                <w:highlight w:val="cyan"/>
                              </w:rPr>
                              <w:t>.</w:t>
                            </w:r>
                          </w:p>
                          <w:p w14:paraId="38764AB9" w14:textId="77777777" w:rsidR="00F15971" w:rsidRDefault="00F15971" w:rsidP="00F15971"/>
                          <w:tbl>
                            <w:tblPr>
                              <w:tblStyle w:val="TableGrid"/>
                              <w:tblW w:w="0" w:type="auto"/>
                              <w:tblBorders>
                                <w:top w:val="single" w:sz="4" w:space="0" w:color="FFFF00"/>
                                <w:left w:val="single" w:sz="4" w:space="0" w:color="FFFF00"/>
                                <w:bottom w:val="single" w:sz="4" w:space="0" w:color="FFFF00"/>
                                <w:right w:val="single" w:sz="4" w:space="0" w:color="FFFF00"/>
                                <w:insideH w:val="single" w:sz="6" w:space="0" w:color="FFFF00"/>
                                <w:insideV w:val="single" w:sz="6" w:space="0" w:color="FFFF00"/>
                              </w:tblBorders>
                              <w:tblLook w:val="00A0" w:firstRow="1" w:lastRow="0" w:firstColumn="1" w:lastColumn="0" w:noHBand="0" w:noVBand="0"/>
                            </w:tblPr>
                            <w:tblGrid>
                              <w:gridCol w:w="4482"/>
                              <w:gridCol w:w="4484"/>
                            </w:tblGrid>
                            <w:tr w:rsidR="00F15971" w14:paraId="7B57E39E" w14:textId="77777777">
                              <w:trPr>
                                <w:trHeight w:val="2359"/>
                              </w:trPr>
                              <w:tc>
                                <w:tcPr>
                                  <w:tcW w:w="4482" w:type="dxa"/>
                                  <w:shd w:val="clear" w:color="auto" w:fill="auto"/>
                                </w:tcPr>
                                <w:p w14:paraId="2D1D5E59" w14:textId="77777777" w:rsidR="00F15971" w:rsidRDefault="00F15971">
                                  <w:pPr>
                                    <w:rPr>
                                      <w:b/>
                                    </w:rPr>
                                  </w:pPr>
                                  <w:r>
                                    <w:rPr>
                                      <w:b/>
                                    </w:rPr>
                                    <w:t>DO</w:t>
                                  </w:r>
                                </w:p>
                                <w:p w14:paraId="5AB93D38" w14:textId="77777777" w:rsidR="00F15971" w:rsidRPr="0058364F" w:rsidRDefault="00F15971">
                                  <w:r>
                                    <w:t xml:space="preserve">–Use clear and </w:t>
                                  </w:r>
                                  <w:r w:rsidRPr="0058364F">
                                    <w:t>grammatically</w:t>
                                  </w:r>
                                  <w:r>
                                    <w:t xml:space="preserve"> correct English</w:t>
                                  </w:r>
                                  <w:r w:rsidRPr="0058364F">
                                    <w:t>.</w:t>
                                  </w:r>
                                </w:p>
                                <w:p w14:paraId="0F6E72BA" w14:textId="77777777" w:rsidR="00F15971" w:rsidRDefault="00F15971">
                                  <w:r>
                                    <w:t>–Save as US Letter size format.</w:t>
                                  </w:r>
                                </w:p>
                                <w:p w14:paraId="1B33F3D5" w14:textId="77777777" w:rsidR="00F15971" w:rsidRDefault="00F15971">
                                  <w:r>
                                    <w:t>–Ensure line numbering is enabled.</w:t>
                                  </w:r>
                                </w:p>
                                <w:p w14:paraId="331DF6F0" w14:textId="77777777" w:rsidR="00F15971" w:rsidRDefault="00F15971">
                                  <w:r>
                                    <w:t>–Align text LEFT.</w:t>
                                  </w:r>
                                </w:p>
                                <w:p w14:paraId="1F9736BF" w14:textId="77777777" w:rsidR="00F15971" w:rsidRPr="00926B3F" w:rsidRDefault="00F15971" w:rsidP="000A6459">
                                  <w:r>
                                    <w:t>–Ensure title, abstract, and author information matches what is entered online during submission.</w:t>
                                  </w:r>
                                </w:p>
                              </w:tc>
                              <w:tc>
                                <w:tcPr>
                                  <w:tcW w:w="4484" w:type="dxa"/>
                                  <w:shd w:val="clear" w:color="auto" w:fill="auto"/>
                                </w:tcPr>
                                <w:p w14:paraId="071C03E6" w14:textId="77777777" w:rsidR="00F15971" w:rsidRDefault="00F15971" w:rsidP="00926B3F">
                                  <w:pPr>
                                    <w:rPr>
                                      <w:b/>
                                    </w:rPr>
                                  </w:pPr>
                                  <w:r>
                                    <w:rPr>
                                      <w:b/>
                                    </w:rPr>
                                    <w:t>DO NOT</w:t>
                                  </w:r>
                                </w:p>
                                <w:p w14:paraId="58CE3F1B" w14:textId="77777777" w:rsidR="00F15971" w:rsidRPr="00E140AC" w:rsidRDefault="00F15971" w:rsidP="00D55AD8">
                                  <w:r>
                                    <w:t xml:space="preserve">–Embed ANY figures or tables in the text. Instead, upload a separate file for each on the file uploads page when submitting. Example – If you have 3 figures, then you will upload 3 figure files &amp; be asked to add a figure title for each. See </w:t>
                                  </w:r>
                                  <w:hyperlink r:id="rId9" w:anchor="figures" w:history="1">
                                    <w:r w:rsidRPr="00355DBD">
                                      <w:rPr>
                                        <w:rStyle w:val="Hyperlink"/>
                                      </w:rPr>
                                      <w:t>https://peerj.com/about/author-instructions/#figures</w:t>
                                    </w:r>
                                  </w:hyperlink>
                                  <w:r>
                                    <w:t xml:space="preserve"> for figure formats.</w:t>
                                  </w:r>
                                </w:p>
                              </w:tc>
                            </w:tr>
                          </w:tbl>
                          <w:p w14:paraId="75C42B6B" w14:textId="77777777" w:rsidR="00F15971" w:rsidRPr="00926B3F" w:rsidRDefault="00F15971" w:rsidP="00F15971"/>
                          <w:p w14:paraId="01C28E01" w14:textId="77777777" w:rsidR="00F15971" w:rsidRDefault="00F15971" w:rsidP="00F15971"/>
                          <w:p w14:paraId="1FCE5FA8" w14:textId="77777777" w:rsidR="00F15971" w:rsidRDefault="00F15971" w:rsidP="00F15971"/>
                          <w:p w14:paraId="4B3878B7" w14:textId="77777777" w:rsidR="00F15971" w:rsidRDefault="00F15971" w:rsidP="00F1597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90F66" id="_x0000_t202" coordsize="21600,21600" o:spt="202" path="m,l,21600r21600,l21600,xe">
                <v:stroke joinstyle="miter"/>
                <v:path gradientshapeok="t" o:connecttype="rect"/>
              </v:shapetype>
              <v:shape id="Text Box 10" o:spid="_x0000_s1026" type="#_x0000_t202" style="position:absolute;margin-left:-225pt;margin-top:28.15pt;width: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MIkyAEAAIkDAAAOAAAAZHJzL2Uyb0RvYy54bWysU9tu2zAMfR+wfxD0vtju0l2MOMW2osOA&#13;&#10;7gJ0/QBFlmJhtqiRSuzs60fJaZqtb8NeBFKiD885pFdX09CLvUFy4BtZLUopjNfQOr9t5P33mxdv&#13;&#10;pKCofKt68KaRB0Pyav382WoMtbmADvrWoGAQT/UYGtnFGOqiIN2ZQdECgvH8aAEHFTnFbdGiGhl9&#13;&#10;6IuLsnxVjIBtQNCGiG+v50e5zvjWGh2/Wksmir6RzC3mE/O5SWexXql6iyp0Th9pqH9gMSjnuekJ&#13;&#10;6lpFJXbonkANTiMQ2LjQMBRgrdMma2A1VfmXmrtOBZO1sDkUTjbR/4PVX/Z34RuKOL2HiQeYRVC4&#13;&#10;Bf2D2JtiDFQfa5KnVFOq3oyfoeVpql2E/MVkcUjyWZBgGHb6cHLXTFHohF0tX5b8ovnp8nV1yXHq&#13;&#10;oOqHjwNS/GhgECloJPLwMrja31KcSx9KUi8PN67v8wB7/8cFY6abTD7xnZnHaTNxdRKxgfbAMhDm&#13;&#10;feD95aAD/CXFyLvQSPq5U2ik6D95NvtttVym5TlP8DzZnCfKa4ZqZJRiDj/EeeF2Ad22406zyx7e&#13;&#10;sX3WZWmPrI68ed7ZnONupoU6z3PV4x+0/g0AAP//AwBQSwMEFAAGAAgAAAAhAJC/r4bmAAAAEQEA&#13;&#10;AA8AAABkcnMvZG93bnJldi54bWxMT01PwzAMvSPxHyIjcUFduq2bpq7pBEMcponDBgKOaWvSisap&#13;&#10;mnQr+/WYE1ws+fn5fWSb0bbihL1vHCmYTmIQSKWrGjIKXl+eohUIHzRVunWECr7Rwya/vsp0Wrkz&#13;&#10;HfB0DEawCPlUK6hD6FIpfVmj1X7iOiS+fbre6sBrb2TV6zOL21bO4ngprW6IHWrd4bbG8us4WAWH&#13;&#10;y9vKTB+Su2e9/3gvjdwV22Gn1O3N+Ljmcb8GEXAMfx/w24HzQ87BCjdQ5UWrIEoWMTcKChbLOQhm&#13;&#10;RMl8xkjB3IQhmWfyf5P8BwAA//8DAFBLAQItABQABgAIAAAAIQC2gziS/gAAAOEBAAATAAAAAAAA&#13;&#10;AAAAAAAAAAAAAABbQ29udGVudF9UeXBlc10ueG1sUEsBAi0AFAAGAAgAAAAhADj9If/WAAAAlAEA&#13;&#10;AAsAAAAAAAAAAAAAAAAALwEAAF9yZWxzLy5yZWxzUEsBAi0AFAAGAAgAAAAhAMokwiTIAQAAiQMA&#13;&#10;AA4AAAAAAAAAAAAAAAAALgIAAGRycy9lMm9Eb2MueG1sUEsBAi0AFAAGAAgAAAAhAJC/r4bmAAAA&#13;&#10;EQEAAA8AAAAAAAAAAAAAAAAAIgQAAGRycy9kb3ducmV2LnhtbFBLBQYAAAAABAAEAPMAAAA1BQAA&#13;&#10;AAA=&#13;&#10;" filled="f" stroked="f">
                <v:path arrowok="t"/>
                <v:textbox inset=",7.2pt,,7.2pt">
                  <w:txbxContent>
                    <w:p w14:paraId="56155F6F" w14:textId="77777777" w:rsidR="00F15971" w:rsidRPr="00D94FB8" w:rsidRDefault="00F15971" w:rsidP="00F15971">
                      <w:pPr>
                        <w:rPr>
                          <w:b/>
                          <w:sz w:val="28"/>
                        </w:rPr>
                      </w:pPr>
                      <w:r w:rsidRPr="00D94FB8">
                        <w:rPr>
                          <w:b/>
                          <w:sz w:val="28"/>
                        </w:rPr>
                        <w:t>Guidance</w:t>
                      </w:r>
                      <w:r>
                        <w:rPr>
                          <w:b/>
                          <w:sz w:val="28"/>
                        </w:rPr>
                        <w:t xml:space="preserve"> – remove this box before submitting!</w:t>
                      </w:r>
                    </w:p>
                    <w:p w14:paraId="0CFB1220" w14:textId="77777777" w:rsidR="00F15971" w:rsidRDefault="00F15971" w:rsidP="00F15971">
                      <w:r>
                        <w:t xml:space="preserve">Yellow callout boxes provide general notes. Please remove the yellow boxes before submitting. For full guidance see </w:t>
                      </w:r>
                      <w:hyperlink r:id="rId10" w:history="1">
                        <w:r w:rsidRPr="007C7029">
                          <w:rPr>
                            <w:rStyle w:val="Hyperlink"/>
                          </w:rPr>
                          <w:t>https://peerj.com/about/author-instructions</w:t>
                        </w:r>
                      </w:hyperlink>
                    </w:p>
                    <w:p w14:paraId="16F2FF37" w14:textId="77777777" w:rsidR="00F15971" w:rsidRDefault="00F15971" w:rsidP="00F15971"/>
                    <w:p w14:paraId="03358D31" w14:textId="77777777" w:rsidR="00F15971" w:rsidRDefault="00F15971" w:rsidP="00F15971">
                      <w:r w:rsidRPr="00D94FB8">
                        <w:rPr>
                          <w:highlight w:val="cyan"/>
                        </w:rPr>
                        <w:t>Blue highlighted example text should be replaced or removed with your own information</w:t>
                      </w:r>
                      <w:r w:rsidRPr="00FD22BE">
                        <w:rPr>
                          <w:highlight w:val="cyan"/>
                        </w:rPr>
                        <w:t>.</w:t>
                      </w:r>
                    </w:p>
                    <w:p w14:paraId="38764AB9" w14:textId="77777777" w:rsidR="00F15971" w:rsidRDefault="00F15971" w:rsidP="00F15971"/>
                    <w:tbl>
                      <w:tblPr>
                        <w:tblStyle w:val="TableGrid"/>
                        <w:tblW w:w="0" w:type="auto"/>
                        <w:tblBorders>
                          <w:top w:val="single" w:sz="4" w:space="0" w:color="FFFF00"/>
                          <w:left w:val="single" w:sz="4" w:space="0" w:color="FFFF00"/>
                          <w:bottom w:val="single" w:sz="4" w:space="0" w:color="FFFF00"/>
                          <w:right w:val="single" w:sz="4" w:space="0" w:color="FFFF00"/>
                          <w:insideH w:val="single" w:sz="6" w:space="0" w:color="FFFF00"/>
                          <w:insideV w:val="single" w:sz="6" w:space="0" w:color="FFFF00"/>
                        </w:tblBorders>
                        <w:tblLook w:val="00A0" w:firstRow="1" w:lastRow="0" w:firstColumn="1" w:lastColumn="0" w:noHBand="0" w:noVBand="0"/>
                      </w:tblPr>
                      <w:tblGrid>
                        <w:gridCol w:w="4482"/>
                        <w:gridCol w:w="4484"/>
                      </w:tblGrid>
                      <w:tr w:rsidR="00F15971" w14:paraId="7B57E39E" w14:textId="77777777">
                        <w:trPr>
                          <w:trHeight w:val="2359"/>
                        </w:trPr>
                        <w:tc>
                          <w:tcPr>
                            <w:tcW w:w="4482" w:type="dxa"/>
                            <w:shd w:val="clear" w:color="auto" w:fill="auto"/>
                          </w:tcPr>
                          <w:p w14:paraId="2D1D5E59" w14:textId="77777777" w:rsidR="00F15971" w:rsidRDefault="00F15971">
                            <w:pPr>
                              <w:rPr>
                                <w:b/>
                              </w:rPr>
                            </w:pPr>
                            <w:r>
                              <w:rPr>
                                <w:b/>
                              </w:rPr>
                              <w:t>DO</w:t>
                            </w:r>
                          </w:p>
                          <w:p w14:paraId="5AB93D38" w14:textId="77777777" w:rsidR="00F15971" w:rsidRPr="0058364F" w:rsidRDefault="00F15971">
                            <w:r>
                              <w:t xml:space="preserve">–Use clear and </w:t>
                            </w:r>
                            <w:r w:rsidRPr="0058364F">
                              <w:t>grammatically</w:t>
                            </w:r>
                            <w:r>
                              <w:t xml:space="preserve"> correct English</w:t>
                            </w:r>
                            <w:r w:rsidRPr="0058364F">
                              <w:t>.</w:t>
                            </w:r>
                          </w:p>
                          <w:p w14:paraId="0F6E72BA" w14:textId="77777777" w:rsidR="00F15971" w:rsidRDefault="00F15971">
                            <w:r>
                              <w:t>–Save as US Letter size format.</w:t>
                            </w:r>
                          </w:p>
                          <w:p w14:paraId="1B33F3D5" w14:textId="77777777" w:rsidR="00F15971" w:rsidRDefault="00F15971">
                            <w:r>
                              <w:t>–Ensure line numbering is enabled.</w:t>
                            </w:r>
                          </w:p>
                          <w:p w14:paraId="331DF6F0" w14:textId="77777777" w:rsidR="00F15971" w:rsidRDefault="00F15971">
                            <w:r>
                              <w:t>–Align text LEFT.</w:t>
                            </w:r>
                          </w:p>
                          <w:p w14:paraId="1F9736BF" w14:textId="77777777" w:rsidR="00F15971" w:rsidRPr="00926B3F" w:rsidRDefault="00F15971" w:rsidP="000A6459">
                            <w:r>
                              <w:t>–Ensure title, abstract, and author information matches what is entered online during submission.</w:t>
                            </w:r>
                          </w:p>
                        </w:tc>
                        <w:tc>
                          <w:tcPr>
                            <w:tcW w:w="4484" w:type="dxa"/>
                            <w:shd w:val="clear" w:color="auto" w:fill="auto"/>
                          </w:tcPr>
                          <w:p w14:paraId="071C03E6" w14:textId="77777777" w:rsidR="00F15971" w:rsidRDefault="00F15971" w:rsidP="00926B3F">
                            <w:pPr>
                              <w:rPr>
                                <w:b/>
                              </w:rPr>
                            </w:pPr>
                            <w:r>
                              <w:rPr>
                                <w:b/>
                              </w:rPr>
                              <w:t>DO NOT</w:t>
                            </w:r>
                          </w:p>
                          <w:p w14:paraId="58CE3F1B" w14:textId="77777777" w:rsidR="00F15971" w:rsidRPr="00E140AC" w:rsidRDefault="00F15971" w:rsidP="00D55AD8">
                            <w:r>
                              <w:t xml:space="preserve">–Embed ANY figures or tables in the text. Instead, upload a separate file for each on the file uploads page when submitting. Example – If you have 3 figures, then you will upload 3 figure files &amp; be asked to add a figure title for each. See </w:t>
                            </w:r>
                            <w:hyperlink r:id="rId11" w:anchor="figures" w:history="1">
                              <w:r w:rsidRPr="00355DBD">
                                <w:rPr>
                                  <w:rStyle w:val="Hyperlink"/>
                                </w:rPr>
                                <w:t>https://peerj.com/about/author-instructions/#figures</w:t>
                              </w:r>
                            </w:hyperlink>
                            <w:r>
                              <w:t xml:space="preserve"> for figure formats.</w:t>
                            </w:r>
                          </w:p>
                        </w:tc>
                      </w:tr>
                    </w:tbl>
                    <w:p w14:paraId="75C42B6B" w14:textId="77777777" w:rsidR="00F15971" w:rsidRPr="00926B3F" w:rsidRDefault="00F15971" w:rsidP="00F15971"/>
                    <w:p w14:paraId="01C28E01" w14:textId="77777777" w:rsidR="00F15971" w:rsidRDefault="00F15971" w:rsidP="00F15971"/>
                    <w:p w14:paraId="1FCE5FA8" w14:textId="77777777" w:rsidR="00F15971" w:rsidRDefault="00F15971" w:rsidP="00F15971"/>
                    <w:p w14:paraId="4B3878B7" w14:textId="77777777" w:rsidR="00F15971" w:rsidRDefault="00F15971" w:rsidP="00F15971"/>
                  </w:txbxContent>
                </v:textbox>
                <w10:wrap type="tight"/>
              </v:shape>
            </w:pict>
          </mc:Fallback>
        </mc:AlternateContent>
      </w:r>
      <w:r w:rsidRPr="00F15971">
        <w:rPr>
          <w:rFonts w:ascii="Times" w:hAnsi="Times"/>
          <w:b/>
          <w:i/>
          <w:sz w:val="36"/>
          <w:szCs w:val="36"/>
          <w:lang w:val="en"/>
        </w:rPr>
        <w:t>A Manager’s Guide to Using eDNA Metabarcoding in Marine Ecosystems</w:t>
      </w:r>
    </w:p>
    <w:p w14:paraId="62F91D81" w14:textId="77777777" w:rsidR="00F15971" w:rsidRPr="00F15971" w:rsidRDefault="00F15971" w:rsidP="00F15971">
      <w:pPr>
        <w:pStyle w:val="Normal1"/>
        <w:contextualSpacing w:val="0"/>
        <w:rPr>
          <w:rFonts w:ascii="Times" w:hAnsi="Times"/>
          <w:sz w:val="24"/>
          <w:highlight w:val="cyan"/>
        </w:rPr>
      </w:pPr>
    </w:p>
    <w:p w14:paraId="09EDC92A" w14:textId="77777777" w:rsidR="00F15971" w:rsidRPr="00F15971" w:rsidRDefault="00F15971" w:rsidP="00F15971">
      <w:pPr>
        <w:pStyle w:val="Normal1"/>
        <w:contextualSpacing w:val="0"/>
        <w:rPr>
          <w:rFonts w:ascii="Times" w:hAnsi="Times"/>
          <w:sz w:val="24"/>
          <w:vertAlign w:val="superscript"/>
        </w:rPr>
      </w:pPr>
      <w:r w:rsidRPr="00F15971">
        <w:rPr>
          <w:rFonts w:ascii="Times" w:hAnsi="Times"/>
          <w:sz w:val="24"/>
          <w:szCs w:val="24"/>
        </w:rPr>
        <w:t>Zachary Gold</w:t>
      </w:r>
      <w:r w:rsidRPr="00F15971">
        <w:rPr>
          <w:rFonts w:ascii="Times" w:hAnsi="Times"/>
          <w:sz w:val="24"/>
          <w:szCs w:val="24"/>
          <w:vertAlign w:val="superscript"/>
        </w:rPr>
        <w:t>1</w:t>
      </w:r>
      <w:r w:rsidRPr="00F15971">
        <w:rPr>
          <w:rFonts w:ascii="Times" w:hAnsi="Times"/>
          <w:sz w:val="24"/>
          <w:szCs w:val="24"/>
        </w:rPr>
        <w:t>, Adam R. Wall</w:t>
      </w:r>
      <w:r w:rsidRPr="00F15971">
        <w:rPr>
          <w:rFonts w:ascii="Times" w:hAnsi="Times"/>
          <w:sz w:val="24"/>
          <w:szCs w:val="24"/>
          <w:vertAlign w:val="superscript"/>
        </w:rPr>
        <w:t>2</w:t>
      </w:r>
      <w:r w:rsidRPr="00F15971">
        <w:rPr>
          <w:rFonts w:ascii="Times" w:hAnsi="Times"/>
          <w:sz w:val="24"/>
          <w:szCs w:val="24"/>
        </w:rPr>
        <w:t xml:space="preserve">, </w:t>
      </w:r>
      <w:proofErr w:type="spellStart"/>
      <w:r w:rsidRPr="00F15971">
        <w:rPr>
          <w:rFonts w:ascii="Times" w:hAnsi="Times"/>
          <w:sz w:val="24"/>
          <w:szCs w:val="24"/>
        </w:rPr>
        <w:t>Teia</w:t>
      </w:r>
      <w:proofErr w:type="spellEnd"/>
      <w:r w:rsidRPr="00F15971">
        <w:rPr>
          <w:rFonts w:ascii="Times" w:hAnsi="Times"/>
          <w:sz w:val="24"/>
          <w:szCs w:val="24"/>
        </w:rPr>
        <w:t xml:space="preserve"> M. Schweizer</w:t>
      </w:r>
      <w:r w:rsidRPr="00F15971">
        <w:rPr>
          <w:rFonts w:ascii="Times" w:hAnsi="Times"/>
          <w:sz w:val="24"/>
          <w:szCs w:val="24"/>
          <w:vertAlign w:val="superscript"/>
        </w:rPr>
        <w:t>3</w:t>
      </w:r>
      <w:r w:rsidRPr="00F15971">
        <w:rPr>
          <w:rFonts w:ascii="Times" w:hAnsi="Times"/>
          <w:sz w:val="24"/>
          <w:szCs w:val="24"/>
        </w:rPr>
        <w:t>, N. Dean Pentcheff</w:t>
      </w:r>
      <w:r w:rsidRPr="00F15971">
        <w:rPr>
          <w:rFonts w:ascii="Times" w:hAnsi="Times"/>
          <w:sz w:val="24"/>
          <w:szCs w:val="24"/>
          <w:vertAlign w:val="superscript"/>
        </w:rPr>
        <w:t>2</w:t>
      </w:r>
      <w:r w:rsidRPr="00F15971">
        <w:rPr>
          <w:rFonts w:ascii="Times" w:hAnsi="Times"/>
          <w:sz w:val="24"/>
          <w:szCs w:val="24"/>
        </w:rPr>
        <w:t>, Emily E. Curd</w:t>
      </w:r>
      <w:r w:rsidRPr="00F15971">
        <w:rPr>
          <w:rFonts w:ascii="Times" w:hAnsi="Times"/>
          <w:sz w:val="24"/>
          <w:szCs w:val="24"/>
          <w:vertAlign w:val="superscript"/>
        </w:rPr>
        <w:t>4</w:t>
      </w:r>
      <w:r w:rsidRPr="00F15971">
        <w:rPr>
          <w:rFonts w:ascii="Times" w:hAnsi="Times"/>
          <w:sz w:val="24"/>
          <w:szCs w:val="24"/>
        </w:rPr>
        <w:t>, Paul H. Barber</w:t>
      </w:r>
      <w:r w:rsidRPr="00F15971">
        <w:rPr>
          <w:rFonts w:ascii="Times" w:hAnsi="Times"/>
          <w:sz w:val="24"/>
          <w:szCs w:val="24"/>
          <w:vertAlign w:val="superscript"/>
        </w:rPr>
        <w:t>1</w:t>
      </w:r>
      <w:r w:rsidRPr="00F15971">
        <w:rPr>
          <w:rFonts w:ascii="Times" w:hAnsi="Times"/>
          <w:sz w:val="24"/>
          <w:szCs w:val="24"/>
        </w:rPr>
        <w:t>, Rachel S. Meyer</w:t>
      </w:r>
      <w:r w:rsidRPr="00F15971">
        <w:rPr>
          <w:rFonts w:ascii="Times" w:hAnsi="Times"/>
          <w:sz w:val="24"/>
          <w:szCs w:val="24"/>
          <w:vertAlign w:val="superscript"/>
        </w:rPr>
        <w:t>1,5</w:t>
      </w:r>
      <w:r w:rsidRPr="00F15971">
        <w:rPr>
          <w:rFonts w:ascii="Times" w:hAnsi="Times"/>
          <w:sz w:val="24"/>
          <w:szCs w:val="24"/>
        </w:rPr>
        <w:t>, Robert Wayne</w:t>
      </w:r>
      <w:r w:rsidRPr="00F15971">
        <w:rPr>
          <w:rFonts w:ascii="Times" w:hAnsi="Times"/>
          <w:sz w:val="24"/>
          <w:szCs w:val="24"/>
          <w:vertAlign w:val="superscript"/>
        </w:rPr>
        <w:t>1</w:t>
      </w:r>
      <w:r w:rsidRPr="00F15971">
        <w:rPr>
          <w:rFonts w:ascii="Times" w:hAnsi="Times"/>
          <w:sz w:val="24"/>
          <w:szCs w:val="24"/>
        </w:rPr>
        <w:t>, Kevin Stolzenbach</w:t>
      </w:r>
      <w:r w:rsidRPr="00F15971">
        <w:rPr>
          <w:rFonts w:ascii="Times" w:hAnsi="Times"/>
          <w:sz w:val="24"/>
          <w:szCs w:val="24"/>
          <w:vertAlign w:val="superscript"/>
        </w:rPr>
        <w:t>6</w:t>
      </w:r>
      <w:r w:rsidRPr="00F15971">
        <w:rPr>
          <w:rFonts w:ascii="Times" w:hAnsi="Times"/>
          <w:sz w:val="24"/>
          <w:szCs w:val="24"/>
        </w:rPr>
        <w:t>, Kat Prickett</w:t>
      </w:r>
      <w:r w:rsidRPr="00F15971">
        <w:rPr>
          <w:rFonts w:ascii="Times" w:hAnsi="Times"/>
          <w:sz w:val="24"/>
          <w:szCs w:val="24"/>
          <w:vertAlign w:val="superscript"/>
        </w:rPr>
        <w:t>7</w:t>
      </w:r>
      <w:r w:rsidRPr="00F15971">
        <w:rPr>
          <w:rFonts w:ascii="Times" w:hAnsi="Times"/>
          <w:sz w:val="24"/>
          <w:szCs w:val="24"/>
        </w:rPr>
        <w:t>, Justin Luedy</w:t>
      </w:r>
      <w:r w:rsidRPr="00F15971">
        <w:rPr>
          <w:rFonts w:ascii="Times" w:hAnsi="Times"/>
          <w:sz w:val="24"/>
          <w:szCs w:val="24"/>
          <w:vertAlign w:val="superscript"/>
        </w:rPr>
        <w:t>8</w:t>
      </w:r>
      <w:r w:rsidRPr="00F15971">
        <w:rPr>
          <w:rFonts w:ascii="Times" w:hAnsi="Times"/>
          <w:sz w:val="24"/>
          <w:szCs w:val="24"/>
        </w:rPr>
        <w:t>, Regina Wetzer</w:t>
      </w:r>
      <w:r w:rsidRPr="00F15971">
        <w:rPr>
          <w:rFonts w:ascii="Times" w:hAnsi="Times"/>
          <w:sz w:val="24"/>
          <w:szCs w:val="24"/>
          <w:vertAlign w:val="superscript"/>
        </w:rPr>
        <w:t>2</w:t>
      </w:r>
    </w:p>
    <w:p w14:paraId="1A349425" w14:textId="77777777" w:rsidR="00F15971" w:rsidRPr="00F15971" w:rsidRDefault="00F15971" w:rsidP="00F15971">
      <w:pPr>
        <w:pStyle w:val="Normal1"/>
        <w:contextualSpacing w:val="0"/>
        <w:rPr>
          <w:rFonts w:ascii="Times" w:hAnsi="Times"/>
          <w:sz w:val="24"/>
          <w:vertAlign w:val="superscript"/>
        </w:rPr>
      </w:pPr>
    </w:p>
    <w:p w14:paraId="6E24193E" w14:textId="77777777" w:rsidR="00F15971" w:rsidRPr="00F15971" w:rsidRDefault="00F15971" w:rsidP="00F15971">
      <w:pPr>
        <w:pStyle w:val="Normal1"/>
        <w:contextualSpacing w:val="0"/>
        <w:rPr>
          <w:rFonts w:ascii="Times" w:hAnsi="Times"/>
          <w:sz w:val="24"/>
          <w:vertAlign w:val="superscript"/>
        </w:rPr>
      </w:pPr>
    </w:p>
    <w:p w14:paraId="79E95C80"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1</w:t>
      </w:r>
      <w:r w:rsidRPr="00F15971">
        <w:rPr>
          <w:rFonts w:ascii="Times" w:hAnsi="Times"/>
          <w:sz w:val="24"/>
          <w:szCs w:val="24"/>
        </w:rPr>
        <w:t>Department of Ecology and Evolutionary Biology, University of California Los Angeles, Los Angeles, CA, USA</w:t>
      </w:r>
    </w:p>
    <w:p w14:paraId="088E99CF"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 xml:space="preserve">2 </w:t>
      </w:r>
      <w:r w:rsidRPr="00F15971">
        <w:rPr>
          <w:rFonts w:ascii="Times" w:hAnsi="Times"/>
          <w:sz w:val="24"/>
          <w:szCs w:val="24"/>
        </w:rPr>
        <w:t>Diversity Initiative for the Southern California Ocean (DISCO), Natural History Museum of Los Angeles County, Los Angeles, CA, USA</w:t>
      </w:r>
    </w:p>
    <w:p w14:paraId="61AF3EB0"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3</w:t>
      </w:r>
      <w:r w:rsidRPr="00F15971">
        <w:rPr>
          <w:rFonts w:ascii="Times" w:hAnsi="Times"/>
          <w:sz w:val="24"/>
          <w:szCs w:val="24"/>
        </w:rPr>
        <w:t>Department of Fish and Wildlife Conservation Biology, Colorado State University, Fort Collins, CO, USA</w:t>
      </w:r>
    </w:p>
    <w:p w14:paraId="1B04D163"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 xml:space="preserve">4 </w:t>
      </w:r>
      <w:r w:rsidRPr="00F15971">
        <w:rPr>
          <w:rFonts w:ascii="Times" w:hAnsi="Times"/>
          <w:sz w:val="24"/>
          <w:szCs w:val="24"/>
        </w:rPr>
        <w:t>Department of Natural Sciences, Landmark College, Putney, VT, USA</w:t>
      </w:r>
    </w:p>
    <w:p w14:paraId="22E18893"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5</w:t>
      </w:r>
      <w:r w:rsidRPr="00F15971">
        <w:rPr>
          <w:rFonts w:ascii="Times" w:hAnsi="Times"/>
          <w:sz w:val="24"/>
          <w:szCs w:val="24"/>
        </w:rPr>
        <w:t>Department of Ecology and Evolutionary Biology, University of California Los Angeles, Los Angeles, CA, USA</w:t>
      </w:r>
    </w:p>
    <w:p w14:paraId="41413F6D"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6</w:t>
      </w:r>
      <w:r w:rsidRPr="00F15971">
        <w:rPr>
          <w:rFonts w:ascii="Times" w:hAnsi="Times"/>
          <w:sz w:val="24"/>
          <w:szCs w:val="24"/>
        </w:rPr>
        <w:t>Wood Environment and Infrastructure, Inc., San Diego, CA, USA</w:t>
      </w:r>
    </w:p>
    <w:p w14:paraId="7F2B1222" w14:textId="77777777" w:rsidR="00F15971" w:rsidRPr="00F15971" w:rsidRDefault="00F15971" w:rsidP="00D1121C">
      <w:pPr>
        <w:spacing w:line="240" w:lineRule="auto"/>
        <w:ind w:firstLine="0"/>
        <w:rPr>
          <w:rFonts w:ascii="Times" w:hAnsi="Times"/>
          <w:sz w:val="24"/>
          <w:szCs w:val="24"/>
        </w:rPr>
      </w:pPr>
      <w:r w:rsidRPr="00F15971">
        <w:rPr>
          <w:rFonts w:ascii="Times" w:hAnsi="Times"/>
          <w:sz w:val="24"/>
          <w:szCs w:val="24"/>
          <w:vertAlign w:val="superscript"/>
        </w:rPr>
        <w:t>7</w:t>
      </w:r>
      <w:r w:rsidRPr="00F15971">
        <w:rPr>
          <w:rFonts w:ascii="Times" w:hAnsi="Times"/>
          <w:sz w:val="24"/>
          <w:szCs w:val="24"/>
        </w:rPr>
        <w:t>Port of Los Angeles, San Pedro, CA, USA</w:t>
      </w:r>
    </w:p>
    <w:p w14:paraId="0044B55B" w14:textId="7465099E" w:rsidR="00F15971" w:rsidRDefault="00F15971" w:rsidP="00A356E2">
      <w:pPr>
        <w:pStyle w:val="Normal1"/>
        <w:contextualSpacing w:val="0"/>
        <w:rPr>
          <w:rFonts w:ascii="Times" w:hAnsi="Times"/>
          <w:sz w:val="24"/>
          <w:szCs w:val="24"/>
        </w:rPr>
      </w:pPr>
      <w:r w:rsidRPr="00F15971">
        <w:rPr>
          <w:rFonts w:ascii="Times" w:hAnsi="Times"/>
          <w:sz w:val="24"/>
          <w:szCs w:val="24"/>
          <w:vertAlign w:val="superscript"/>
        </w:rPr>
        <w:t>8</w:t>
      </w:r>
      <w:r w:rsidRPr="00F15971">
        <w:rPr>
          <w:rFonts w:ascii="Times" w:hAnsi="Times"/>
          <w:sz w:val="24"/>
          <w:szCs w:val="24"/>
        </w:rPr>
        <w:t xml:space="preserve">Port of Long Beach, Long </w:t>
      </w:r>
    </w:p>
    <w:p w14:paraId="632EF944" w14:textId="1C1DA41C" w:rsidR="00A356E2" w:rsidRDefault="00A356E2" w:rsidP="00A356E2">
      <w:pPr>
        <w:pStyle w:val="Normal1"/>
        <w:contextualSpacing w:val="0"/>
        <w:rPr>
          <w:rFonts w:ascii="Times" w:hAnsi="Times"/>
          <w:sz w:val="24"/>
          <w:szCs w:val="24"/>
        </w:rPr>
      </w:pPr>
    </w:p>
    <w:p w14:paraId="382D8A0F" w14:textId="46162AA7" w:rsidR="00A356E2" w:rsidRDefault="00A356E2" w:rsidP="00A356E2">
      <w:pPr>
        <w:pStyle w:val="Normal1"/>
        <w:contextualSpacing w:val="0"/>
        <w:rPr>
          <w:rFonts w:ascii="Times" w:hAnsi="Times"/>
          <w:sz w:val="24"/>
          <w:szCs w:val="24"/>
        </w:rPr>
      </w:pPr>
    </w:p>
    <w:p w14:paraId="5B6F3443" w14:textId="5434E83F" w:rsidR="00A356E2" w:rsidRDefault="00A356E2" w:rsidP="00A356E2">
      <w:pPr>
        <w:pStyle w:val="Normal1"/>
        <w:contextualSpacing w:val="0"/>
        <w:rPr>
          <w:rFonts w:ascii="Times" w:hAnsi="Times"/>
          <w:sz w:val="24"/>
          <w:szCs w:val="24"/>
        </w:rPr>
      </w:pPr>
    </w:p>
    <w:p w14:paraId="0CBEA709" w14:textId="394D4E2B" w:rsidR="00A356E2" w:rsidRPr="00A356E2" w:rsidRDefault="00A356E2" w:rsidP="00A356E2">
      <w:pPr>
        <w:pStyle w:val="Normal1"/>
        <w:contextualSpacing w:val="0"/>
        <w:rPr>
          <w:rFonts w:ascii="Times" w:hAnsi="Times"/>
          <w:b/>
          <w:bCs/>
          <w:sz w:val="40"/>
          <w:szCs w:val="40"/>
        </w:rPr>
      </w:pPr>
      <w:r w:rsidRPr="00A356E2">
        <w:rPr>
          <w:rFonts w:ascii="Times" w:hAnsi="Times"/>
          <w:b/>
          <w:bCs/>
          <w:sz w:val="40"/>
          <w:szCs w:val="40"/>
        </w:rPr>
        <w:t>Supplemental Materials</w:t>
      </w:r>
    </w:p>
    <w:p w14:paraId="65BC8A15" w14:textId="0D0A25E4" w:rsidR="00A356E2" w:rsidRDefault="00A356E2" w:rsidP="00A356E2">
      <w:pPr>
        <w:pStyle w:val="Normal1"/>
        <w:contextualSpacing w:val="0"/>
        <w:rPr>
          <w:rFonts w:ascii="Times" w:hAnsi="Times"/>
          <w:sz w:val="24"/>
          <w:szCs w:val="24"/>
        </w:rPr>
      </w:pPr>
    </w:p>
    <w:p w14:paraId="595C62A2" w14:textId="4840D3A4" w:rsidR="00A356E2" w:rsidRDefault="00A356E2" w:rsidP="00A356E2">
      <w:pPr>
        <w:pStyle w:val="Normal1"/>
        <w:contextualSpacing w:val="0"/>
        <w:rPr>
          <w:rFonts w:ascii="Times" w:hAnsi="Times"/>
          <w:sz w:val="24"/>
          <w:szCs w:val="24"/>
        </w:rPr>
      </w:pPr>
    </w:p>
    <w:p w14:paraId="7A041EE7" w14:textId="0B228C71" w:rsidR="00A356E2" w:rsidRDefault="00A356E2" w:rsidP="00A356E2">
      <w:pPr>
        <w:pStyle w:val="Normal1"/>
        <w:contextualSpacing w:val="0"/>
        <w:rPr>
          <w:rFonts w:ascii="Times" w:hAnsi="Times"/>
          <w:sz w:val="24"/>
          <w:szCs w:val="24"/>
        </w:rPr>
      </w:pPr>
    </w:p>
    <w:p w14:paraId="47727CBA" w14:textId="0E27D5D2" w:rsidR="00A356E2" w:rsidRDefault="00A356E2" w:rsidP="00A356E2">
      <w:pPr>
        <w:pStyle w:val="Normal1"/>
        <w:contextualSpacing w:val="0"/>
        <w:rPr>
          <w:rFonts w:ascii="Times" w:hAnsi="Times"/>
          <w:sz w:val="24"/>
          <w:szCs w:val="24"/>
        </w:rPr>
      </w:pPr>
    </w:p>
    <w:p w14:paraId="7302EF97" w14:textId="52AE6B37" w:rsidR="00A356E2" w:rsidRDefault="00A356E2" w:rsidP="00A356E2">
      <w:pPr>
        <w:pStyle w:val="Normal1"/>
        <w:contextualSpacing w:val="0"/>
        <w:rPr>
          <w:rFonts w:ascii="Times" w:hAnsi="Times"/>
          <w:sz w:val="24"/>
          <w:szCs w:val="24"/>
        </w:rPr>
      </w:pPr>
    </w:p>
    <w:p w14:paraId="08540476" w14:textId="1A3BD06D" w:rsidR="00A356E2" w:rsidRDefault="00A356E2" w:rsidP="00A356E2">
      <w:pPr>
        <w:pStyle w:val="Normal1"/>
        <w:contextualSpacing w:val="0"/>
        <w:rPr>
          <w:rFonts w:ascii="Times" w:hAnsi="Times"/>
          <w:sz w:val="24"/>
          <w:szCs w:val="24"/>
        </w:rPr>
      </w:pPr>
    </w:p>
    <w:p w14:paraId="03B7A9DD" w14:textId="37FC229B" w:rsidR="00A356E2" w:rsidRDefault="00A356E2" w:rsidP="00A356E2">
      <w:pPr>
        <w:pStyle w:val="Normal1"/>
        <w:contextualSpacing w:val="0"/>
        <w:rPr>
          <w:rFonts w:ascii="Times" w:hAnsi="Times"/>
          <w:sz w:val="24"/>
          <w:szCs w:val="24"/>
        </w:rPr>
      </w:pPr>
    </w:p>
    <w:p w14:paraId="5EC86B4C" w14:textId="49C93E64" w:rsidR="00A356E2" w:rsidRDefault="00A356E2" w:rsidP="00A356E2">
      <w:pPr>
        <w:pStyle w:val="Normal1"/>
        <w:contextualSpacing w:val="0"/>
        <w:rPr>
          <w:rFonts w:ascii="Times" w:hAnsi="Times"/>
          <w:sz w:val="24"/>
          <w:szCs w:val="24"/>
        </w:rPr>
      </w:pPr>
    </w:p>
    <w:p w14:paraId="486B5EDD" w14:textId="5A232AA3" w:rsidR="00A356E2" w:rsidRDefault="00A356E2" w:rsidP="00A356E2">
      <w:pPr>
        <w:pStyle w:val="Normal1"/>
        <w:contextualSpacing w:val="0"/>
        <w:rPr>
          <w:rFonts w:ascii="Times" w:hAnsi="Times"/>
          <w:sz w:val="24"/>
          <w:szCs w:val="24"/>
        </w:rPr>
      </w:pPr>
    </w:p>
    <w:p w14:paraId="12278DB4" w14:textId="1273E7BE" w:rsidR="00A356E2" w:rsidRDefault="00A356E2" w:rsidP="00A356E2">
      <w:pPr>
        <w:pStyle w:val="Normal1"/>
        <w:contextualSpacing w:val="0"/>
        <w:rPr>
          <w:rFonts w:ascii="Times" w:hAnsi="Times"/>
          <w:sz w:val="24"/>
          <w:szCs w:val="24"/>
        </w:rPr>
      </w:pPr>
    </w:p>
    <w:p w14:paraId="038E2417" w14:textId="7F0B4571" w:rsidR="00A356E2" w:rsidRDefault="00A356E2" w:rsidP="00A356E2">
      <w:pPr>
        <w:pStyle w:val="Normal1"/>
        <w:contextualSpacing w:val="0"/>
        <w:rPr>
          <w:rFonts w:ascii="Times" w:hAnsi="Times"/>
          <w:sz w:val="24"/>
          <w:szCs w:val="24"/>
        </w:rPr>
      </w:pPr>
    </w:p>
    <w:p w14:paraId="0905C471" w14:textId="77777777" w:rsidR="00A356E2" w:rsidRDefault="00A356E2" w:rsidP="00A356E2">
      <w:pPr>
        <w:rPr>
          <w:rFonts w:ascii="Times" w:hAnsi="Times"/>
          <w:b/>
          <w:bCs/>
          <w:sz w:val="28"/>
          <w:szCs w:val="28"/>
        </w:rPr>
      </w:pPr>
    </w:p>
    <w:p w14:paraId="59E9A9FD" w14:textId="070E18B0" w:rsidR="00A356E2" w:rsidRPr="00A356E2" w:rsidRDefault="00A356E2" w:rsidP="00A356E2">
      <w:pPr>
        <w:spacing w:before="240" w:after="240"/>
        <w:ind w:firstLine="0"/>
        <w:rPr>
          <w:rFonts w:ascii="Times" w:hAnsi="Times"/>
          <w:b/>
          <w:bCs/>
          <w:sz w:val="58"/>
          <w:szCs w:val="58"/>
        </w:rPr>
      </w:pPr>
      <w:r w:rsidRPr="00A356E2">
        <w:rPr>
          <w:rFonts w:ascii="Times" w:hAnsi="Times"/>
          <w:b/>
          <w:bCs/>
          <w:sz w:val="58"/>
          <w:szCs w:val="58"/>
        </w:rPr>
        <w:lastRenderedPageBreak/>
        <w:t>Table of Contents</w:t>
      </w:r>
    </w:p>
    <w:p w14:paraId="33B266E9" w14:textId="30C03CCF" w:rsidR="00D93307" w:rsidRPr="00F15971" w:rsidRDefault="00D93307" w:rsidP="00F702E5">
      <w:pPr>
        <w:pStyle w:val="ListParagraph"/>
        <w:numPr>
          <w:ilvl w:val="0"/>
          <w:numId w:val="2"/>
        </w:numPr>
        <w:spacing w:before="240" w:after="240"/>
        <w:rPr>
          <w:rFonts w:ascii="Times" w:hAnsi="Times"/>
          <w:sz w:val="28"/>
          <w:szCs w:val="28"/>
        </w:rPr>
      </w:pPr>
      <w:r w:rsidRPr="00F15971">
        <w:rPr>
          <w:rFonts w:ascii="Times" w:hAnsi="Times"/>
          <w:sz w:val="28"/>
          <w:szCs w:val="28"/>
        </w:rPr>
        <w:t>S1 Appendix I: Full Methods</w:t>
      </w:r>
    </w:p>
    <w:p w14:paraId="3C475C33" w14:textId="101E2A43" w:rsidR="00D93307" w:rsidRPr="00F15971" w:rsidRDefault="00D93307" w:rsidP="00F702E5">
      <w:pPr>
        <w:pStyle w:val="ListParagraph"/>
        <w:numPr>
          <w:ilvl w:val="0"/>
          <w:numId w:val="2"/>
        </w:numPr>
        <w:spacing w:before="240" w:after="240"/>
        <w:rPr>
          <w:rFonts w:ascii="Times" w:hAnsi="Times"/>
          <w:sz w:val="28"/>
          <w:szCs w:val="28"/>
        </w:rPr>
      </w:pPr>
      <w:r w:rsidRPr="00F15971">
        <w:rPr>
          <w:rFonts w:ascii="Times" w:hAnsi="Times"/>
          <w:sz w:val="28"/>
          <w:szCs w:val="28"/>
        </w:rPr>
        <w:t>S1 Appendix II: Supplemental Results</w:t>
      </w:r>
    </w:p>
    <w:p w14:paraId="7047FD0A" w14:textId="017CAF1F" w:rsidR="00D93307" w:rsidRPr="00F15971" w:rsidRDefault="00D93307" w:rsidP="00F702E5">
      <w:pPr>
        <w:pStyle w:val="ListParagraph"/>
        <w:numPr>
          <w:ilvl w:val="0"/>
          <w:numId w:val="2"/>
        </w:numPr>
        <w:spacing w:before="240" w:after="240"/>
        <w:rPr>
          <w:rFonts w:ascii="Times" w:hAnsi="Times"/>
          <w:sz w:val="28"/>
          <w:szCs w:val="28"/>
        </w:rPr>
      </w:pPr>
      <w:r w:rsidRPr="00F15971">
        <w:rPr>
          <w:rFonts w:ascii="Times" w:hAnsi="Times"/>
          <w:sz w:val="28"/>
          <w:szCs w:val="28"/>
        </w:rPr>
        <w:t>S1 Appendix III: Biomass Comparisons</w:t>
      </w:r>
    </w:p>
    <w:p w14:paraId="2756DD0E" w14:textId="1DDC1E1A" w:rsidR="00D93307" w:rsidRPr="00F15971" w:rsidRDefault="00D93307" w:rsidP="00F702E5">
      <w:pPr>
        <w:pStyle w:val="ListParagraph"/>
        <w:numPr>
          <w:ilvl w:val="0"/>
          <w:numId w:val="2"/>
        </w:numPr>
        <w:spacing w:before="240" w:after="240"/>
        <w:rPr>
          <w:rFonts w:ascii="Times" w:hAnsi="Times"/>
          <w:sz w:val="28"/>
          <w:szCs w:val="28"/>
        </w:rPr>
      </w:pPr>
      <w:r w:rsidRPr="00F15971">
        <w:rPr>
          <w:rFonts w:ascii="Times" w:hAnsi="Times"/>
          <w:sz w:val="28"/>
          <w:szCs w:val="28"/>
        </w:rPr>
        <w:t>Supplemental Figures and Tables</w:t>
      </w:r>
    </w:p>
    <w:p w14:paraId="1577B3B8" w14:textId="4A7800C0" w:rsidR="00FC0618" w:rsidRPr="00F15971" w:rsidRDefault="00FC0618" w:rsidP="00AF2630">
      <w:pPr>
        <w:pStyle w:val="ListParagraph"/>
        <w:numPr>
          <w:ilvl w:val="1"/>
          <w:numId w:val="2"/>
        </w:numPr>
        <w:rPr>
          <w:rFonts w:ascii="Times" w:hAnsi="Times"/>
          <w:iCs/>
          <w:sz w:val="24"/>
          <w:szCs w:val="24"/>
        </w:rPr>
      </w:pPr>
      <w:r w:rsidRPr="00F15971">
        <w:rPr>
          <w:rFonts w:ascii="Times" w:hAnsi="Times"/>
          <w:iCs/>
          <w:sz w:val="24"/>
          <w:szCs w:val="24"/>
        </w:rPr>
        <w:t>Figure S1. eDNA and Trawl Survey Port Level Species Rarefaction Curves</w:t>
      </w:r>
    </w:p>
    <w:p w14:paraId="31FF91FD" w14:textId="6FA60666" w:rsidR="00FC0618" w:rsidRPr="00F15971" w:rsidRDefault="00FC0618" w:rsidP="00AF2630">
      <w:pPr>
        <w:pStyle w:val="ListParagraph"/>
        <w:numPr>
          <w:ilvl w:val="1"/>
          <w:numId w:val="2"/>
        </w:numPr>
        <w:rPr>
          <w:rFonts w:ascii="Times" w:hAnsi="Times"/>
          <w:iCs/>
          <w:sz w:val="24"/>
          <w:szCs w:val="24"/>
        </w:rPr>
      </w:pPr>
      <w:r w:rsidRPr="00F15971">
        <w:rPr>
          <w:rFonts w:ascii="Times" w:hAnsi="Times"/>
          <w:iCs/>
          <w:sz w:val="24"/>
          <w:szCs w:val="24"/>
        </w:rPr>
        <w:t>Figure S2. eDNA and Trawl Survey Port Level Sample Coverage Curves</w:t>
      </w:r>
    </w:p>
    <w:p w14:paraId="07F53B2D" w14:textId="3F792C5E" w:rsidR="00FC0618" w:rsidRPr="00F15971" w:rsidRDefault="00FC0618" w:rsidP="00AF2630">
      <w:pPr>
        <w:pStyle w:val="ListParagraph"/>
        <w:numPr>
          <w:ilvl w:val="1"/>
          <w:numId w:val="2"/>
        </w:numPr>
        <w:rPr>
          <w:rFonts w:ascii="Times" w:hAnsi="Times"/>
          <w:iCs/>
          <w:sz w:val="24"/>
          <w:szCs w:val="24"/>
        </w:rPr>
      </w:pPr>
      <w:r w:rsidRPr="00F15971">
        <w:rPr>
          <w:rFonts w:ascii="Times" w:hAnsi="Times"/>
          <w:iCs/>
          <w:sz w:val="24"/>
          <w:szCs w:val="24"/>
        </w:rPr>
        <w:t>Figure S3. eDNA Survey Station Level Species Rarefaction and Sample Coverage Curves</w:t>
      </w:r>
    </w:p>
    <w:p w14:paraId="2BF2C23C" w14:textId="7F2B004B" w:rsidR="00FC0618" w:rsidRPr="00F15971" w:rsidRDefault="00FC0618" w:rsidP="00AF2630">
      <w:pPr>
        <w:pStyle w:val="ListParagraph"/>
        <w:numPr>
          <w:ilvl w:val="1"/>
          <w:numId w:val="2"/>
        </w:numPr>
        <w:rPr>
          <w:rFonts w:ascii="Times" w:hAnsi="Times"/>
          <w:iCs/>
          <w:sz w:val="24"/>
          <w:szCs w:val="24"/>
        </w:rPr>
      </w:pPr>
      <w:r w:rsidRPr="00F15971">
        <w:rPr>
          <w:rFonts w:ascii="Times" w:hAnsi="Times"/>
          <w:iCs/>
          <w:sz w:val="24"/>
          <w:szCs w:val="24"/>
        </w:rPr>
        <w:t>Figure S4. eDNA Survey Location Level Sample Coverage Curves</w:t>
      </w:r>
    </w:p>
    <w:p w14:paraId="6C2CA33E" w14:textId="1F89BF38" w:rsidR="00FC0618" w:rsidRPr="00F15971" w:rsidRDefault="00FC0618" w:rsidP="00AF2630">
      <w:pPr>
        <w:pStyle w:val="ListParagraph"/>
        <w:numPr>
          <w:ilvl w:val="1"/>
          <w:numId w:val="2"/>
        </w:numPr>
        <w:rPr>
          <w:rFonts w:ascii="Times" w:hAnsi="Times"/>
          <w:iCs/>
          <w:sz w:val="24"/>
          <w:szCs w:val="24"/>
        </w:rPr>
      </w:pPr>
      <w:r w:rsidRPr="00F15971">
        <w:rPr>
          <w:rFonts w:ascii="Times" w:hAnsi="Times"/>
          <w:iCs/>
          <w:sz w:val="24"/>
          <w:szCs w:val="24"/>
        </w:rPr>
        <w:t>Figure S5. eDNA Survey Location Level Species Rarefaction Curves</w:t>
      </w:r>
    </w:p>
    <w:p w14:paraId="278CEA0A" w14:textId="573BAA71" w:rsidR="003A1513" w:rsidRPr="00F15971" w:rsidRDefault="003A1513" w:rsidP="00AF2630">
      <w:pPr>
        <w:pStyle w:val="ListParagraph"/>
        <w:numPr>
          <w:ilvl w:val="1"/>
          <w:numId w:val="2"/>
        </w:numPr>
        <w:rPr>
          <w:rFonts w:ascii="Times" w:hAnsi="Times"/>
          <w:iCs/>
          <w:sz w:val="24"/>
          <w:szCs w:val="24"/>
        </w:rPr>
      </w:pPr>
      <w:r w:rsidRPr="00F15971">
        <w:rPr>
          <w:rFonts w:ascii="Times" w:hAnsi="Times"/>
          <w:iCs/>
          <w:sz w:val="24"/>
          <w:szCs w:val="24"/>
        </w:rPr>
        <w:t>Figure S</w:t>
      </w:r>
      <w:r w:rsidR="00FC0618" w:rsidRPr="00F15971">
        <w:rPr>
          <w:rFonts w:ascii="Times" w:hAnsi="Times"/>
          <w:iCs/>
          <w:sz w:val="24"/>
          <w:szCs w:val="24"/>
        </w:rPr>
        <w:t>6</w:t>
      </w:r>
      <w:r w:rsidRPr="00F15971">
        <w:rPr>
          <w:rFonts w:ascii="Times" w:hAnsi="Times"/>
          <w:iCs/>
          <w:sz w:val="24"/>
          <w:szCs w:val="24"/>
        </w:rPr>
        <w:t xml:space="preserve">. </w:t>
      </w:r>
      <w:r w:rsidR="00CD2254" w:rsidRPr="00F15971">
        <w:rPr>
          <w:rFonts w:ascii="Times" w:hAnsi="Times"/>
          <w:iCs/>
          <w:sz w:val="24"/>
          <w:szCs w:val="24"/>
        </w:rPr>
        <w:t>eDNA Index vs. Trawl Biomass (kg)</w:t>
      </w:r>
    </w:p>
    <w:p w14:paraId="1B246F60" w14:textId="4102F0C2" w:rsidR="00F702E5" w:rsidRPr="00F15971" w:rsidRDefault="00CD2254" w:rsidP="00AF2630">
      <w:pPr>
        <w:pStyle w:val="ListParagraph"/>
        <w:numPr>
          <w:ilvl w:val="1"/>
          <w:numId w:val="2"/>
        </w:numPr>
        <w:rPr>
          <w:rFonts w:ascii="Times" w:hAnsi="Times"/>
          <w:iCs/>
          <w:sz w:val="24"/>
          <w:szCs w:val="24"/>
        </w:rPr>
      </w:pPr>
      <w:r w:rsidRPr="00F15971">
        <w:rPr>
          <w:rFonts w:ascii="Times" w:hAnsi="Times"/>
          <w:iCs/>
          <w:sz w:val="24"/>
          <w:szCs w:val="24"/>
        </w:rPr>
        <w:t>Figure S7. eDNA Index vs. Trawl Abundance (counts)</w:t>
      </w:r>
    </w:p>
    <w:p w14:paraId="1AFF5846" w14:textId="5A4458E0" w:rsidR="00F702E5" w:rsidRPr="00F15971" w:rsidRDefault="00F702E5" w:rsidP="00AF2630">
      <w:pPr>
        <w:pStyle w:val="ListParagraph"/>
        <w:numPr>
          <w:ilvl w:val="0"/>
          <w:numId w:val="2"/>
        </w:numPr>
        <w:spacing w:before="240"/>
        <w:rPr>
          <w:rFonts w:ascii="Times" w:hAnsi="Times"/>
          <w:iCs/>
          <w:sz w:val="24"/>
          <w:szCs w:val="24"/>
        </w:rPr>
      </w:pPr>
      <w:r w:rsidRPr="00F15971">
        <w:rPr>
          <w:rFonts w:ascii="Times" w:hAnsi="Times"/>
          <w:sz w:val="28"/>
          <w:szCs w:val="28"/>
        </w:rPr>
        <w:t>Supplemental Tables</w:t>
      </w:r>
    </w:p>
    <w:p w14:paraId="5FC5ED5B" w14:textId="77777777" w:rsidR="00AF2630" w:rsidRPr="00AF2630" w:rsidRDefault="00F702E5" w:rsidP="00AF2630">
      <w:pPr>
        <w:pStyle w:val="ListParagraph"/>
        <w:numPr>
          <w:ilvl w:val="1"/>
          <w:numId w:val="2"/>
        </w:numPr>
        <w:rPr>
          <w:rFonts w:ascii="Times" w:hAnsi="Times"/>
          <w:i/>
          <w:sz w:val="24"/>
          <w:szCs w:val="24"/>
        </w:rPr>
      </w:pPr>
      <w:r w:rsidRPr="00F15971">
        <w:rPr>
          <w:rFonts w:ascii="Times" w:hAnsi="Times"/>
          <w:sz w:val="24"/>
          <w:szCs w:val="24"/>
        </w:rPr>
        <w:t>Table S1. eDNA Sample Metadata</w:t>
      </w:r>
      <w:bookmarkStart w:id="0" w:name="_m5xusoufhtrt" w:colFirst="0" w:colLast="0"/>
      <w:bookmarkEnd w:id="0"/>
    </w:p>
    <w:p w14:paraId="35EB7371" w14:textId="19A4BBD1" w:rsidR="00F702E5" w:rsidRPr="00AF2630" w:rsidRDefault="00F702E5" w:rsidP="00AF2630">
      <w:pPr>
        <w:pStyle w:val="ListParagraph"/>
        <w:numPr>
          <w:ilvl w:val="1"/>
          <w:numId w:val="2"/>
        </w:numPr>
        <w:rPr>
          <w:rFonts w:ascii="Times" w:hAnsi="Times"/>
          <w:i/>
          <w:sz w:val="24"/>
          <w:szCs w:val="24"/>
        </w:rPr>
      </w:pPr>
      <w:r w:rsidRPr="00AF2630">
        <w:rPr>
          <w:rFonts w:ascii="Times" w:hAnsi="Times"/>
          <w:sz w:val="24"/>
          <w:szCs w:val="24"/>
        </w:rPr>
        <w:t>Table S2. Trawl Sampling Metadata</w:t>
      </w:r>
    </w:p>
    <w:p w14:paraId="558F255B" w14:textId="7CD72E94" w:rsidR="00F702E5" w:rsidRPr="00F15971" w:rsidRDefault="00F702E5" w:rsidP="00AF2630">
      <w:pPr>
        <w:pStyle w:val="ListParagraph"/>
        <w:numPr>
          <w:ilvl w:val="1"/>
          <w:numId w:val="2"/>
        </w:numPr>
        <w:rPr>
          <w:rFonts w:ascii="Times" w:hAnsi="Times"/>
          <w:sz w:val="24"/>
          <w:szCs w:val="24"/>
        </w:rPr>
      </w:pPr>
      <w:r w:rsidRPr="00F15971">
        <w:rPr>
          <w:rFonts w:ascii="Times" w:hAnsi="Times"/>
          <w:sz w:val="24"/>
          <w:szCs w:val="24"/>
        </w:rPr>
        <w:t>Table S3. Trawl Abundances (counts) data</w:t>
      </w:r>
    </w:p>
    <w:p w14:paraId="2B6C54DA" w14:textId="5101A671"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S4. Trawl Biomass (kg) data</w:t>
      </w:r>
    </w:p>
    <w:p w14:paraId="0692AABC"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S5. MiFish 12S Universal Teleost Sequence Read Counts Prior to Site Occupancy Modeling Assigned with Gold et al. 2021 Curated Reference Database</w:t>
      </w:r>
    </w:p>
    <w:p w14:paraId="095BBD2C" w14:textId="7EFB37A5"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lastRenderedPageBreak/>
        <w:t>Table S6. MiFish 12S Elasmobranch Sequence Read Counts Prior to Site Occupancy Modeling  Assigned with Gold et al. 2021 Curated Reference Database</w:t>
      </w:r>
    </w:p>
    <w:p w14:paraId="0F461334"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S7. MiFish 12S Universal Teleost Sequence Read Counts Prior to Site Occupancy Modeling Assigned with Curd et al. 2019 12S database</w:t>
      </w:r>
    </w:p>
    <w:p w14:paraId="38E6A553"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S8. MiFish 12S Elasmobranch Sequence Read Counts Prior to Site Occupancy Modeling  Assigned with Curd et al. 2019 12S database</w:t>
      </w:r>
    </w:p>
    <w:p w14:paraId="42C35646"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S9. CO1 Sequence Read Counts Prior to Site Occupancy Modeling</w:t>
      </w:r>
    </w:p>
    <w:p w14:paraId="725771D3"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S10. 16S Sequence Read Counts Prior to Site Occupancy Modeling</w:t>
      </w:r>
    </w:p>
    <w:p w14:paraId="25BC80D8"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S11. Cal-NEMO Invasive Species List</w:t>
      </w:r>
    </w:p>
    <w:p w14:paraId="5F5B7F96"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S12. MiFish 12S Universal Teleost Sequence Read Counts After Site Occupancy Modeling</w:t>
      </w:r>
    </w:p>
    <w:p w14:paraId="5ED48163"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S13. MiFish 12S Elasmobranch Sequence Read Counts After Site Occupancy Modeling</w:t>
      </w:r>
    </w:p>
    <w:p w14:paraId="3929CC9E"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S14. CO1 Sequence Read Counts After Site Occupancy Modeling</w:t>
      </w:r>
    </w:p>
    <w:p w14:paraId="5DC94F3F"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S15. 16S Sequence Read Counts After Site Occupancy Modeling</w:t>
      </w:r>
    </w:p>
    <w:p w14:paraId="39133B43"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S16. Combined 12S Sequence Read Counts After Site Occupancy Modeling</w:t>
      </w:r>
    </w:p>
    <w:p w14:paraId="13FBC278"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S17. Combined 12S eDNA Index Scores After Site Occupancy Modeling</w:t>
      </w:r>
    </w:p>
    <w:p w14:paraId="5C4E4BE4"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S18. PERMANOVA and Betadisper Results</w:t>
      </w:r>
    </w:p>
    <w:p w14:paraId="20AFF86A"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S19. Port-wide Rarefaction Results</w:t>
      </w:r>
    </w:p>
    <w:p w14:paraId="65839270"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S20. Station Level Rarefaction Results</w:t>
      </w:r>
    </w:p>
    <w:p w14:paraId="3033F0BE" w14:textId="77777777" w:rsidR="00F702E5" w:rsidRPr="00F15971" w:rsidRDefault="00F702E5" w:rsidP="00AF2630">
      <w:pPr>
        <w:pStyle w:val="ListParagraph"/>
        <w:numPr>
          <w:ilvl w:val="1"/>
          <w:numId w:val="2"/>
        </w:numPr>
        <w:spacing w:after="0"/>
        <w:rPr>
          <w:rFonts w:ascii="Times" w:hAnsi="Times" w:cs="Arial"/>
          <w:color w:val="000000"/>
          <w:sz w:val="24"/>
          <w:szCs w:val="24"/>
          <w:lang w:val="en-US"/>
        </w:rPr>
      </w:pPr>
      <w:r w:rsidRPr="00F15971">
        <w:rPr>
          <w:rFonts w:ascii="Times" w:hAnsi="Times" w:cs="Arial"/>
          <w:color w:val="000000"/>
          <w:sz w:val="24"/>
          <w:szCs w:val="24"/>
          <w:lang w:val="en-US"/>
        </w:rPr>
        <w:t>Table S21. Location Level Rarefaction Results</w:t>
      </w:r>
    </w:p>
    <w:p w14:paraId="09D9726E" w14:textId="6D715582" w:rsidR="00F702E5" w:rsidRPr="00F15971" w:rsidRDefault="00F702E5" w:rsidP="00AF2630">
      <w:pPr>
        <w:spacing w:after="0"/>
        <w:ind w:firstLine="0"/>
        <w:rPr>
          <w:rFonts w:ascii="Times" w:hAnsi="Times" w:cs="Arial"/>
          <w:color w:val="000000"/>
          <w:sz w:val="24"/>
          <w:szCs w:val="24"/>
          <w:lang w:val="en-US"/>
        </w:rPr>
      </w:pPr>
    </w:p>
    <w:p w14:paraId="7A503B42" w14:textId="334E5E76" w:rsidR="00F702E5" w:rsidRPr="00F15971" w:rsidRDefault="00F702E5" w:rsidP="00F702E5">
      <w:pPr>
        <w:rPr>
          <w:rFonts w:ascii="Times" w:hAnsi="Times"/>
        </w:rPr>
      </w:pPr>
    </w:p>
    <w:p w14:paraId="233F82E0" w14:textId="12287A60" w:rsidR="00D93307" w:rsidRPr="00F15971" w:rsidRDefault="00D93307" w:rsidP="00D93307">
      <w:pPr>
        <w:pStyle w:val="Heading1"/>
        <w:rPr>
          <w:rFonts w:ascii="Times" w:hAnsi="Times"/>
        </w:rPr>
      </w:pPr>
      <w:r w:rsidRPr="00F15971">
        <w:rPr>
          <w:rFonts w:ascii="Times" w:hAnsi="Times"/>
        </w:rPr>
        <w:lastRenderedPageBreak/>
        <w:t>S1. APPENDIX I: FULL METHODS</w:t>
      </w:r>
    </w:p>
    <w:p w14:paraId="568C976D" w14:textId="77777777" w:rsidR="00D93307" w:rsidRPr="00F15971" w:rsidRDefault="00D93307" w:rsidP="00D93307">
      <w:pPr>
        <w:pStyle w:val="Heading2"/>
        <w:rPr>
          <w:rFonts w:ascii="Times" w:hAnsi="Times"/>
        </w:rPr>
      </w:pPr>
      <w:bookmarkStart w:id="1" w:name="_1hmsyys" w:colFirst="0" w:colLast="0"/>
      <w:bookmarkEnd w:id="1"/>
      <w:r w:rsidRPr="00F15971">
        <w:rPr>
          <w:rFonts w:ascii="Times" w:hAnsi="Times"/>
        </w:rPr>
        <w:t>Contamination precautions</w:t>
      </w:r>
    </w:p>
    <w:p w14:paraId="6A9A1872" w14:textId="7F63F315" w:rsidR="00D93307" w:rsidRPr="00F15971" w:rsidRDefault="00D93307" w:rsidP="00D1121C">
      <w:pPr>
        <w:ind w:firstLine="0"/>
        <w:rPr>
          <w:rFonts w:ascii="Times" w:hAnsi="Times"/>
        </w:rPr>
      </w:pPr>
      <w:r w:rsidRPr="00F15971">
        <w:rPr>
          <w:rFonts w:ascii="Times" w:hAnsi="Times"/>
        </w:rPr>
        <w:t xml:space="preserve">False positives may result from contamination during eDNA collection as well as during DNA extraction and amplification. To prevent contamination in both field sampling and lab work, we followed precautions outlined in </w:t>
      </w:r>
      <w:r w:rsidRPr="00F15971">
        <w:rPr>
          <w:rFonts w:ascii="Times" w:hAnsi="Times"/>
        </w:rPr>
        <w:fldChar w:fldCharType="begin" w:fldLock="1"/>
      </w:r>
      <w:r w:rsidR="003A1513" w:rsidRPr="00F15971">
        <w:rPr>
          <w:rFonts w:ascii="Times" w:hAnsi="Times"/>
        </w:rPr>
        <w:instrText>ADDIN CSL_CITATION {"citationItems":[{"id":"ITEM-1","itemData":{"DOI":"10.1111/2041-210X.12595","ISSN":"2041210X","abstract":"Species detection using environmental DNA (eDNA) has tremendous potential for contributing to the understanding of the ecology and conservation of aquatic species. Detecting species using eDNA methods, rather than directly sampling the organisms, can reduce impacts on sensitive species and increase the power of field surveys for rare and elusive species. The sensitivity of eDNA methods, however, requires a heightened awareness and attention to quality assurance and quality control protocols. Additionally, the interpretation of eDNA data demands careful consideration of multiple factors. As eDNA methods have grown in application, diverse approaches have been implemented to address these issues. With interest in eDNA continuing to expand, supportive guidelines for undertaking eDNA studies are greatly needed. Environmental DNA researchers from around the world have collaborated to produce this set of guidelines and considerations for implementing eDNA methods to detect aquatic macroorganisms. Critical considerations for study design include preventing contamination in the field and the laboratory, choosing appropriate sample analysis methods, validating assays, testing for sample inhibition and following minimum reporting guidelines. Critical considerations for inference include temporal and spatial processes, limits of correlation of eDNA with abundance, uncertainty of positive and negative results, and potential sources of allochthonous DNA. We present a synthesis of knowledge at this stage for application of this new and powerful detection method.","author":[{"dropping-particle":"","family":"Goldberg","given":"Caren S.","non-dropping-particle":"","parse-names":false,"suffix":""},{"dropping-particle":"","family":"Turner","given":"Cameron R.","non-dropping-particle":"","parse-names":false,"suffix":""},{"dropping-particle":"","family":"Deiner","given":"Kristy","non-dropping-particle":"","parse-names":false,"suffix":""},{"dropping-particle":"","family":"Klymus","given":"Katy E.","non-dropping-particle":"","parse-names":false,"suffix":""},{"dropping-particle":"","family":"Thomsen","given":"Philip Francis","non-dropping-particle":"","parse-names":false,"suffix":""},{"dropping-particle":"","family":"Murphy","given":"Melanie A.","non-dropping-particle":"","parse-names":false,"suffix":""},{"dropping-particle":"","family":"Spear","given":"Stephen F.","non-dropping-particle":"","parse-names":false,"suffix":""},{"dropping-particle":"","family":"McKee","given":"Anna","non-dropping-particle":"","parse-names":false,"suffix":""},{"dropping-particle":"","family":"Oyler-McCance","given":"Sara J.","non-dropping-particle":"","parse-names":false,"suffix":""},{"dropping-particle":"","family":"Cornman","given":"Robert Scott","non-dropping-particle":"","parse-names":false,"suffix":""},{"dropping-particle":"","family":"Laramie","given":"Matthew B.","non-dropping-particle":"","parse-names":false,"suffix":""},{"dropping-particle":"","family":"Mahon","given":"Andrew R.","non-dropping-particle":"","parse-names":false,"suffix":""},{"dropping-particle":"","family":"Lance","given":"Richard F.","non-dropping-particle":"","parse-names":false,"suffix":""},{"dropping-particle":"","family":"Pilliod","given":"David S.","non-dropping-particle":"","parse-names":false,"suffix":""},{"dropping-particle":"","family":"Strickler","given":"Katherine M.","non-dropping-particle":"","parse-names":false,"suffix":""},{"dropping-particle":"","family":"Waits","given":"Lisette P.","non-dropping-particle":"","parse-names":false,"suffix":""},{"dropping-particle":"","family":"Fremier","given":"Alexander K.","non-dropping-particle":"","parse-names":false,"suffix":""},{"dropping-particle":"","family":"Takahara","given":"Teruhiko","non-dropping-particle":"","parse-names":false,"suffix":""},{"dropping-particle":"","family":"Herder","given":"Jelger E.","non-dropping-particle":"","parse-names":false,"suffix":""},{"dropping-particle":"","family":"Taberlet","given":"Pierre","non-dropping-particle":"","parse-names":false,"suffix":""}],"container-title":"Methods in Ecology and Evolution","id":"ITEM-1","issue":"11","issued":{"date-parts":[["2016"]]},"page":"1299-1307","title":"Critical considerations for the application of environmental DNA methods to detect aquatic species","type":"article-journal","volume":"7"},"uris":["http://www.mendeley.com/documents/?uuid=19a1528b-d3c6-357c-ab14-3d585ff6a8d9"]}],"mendeley":{"formattedCitation":"(Goldberg et al., 2016)","manualFormatting":"Goldberg et al., 2016","plainTextFormattedCitation":"(Goldberg et al., 2016)","previouslyFormattedCitation":"(Goldberg et al., 2016)"},"properties":{"noteIndex":0},"schema":"https://github.com/citation-style-language/schema/raw/master/csl-citation.json"}</w:instrText>
      </w:r>
      <w:r w:rsidRPr="00F15971">
        <w:rPr>
          <w:rFonts w:ascii="Times" w:hAnsi="Times"/>
        </w:rPr>
        <w:fldChar w:fldCharType="separate"/>
      </w:r>
      <w:r w:rsidRPr="00F15971">
        <w:rPr>
          <w:rFonts w:ascii="Times" w:hAnsi="Times"/>
          <w:noProof/>
        </w:rPr>
        <w:t>Goldberg et al., 2016</w:t>
      </w:r>
      <w:r w:rsidRPr="00F15971">
        <w:rPr>
          <w:rFonts w:ascii="Times" w:hAnsi="Times"/>
        </w:rPr>
        <w:fldChar w:fldCharType="end"/>
      </w:r>
      <w:r w:rsidRPr="00F15971">
        <w:rPr>
          <w:rFonts w:ascii="Times" w:hAnsi="Times"/>
        </w:rPr>
        <w:t>. Specifically, personnel wore nitrile gloves at all times during field and lab sample processing. Prior to eDNA sample collection, we</w:t>
      </w:r>
      <w:r w:rsidR="00D1121C">
        <w:rPr>
          <w:rFonts w:ascii="Times" w:hAnsi="Times"/>
        </w:rPr>
        <w:t xml:space="preserve"> </w:t>
      </w:r>
      <w:r w:rsidRPr="00F15971">
        <w:rPr>
          <w:rFonts w:ascii="Times" w:hAnsi="Times"/>
        </w:rPr>
        <w:t xml:space="preserve">sterilized all containers, supplies, and work surfaces with 10% bleach solution followed by 30 min ultraviolet light (UV) treatment. We conducted all eDNA filter extractions and PCR preparations in an AirClean 600 PCR Workstation (Creedmoor, NC, USA) located in a clean room dedicated to DNA extractions and PCR preparations at the University of California, Los Angeles (UCLA). Before and after use, we cleaned the AirClean 600 PCR Work-station and pipettes with 10–30% bleach followed by a 30 min UV treatment. We used filtered pipette tips for all pre- and post-PCR procedures. These and other consumables were decontaminated by a 30 min UV treatment. In addition to the above, we included negative controls at all sample processing steps including field blanks, extraction blanks, and PCR blanks, we also used two positive controls to test for index hopping. </w:t>
      </w:r>
    </w:p>
    <w:p w14:paraId="34A8C42D" w14:textId="77777777" w:rsidR="00D93307" w:rsidRPr="00F15971" w:rsidRDefault="00D93307" w:rsidP="00D93307">
      <w:pPr>
        <w:pStyle w:val="Heading2"/>
        <w:rPr>
          <w:rFonts w:ascii="Times" w:hAnsi="Times"/>
        </w:rPr>
      </w:pPr>
      <w:r w:rsidRPr="00F15971">
        <w:rPr>
          <w:rFonts w:ascii="Times" w:hAnsi="Times"/>
        </w:rPr>
        <w:t>eDNA sample collection</w:t>
      </w:r>
    </w:p>
    <w:p w14:paraId="497AC85D" w14:textId="739C96C0" w:rsidR="00D93307" w:rsidRPr="00F15971" w:rsidRDefault="00D93307" w:rsidP="00D1121C">
      <w:pPr>
        <w:spacing w:after="160"/>
        <w:ind w:firstLine="0"/>
        <w:rPr>
          <w:rFonts w:ascii="Times" w:hAnsi="Times"/>
        </w:rPr>
      </w:pPr>
      <w:r w:rsidRPr="00F15971">
        <w:rPr>
          <w:rFonts w:ascii="Times" w:hAnsi="Times"/>
        </w:rPr>
        <w:t xml:space="preserve">We first sampled water for eDNA prior to trawling to ensure that trawling did not influence eDNA signals. To standardize the collection of seawater, we used three </w:t>
      </w:r>
      <w:r w:rsidR="00D1121C">
        <w:rPr>
          <w:rFonts w:ascii="Times" w:hAnsi="Times"/>
        </w:rPr>
        <w:t>5</w:t>
      </w:r>
      <w:r w:rsidRPr="00F15971">
        <w:rPr>
          <w:rFonts w:ascii="Times" w:hAnsi="Times"/>
        </w:rPr>
        <w:t xml:space="preserve"> L Niskin bottles (General Oceanics, Miami, FL, USA), with an anchor set to capture water from approximately 2 m above the seafloor (See Appendix S1 for full method details). Upon arrival at each location, sampling bottles were flushed continuously with surface water for a minimum of five minutes before deployment. Sea water from each sampling bottle was transferred to a sterile one L Kangaroo Enteral Feeding Gravity Bag (Covidien PLC, Dublin, Ireland). The first 0.5 L of each sample was used to rinse the bag and then discarded, the bag was </w:t>
      </w:r>
      <w:r w:rsidRPr="00F15971">
        <w:rPr>
          <w:rFonts w:ascii="Times" w:hAnsi="Times"/>
        </w:rPr>
        <w:lastRenderedPageBreak/>
        <w:t xml:space="preserve">then filled with one L of sample water and gravity filtered through a 0.22 μm Sterivex filter (Millipore Corp. Burlington, MA, USA) </w:t>
      </w:r>
      <w:r w:rsidR="003A1513" w:rsidRPr="00F15971">
        <w:rPr>
          <w:rFonts w:ascii="Times" w:hAnsi="Times"/>
        </w:rPr>
        <w:fldChar w:fldCharType="begin" w:fldLock="1"/>
      </w:r>
      <w:r w:rsidR="003A1513" w:rsidRPr="00F15971">
        <w:rPr>
          <w:rFonts w:ascii="Times" w:hAnsi="Times"/>
        </w:rPr>
        <w:instrText>ADDIN CSL_CITATION {"citationItems":[{"id":"ITEM-1","itemData":{"DOI":"10.1098/rsos.150088","ISSN":"20545703","PMID":"26587265","abstract":"We developed a set of universal PCR primers (MiFish-U/E) for metabarcoding environmental DNA (eDNA) from fishes. Primers were designed using aligned whole mitochondrial genome (mitogenome) sequences from 880 species, supplemented by partial mitogenome sequences from 160 elasmobranchs (sharks and rays). The primers target a hypervariable region of the 12S rRNA gene (163–185</w:instrText>
      </w:r>
      <w:r w:rsidR="003A1513" w:rsidRPr="00F15971">
        <w:instrText> </w:instrText>
      </w:r>
      <w:r w:rsidR="003A1513" w:rsidRPr="00F15971">
        <w:rPr>
          <w:rFonts w:ascii="Times" w:hAnsi="Times"/>
        </w:rPr>
        <w:instrText>bp), which contains sufficient information to identify fishes to taxonomic family, genus and species except for some closely related congeners. To test versatility of the primers across a diverse range of fishes, we sampled eDNA from four tanks in the Okinawa Churaumi Aquarium with known species compositions, prepared dual-indexed libraries and performed paired-end sequencing of the region using high-throughput next-generation sequencing technologies. Out of the 180 marine fish species contained in the four tanks with reference sequences in a custom database, we detected 168 species (93.3%) distributed across 59 families and 123 genera. These fishes are not only taxonomically diverse, ranging from sharks and rays to higher teleosts, but are also greatly varied in their ecology, including both pelagic and benthic species living in shallow coastal to deep waters. We also sampled natural seawaters around coral reefs near the aquarium and detected 93 fish species using this approach. Of the 93 species, 64 were not detected in the four aquarium tanks, rendering the total number of species detected to 232 (from 70 families and 152 genera). The metabarcoding approach presented here is non-invasive, more efficient, more cost-effective and more sensitive than the traditional survey methods. It has the potential to serve as an alternative (or complementary) tool for biodiversity monitoring that revolutionizes natural resource management and ecological studies of fish communities on larger spatial and temporal scales.","author":[{"dropping-particle":"","family":"Miya","given":"M.","non-dropping-particle":"","parse-names":false,"suffix":""},{"dropping-particle":"","family":"Sato","given":"Y.","non-dropping-particle":"","parse-names":false,"suffix":""},{"dropping-particle":"","family":"Fukunaga","given":"T.","non-dropping-particle":"","parse-names":false,"suffix":""},{"dropping-particle":"","family":"Sado","given":"T.","non-dropping-particle":"","parse-names":false,"suffix":""},{"dropping-particle":"","family":"Poulsen","given":"J. Y.","non-dropping-particle":"","parse-names":false,"suffix":""},{"dropping-particle":"","family":"Sato","given":"K.","non-dropping-particle":"","parse-names":false,"suffix":""},{"dropping-particle":"","family":"Minamoto","given":"T.","non-dropping-particle":"","parse-names":false,"suffix":""},{"dropping-particle":"","family":"Yamamoto","given":"S.","non-dropping-particle":"","parse-names":false,"suffix":""},{"dropping-particle":"","family":"Yamanaka","given":"H.","non-dropping-particle":"","parse-names":false,"suffix":""},{"dropping-particle":"","family":"Araki","given":"H.","non-dropping-particle":"","parse-names":false,"suffix":""},{"dropping-particle":"","family":"Kondoh","given":"M.","non-dropping-particle":"","parse-names":false,"suffix":""},{"dropping-particle":"","family":"Iwasaki","given":"W.","non-dropping-particle":"","parse-names":false,"suffix":""}],"container-title":"Royal Society Open Science","id":"ITEM-1","issue":"7","issued":{"date-parts":[["2015","7","1"]]},"language":"en","page":"150088","publisher":"The Royal Society","title":"MiFish, a set of universal PCR primers for metabarcoding environmental DNA from fishes: Detection of more than 230 subtropical marine species","type":"article-journal","volume":"2"},"uris":["http://www.mendeley.com/documents/?uuid=1ddb355e-48fd-49c1-982c-ee4766847328"]},{"id":"ITEM-2","itemData":{"DOI":"10.1111/mec.13481","ISSN":"1365294X","PMID":"26586544","abstract":"Preserving biodiversity is a global challenge requiring data on species' distribution and abundance over large geographic and temporal scales. However, traditional methods to survey mobile species' distribution and abundance in marine environments are often inefficient, environmentally destructive, or resource-intensive. Metabarcoding of environmental DNA (eDNA) offers a new means to assess biodiversity and on much larger scales, but adoption of this approach for surveying whole animal communities in large, dynamic aquatic systems has been slowed by significant unknowns surrounding error rates of detection and relevant spatial resolution of eDNA surveys. Here, we report the results of a 2.5 km eDNA transect surveying the vertebrate fauna present along a gradation of diverse marine habitats associated with a kelp forest ecosystem. Using PCR primers that target the mitochondrial 12S rRNA gene of marine fishes and mammals, we generated eDNA sequence data and compared it to simultaneous visual dive surveys. We find spatial concordance between individual species' eDNA and visual survey trends, and that eDNA is able to distinguish vertebrate community assemblages from habitats separated by as little as ~60 m. eDNA reliably detected vertebrates with low false-negative error rates (1/12 taxa) when compared to the surveys, and revealed cryptic species known to occupy the habitats but overlooked by visual methods. This study also presents an explicit accounting of false negatives and positives in metabarcoding data, which illustrate the influence of gene marker selection, replication, contamination, biases impacting eDNA count data and ecology of target species on eDNA detection rates in an open ecosystem.","author":[{"dropping-particle":"","family":"Port","given":"Jesse A.","non-dropping-particle":"","parse-names":false,"suffix":""},{"dropping-particle":"","family":"O'Donnell","given":"James L.","non-dropping-particle":"","parse-names":false,"suffix":""},{"dropping-particle":"","family":"Romero-Maraccini","given":"Ofelia C.","non-dropping-particle":"","parse-names":false,"suffix":""},{"dropping-particle":"","family":"Leary","given":"Paul R.","non-dropping-particle":"","parse-names":false,"suffix":""},{"dropping-particle":"","family":"Litvin","given":"Steven Y.","non-dropping-particle":"","parse-names":false,"suffix":""},{"dropping-particle":"","family":"Nickols","given":"Kerry J.","non-dropping-particle":"","parse-names":false,"suffix":""},{"dropping-particle":"","family":"Yamahara","given":"Kevan M.","non-dropping-particle":"","parse-names":false,"suffix":""},{"dropping-particle":"","family":"Kelly","given":"Ryan P.","non-dropping-particle":"","parse-names":false,"suffix":""}],"container-title":"Molecular Ecology","id":"ITEM-2","issue":"2","issued":{"date-parts":[["2016"]]},"page":"527-541","publisher":"Wiley Online Library","title":"Assessing vertebrate biodiversity in a kelp forest ecosystem using environmental DNA","type":"article-journal","volume":"25"},"uris":["http://www.mendeley.com/documents/?uuid=5dcae887-4fb9-4950-8d80-55ca89e9dc21"]},{"id":"ITEM-3","itemData":{"DOI":"10.1111/2041-210X.13214","ISSN":"2041210X","abstract":"Environmental DNA (eDNA) metabarcoding is a promising method to monitor species and community diversity that is rapid, affordable and non-invasive. The longstanding needs of the eDNA community are modular informatics tools, comprehensive and customizable reference databases, flexibility across high-throughput sequencing platforms, fast multilocus metabarcode processing and accurate taxonomic assignment. Improvements in bioinformatics tools make addressing each of these demands within a single toolkit a reality. The new modular metabarcode sequence toolkit Anacapa (https://github.com/limey-bean/Anacapa/) addresses the above needs, allowing users to build comprehensive reference databases and assign taxonomy to raw multilocus metabarcode sequence data. A novel aspect of Anacapa is its database building module, “Creating Reference libraries Using eXisting tools” (CRUX), which generates comprehensive reference databases for specific user-defined metabarcoding loci. The Quality Control and ASV Parsing module sorts and processes multiple metabarcoding loci and processes merged, unmerged and unpaired reads maximizing recovered diversity. DADA2 then detects amplicon sequence variants (ASVs) and the Anacapa Classifier module aligns these ASVs to CRUX-generated reference databases using Bowtie2. Lastly, taxonomy is assigned to ASVs with confidence scores using a Bayesian Lowest Common Ancestor (BLCA) method. The Anacapa Toolkit also includes an r package, ranacapa, for automated results exploration through standard biodiversity statistical analysis. Benchmarking tests verify that the Anacapa Toolkit effectively and efficiently generates comprehensive reference databases that capture taxonomic diversity, and can assign taxonomy to both MiSeq and HiSeq-length sequence data. We demonstrate the value of the Anacapa Toolkit in assigning taxonomy to seawater eDNA samples collected in southern California. The Anacapa Toolkit improves the functionality of eDNA and streamlines biodiversity assessment and management by generating metabarcode specific databases, processing multilocus data, retaining a larger proportion of sequencing reads and expanding non-traditional eDNA targets. All the components of the Anacapa Toolkit are open and available in a virtual container to ease installation.","author":[{"dropping-particle":"","family":"Curd","given":"Emily E.","non-dropping-particle":"","parse-names":false,"suffix":""},{"dropping-particle":"","family":"Gold","given":"Zack","non-dropping-particle":"","parse-names":false,"suffix":""},{"dropping-particle":"","family":"Kandlikar","given":"Gaurav S.","non-dropping-particle":"","parse-names":false,"suffix":""},{"dropping-particle":"","family":"Gomer","given":"Jesse","non-dropping-particle":"","parse-names":false,"suffix":""},{"dropping-particle":"","family":"Ogden","given":"Max","non-dropping-particle":"","parse-names":false,"suffix":""},{"dropping-particle":"","family":"O'Connell","given":"Taylor","non-dropping-particle":"","parse-names":false,"suffix":""},{"dropping-particle":"","family":"Pipes","given":"Lenore","non-dropping-particle":"","parse-names":false,"suffix":""},{"dropping-particle":"","family":"Schweizer","given":"Teia M.","non-dropping-particle":"","parse-names":false,"suffix":""},{"dropping-particle":"","family":"Rabichow","given":"Laura","non-dropping-particle":"","parse-names":false,"suffix":""},{"dropping-particle":"","family":"Lin","given":"Meixi","non-dropping-particle":"","parse-names":false,"suffix":""},{"dropping-particle":"","family":"Shi","given":"Baochen","non-dropping-particle":"","parse-names":false,"suffix":""},{"dropping-particle":"","family":"Barber","given":"Paul H.","non-dropping-particle":"","parse-names":false,"suffix":""},{"dropping-particle":"","family":"Kraft","given":"Nathan","non-dropping-particle":"","parse-names":false,"suffix":""},{"dropping-particle":"","family":"Wayne","given":"Robert","non-dropping-particle":"","parse-names":false,"suffix":""},{"dropping-particle":"","family":"Meyer","given":"Rachel S.","non-dropping-particle":"","parse-names":false,"suffix":""}],"container-title":"Methods in Ecology and Evolution","id":"ITEM-3","issue":"9","issued":{"date-parts":[["2019"]]},"page":"1469-1475","publisher":"British Ecological Society","title":"Anacapa Toolkit: An environmental DNA toolkit for processing multilocus metabarcode datasets","type":"article-journal","volume":"10"},"uris":["http://www.mendeley.com/documents/?uuid=ad58049a-bc81-45af-b79e-07ce67c1969f"]}],"mendeley":{"formattedCitation":"(Miya et al., 2015; Port et al., 2016; Curd et al., 2019)","plainTextFormattedCitation":"(Miya et al., 2015; Port et al., 2016; Curd et al., 2019)","previouslyFormattedCitation":"(Miya et al., 2015; Port et al., 2016; Curd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(Miya et al., 2015; Port et al., 2016; Curd et al., 2019)</w:t>
      </w:r>
      <w:r w:rsidR="003A1513" w:rsidRPr="00F15971">
        <w:rPr>
          <w:rFonts w:ascii="Times" w:hAnsi="Times"/>
        </w:rPr>
        <w:fldChar w:fldCharType="end"/>
      </w:r>
      <w:r w:rsidR="003A1513" w:rsidRPr="00F15971">
        <w:rPr>
          <w:rFonts w:ascii="Times" w:hAnsi="Times"/>
        </w:rPr>
        <w:t>.</w:t>
      </w:r>
      <w:r w:rsidRPr="00F15971">
        <w:rPr>
          <w:rFonts w:ascii="Times" w:hAnsi="Times"/>
        </w:rPr>
        <w:t xml:space="preserve"> Nalgene tubing and connectors were sterilized prior to assembly in the AirClean PCR hood. Filtration was carried out in the ship cabin, shielded from sunlight, for 40 minutes or until one L of sample was filtered, whichever came first </w:t>
      </w:r>
      <w:r w:rsidR="00F702E5" w:rsidRPr="00F15971">
        <w:rPr>
          <w:rFonts w:ascii="Times" w:hAnsi="Times"/>
        </w:rPr>
        <w:t xml:space="preserve">(Table S1). </w:t>
      </w:r>
      <w:r w:rsidRPr="00F15971">
        <w:rPr>
          <w:rFonts w:ascii="Times" w:hAnsi="Times"/>
        </w:rPr>
        <w:t>Previous testing had demonstrated that after 40 minutes a filter was clogged and longer filtration was fruitless (data not shown). Filter cartridges were then placed into individual sterile Whirl-Pak bags (</w:t>
      </w:r>
      <w:proofErr w:type="spellStart"/>
      <w:r w:rsidRPr="00F15971">
        <w:rPr>
          <w:rFonts w:ascii="Times" w:hAnsi="Times"/>
        </w:rPr>
        <w:t>Nasco</w:t>
      </w:r>
      <w:proofErr w:type="spellEnd"/>
      <w:r w:rsidRPr="00F15971">
        <w:rPr>
          <w:rFonts w:ascii="Times" w:hAnsi="Times"/>
        </w:rPr>
        <w:t>, Fort Atkinson, WI, USA) and then placed in a cooler with dry ice</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{"citationItems":[{"id":"ITEM-1","itemData":{"DOI":"10.1111/2041-210X.13214","ISSN":"2041210X","abstract":"Environmental DNA (eDNA) metabarcoding is a promising method to monitor species and community diversity that is rapid, affordable and non-invasive. The longstanding needs of the eDNA community are modular informatics tools, comprehensive and customizable reference databases, flexibility across high-throughput sequencing platforms, fast multilocus metabarcode processing and accurate taxonomic assignment. Improvements in bioinformatics tools make addressing each of these demands within a single toolkit a reality. The new modular metabarcode sequence toolkit Anacapa (https://github.com/limey-bean/Anacapa/) addresses the above needs, allowing users to build comprehensive reference databases and assign taxonomy to raw multilocus metabarcode sequence data. A novel aspect of Anacapa is its database building module, “Creating Reference libraries Using eXisting tools” (CRUX), which generates comprehensive reference databases for specific user-defined metabarcoding loci. The Quality Control and ASV Parsing module sorts and processes multiple metabarcoding loci and processes merged, unmerged and unpaired reads maximizing recovered diversity. DADA2 then detects amplicon sequence variants (ASVs) and the Anacapa Classifier module aligns these ASVs to CRUX-generated reference databases using Bowtie2. Lastly, taxonomy is assigned to ASVs with confidence scores using a Bayesian Lowest Common Ancestor (BLCA) method. The Anacapa Toolkit also includes an r package, ranacapa, for automated results exploration through standard biodiversity statistical analysis. Benchmarking tests verify that the Anacapa Toolkit effectively and efficiently generates comprehensive reference databases that capture taxonomic diversity, and can assign taxonomy to both MiSeq and HiSeq-length sequence data. We demonstrate the value of the Anacapa Toolkit in assigning taxonomy to seawater eDNA samples collected in southern California. The Anacapa Toolkit improves the functionality of eDNA and streamlines biodiversity assessment and management by generating metabarcode specific databases, processing multilocus data, retaining a larger proportion of sequencing reads and expanding non-traditional eDNA targets. All the components of the Anacapa Toolkit are open and available in a virtual container to ease installation.","author":[{"dropping-particle":"","family":"Curd","given":"Emily E.","non-dropping-particle":"","parse-names":false,"suffix":""},{"dropping-particle":"","family":"Gold","given":"Zack","non-dropping-particle":"","parse-names":false,"suffix":""},{"dropping-particle":"","family":"Kandlikar","given":"Gaurav S.","non-dropping-particle":"","parse-names":false,"suffix":""},{"dropping-particle":"","family":"Gomer","given":"Jesse","non-dropping-particle":"","parse-names":false,"suffix":""},{"dropping-particle":"","family":"Ogden","given":"Max","non-dropping-particle":"","parse-names":false,"suffix":""},{"dropping-particle":"","family":"O'Connell","given":"Taylor","non-dropping-particle":"","parse-names":false,"suffix":""},{"dropping-particle":"","family":"Pipes","given":"Lenore","non-dropping-particle":"","parse-names":false,"suffix":""},{"dropping-particle":"","family":"Schweizer","given":"Teia M.","non-dropping-particle":"","parse-names":false,"suffix":""},{"dropping-particle":"","family":"Rabichow","given":"Laura","non-dropping-particle":"","parse-names":false,"suffix":""},{"dropping-particle":"","family":"Lin","given":"Meixi","non-dropping-particle":"","parse-names":false,"suffix":""},{"dropping-particle":"","family":"Shi","given":"Baochen","non-dropping-particle":"","parse-names":false,"suffix":""},{"dropping-particle":"","family":"Barber","given":"Paul H.","non-dropping-particle":"","parse-names":false,"suffix":""},{"dropping-particle":"","family":"Kraft","given":"Nathan","non-dropping-particle":"","parse-names":false,"suffix":""},{"dropping-particle":"","family":"Wayne","given":"Robert","non-dropping-particle":"","parse-names":false,"suffix":""},{"dropping-particle":"","family":"Meyer","given":"Rachel S.","non-dropping-particle":"","parse-names":false,"suffix":""}],"container-title":"Methods in Ecology and Evolution","id":"ITEM-1","issue":"9","issued":{"date-parts":[["2019"]]},"page":"1469-1475","publisher":"British Ecological Society","title":"Anacapa Toolkit: An environmental DNA toolkit for processing multilocus metabarcode datasets","type":"article-journal","volume":"10"},"uris":["http://www.mendeley.com/documents/?uuid=ad58049a-bc81-45af-b79e-07ce67c1969f"]}],"mendeley":{"formattedCitation":"(Curd et al., 2019)","plainTextFormattedCitation":"(Curd et al., 2019)","previouslyFormattedCitation":"(Curd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(Curd et al., 2019)</w:t>
      </w:r>
      <w:r w:rsidR="003A1513" w:rsidRPr="00F15971">
        <w:rPr>
          <w:rFonts w:ascii="Times" w:hAnsi="Times"/>
        </w:rPr>
        <w:fldChar w:fldCharType="end"/>
      </w:r>
      <w:r w:rsidR="003A1513" w:rsidRPr="00F15971">
        <w:rPr>
          <w:rFonts w:ascii="Times" w:hAnsi="Times"/>
        </w:rPr>
        <w:t xml:space="preserve">. </w:t>
      </w:r>
      <w:r w:rsidRPr="00F15971">
        <w:rPr>
          <w:rFonts w:ascii="Times" w:hAnsi="Times"/>
        </w:rPr>
        <w:t xml:space="preserve">The resulting samples were kept on ice for up to 6 hours before being transferred to a -20° F freezer. As a negative control, we processed a field blank at each station that consisted of one L of </w:t>
      </w:r>
      <w:proofErr w:type="spellStart"/>
      <w:r w:rsidRPr="00F15971">
        <w:rPr>
          <w:rFonts w:ascii="Times" w:hAnsi="Times"/>
        </w:rPr>
        <w:t>UltraPure</w:t>
      </w:r>
      <w:proofErr w:type="spellEnd"/>
      <w:r w:rsidRPr="00F15971">
        <w:rPr>
          <w:rFonts w:ascii="Times" w:hAnsi="Times"/>
        </w:rPr>
        <w:t xml:space="preserve"> </w:t>
      </w:r>
      <w:proofErr w:type="spellStart"/>
      <w:r w:rsidRPr="00F15971">
        <w:rPr>
          <w:rFonts w:ascii="Times" w:hAnsi="Times"/>
        </w:rPr>
        <w:t>DNAse</w:t>
      </w:r>
      <w:proofErr w:type="spellEnd"/>
      <w:r w:rsidRPr="00F15971">
        <w:rPr>
          <w:rFonts w:ascii="Times" w:hAnsi="Times"/>
        </w:rPr>
        <w:t>/</w:t>
      </w:r>
      <w:proofErr w:type="spellStart"/>
      <w:r w:rsidRPr="00F15971">
        <w:rPr>
          <w:rFonts w:ascii="Times" w:hAnsi="Times"/>
        </w:rPr>
        <w:t>RNAse</w:t>
      </w:r>
      <w:proofErr w:type="spellEnd"/>
      <w:r w:rsidRPr="00F15971">
        <w:rPr>
          <w:rFonts w:ascii="Times" w:hAnsi="Times"/>
        </w:rPr>
        <w:t xml:space="preserve"> Free Distilled Water (Invitrogen, Carlsbad, CA) following standard methods </w:t>
      </w:r>
      <w:r w:rsidR="003A1513" w:rsidRPr="00F15971">
        <w:rPr>
          <w:rFonts w:ascii="Times" w:hAnsi="Times"/>
        </w:rPr>
        <w:fldChar w:fldCharType="begin" w:fldLock="1"/>
      </w:r>
      <w:r w:rsidR="003A1513" w:rsidRPr="00F15971">
        <w:rPr>
          <w:rFonts w:ascii="Times" w:hAnsi="Times"/>
        </w:rPr>
        <w:instrText>ADDIN CSL_CITATION {"citationItems":[{"id":"ITEM-1","itemData":{"DOI":"10.1111/2041-210X.12595","ISSN":"2041210X","abstract":"Species detection using environmental DNA (eDNA) has tremendous potential for contributing to the understanding of the ecology and conservation of aquatic species. Detecting species using eDNA methods, rather than directly sampling the organisms, can reduce impacts on sensitive species and increase the power of field surveys for rare and elusive species. The sensitivity of eDNA methods, however, requires a heightened awareness and attention to quality assurance and quality control protocols. Additionally, the interpretation of eDNA data demands careful consideration of multiple factors. As eDNA methods have grown in application, diverse approaches have been implemented to address these issues. With interest in eDNA continuing to expand, supportive guidelines for undertaking eDNA studies are greatly needed. Environmental DNA researchers from around the world have collaborated to produce this set of guidelines and considerations for implementing eDNA methods to detect aquatic macroorganisms. Critical considerations for study design include preventing contamination in the field and the laboratory, choosing appropriate sample analysis methods, validating assays, testing for sample inhibition and following minimum reporting guidelines. Critical considerations for inference include temporal and spatial processes, limits of correlation of eDNA with abundance, uncertainty of positive and negative results, and potential sources of allochthonous DNA. We present a synthesis of knowledge at this stage for application of this new and powerful detection method.","author":[{"dropping-particle":"","family":"Goldberg","given":"Caren S.","non-dropping-particle":"","parse-names":false,"suffix":""},{"dropping-particle":"","family":"Turner","given":"Cameron R.","non-dropping-particle":"","parse-names":false,"suffix":""},{"dropping-particle":"","family":"Deiner","given":"Kristy","non-dropping-particle":"","parse-names":false,"suffix":""},{"dropping-particle":"","family":"Klymus","given":"Katy E.","non-dropping-particle":"","parse-names":false,"suffix":""},{"dropping-particle":"","family":"Thomsen","given":"Philip Francis","non-dropping-particle":"","parse-names":false,"suffix":""},{"dropping-particle":"","family":"Murphy","given":"Melanie A.","non-dropping-particle":"","parse-names":false,"suffix":""},{"dropping-particle":"","family":"Spear","given":"Stephen F.","non-dropping-particle":"","parse-names":false,"suffix":""},{"dropping-particle":"","family":"McKee","given":"Anna","non-dropping-particle":"","parse-names":false,"suffix":""},{"dropping-particle":"","family":"Oyler-McCance","given":"Sara J.","non-dropping-particle":"","parse-names":false,"suffix":""},{"dropping-particle":"","family":"Cornman","given":"Robert Scott","non-dropping-particle":"","parse-names":false,"suffix":""},{"dropping-particle":"","family":"Laramie","given":"Matthew B.","non-dropping-particle":"","parse-names":false,"suffix":""},{"dropping-particle":"","family":"Mahon","given":"Andrew R.","non-dropping-particle":"","parse-names":false,"suffix":""},{"dropping-particle":"","family":"Lance","given":"Richard F.","non-dropping-particle":"","parse-names":false,"suffix":""},{"dropping-particle":"","family":"Pilliod","given":"David S.","non-dropping-particle":"","parse-names":false,"suffix":""},{"dropping-particle":"","family":"Strickler","given":"Katherine M.","non-dropping-particle":"","parse-names":false,"suffix":""},{"dropping-particle":"","family":"Waits","given":"Lisette P.","non-dropping-particle":"","parse-names":false,"suffix":""},{"dropping-particle":"","family":"Fremier","given":"Alexander K.","non-dropping-particle":"","parse-names":false,"suffix":""},{"dropping-particle":"","family":"Takahara","given":"Teruhiko","non-dropping-particle":"","parse-names":false,"suffix":""},{"dropping-particle":"","family":"Herder","given":"Jelger E.","non-dropping-particle":"","parse-names":false,"suffix":""},{"dropping-particle":"","family":"Taberlet","given":"Pierre","non-dropping-particle":"","parse-names":false,"suffix":""}],"container-title":"Methods in Ecology and Evolution","id":"ITEM-1","issue":"11","issued":{"date-parts":[["2016"]]},"page":"1299-1307","title":"Critical considerations for the application of environmental DNA methods to detect aquatic species","type":"article-journal","volume":"7"},"uris":["http://www.mendeley.com/documents/?uuid=19a1528b-d3c6-357c-ab14-3d585ff6a8d9"]},{"id":"ITEM-2","itemData":{"DOI":"10.7717/peerj.4521","ISSN":"21678359","abstract":"We can recover genetic information from organisms of all kinds using environmental sampling. In recent years, sequencing this environmental DNA (eDNA) has become a tractable means of surveying many species using water, air, or soil samples. The technique is beginning to become a core tool for ecologists, environmental scientists, and biologists of many kinds, but the temporal resolution of eDNA sampling is often unclear, limiting the ecological interpretations of the resulting datasets. Here, in a temporally and spatially replicated field study using ca. 313 bp of eukaryotic COI mtDNA as a marker, we find that nearshore organismal communities are largely consistent across tides. Our findings suggest that nearshore eDNA from both benthic and planktonic taxa tends to be endogenous to the site and water mass sampled, rather than changing with each tidal cycle. However, where physiochemical water mass characteristics change, we find that the relative contributions of a broad range of organisms to eDNA communities shift in concert.","author":[{"dropping-particle":"","family":"Kelly","given":"Ryan P.","non-dropping-particle":"","parse-names":false,"suffix":""},{"dropping-particle":"","family":"Gallego","given":"Ramón","non-dropping-particle":"","parse-names":false,"suffix":""},{"dropping-particle":"","family":"Jacobs-Palme","given":"Emily","non-dropping-particle":"","parse-names":false,"suffix":""}],"container-title":"PeerJ","id":"ITEM-2","issue":"3","issued":{"date-parts":[["2018"]]},"page":"e4521","publisher":"PeerJ Inc.","title":"The effect of tides on nearshore environmental DNA","type":"article-journal","volume":"2018"},"uris":["http://www.mendeley.com/documents/?uuid=eebe8284-ca4f-4284-831b-167deca00235"]}],"mendeley":{"formattedCitation":"(Goldberg et al., 2016; Kelly, Gallego &amp; Jacobs-Palme, 2018)","plainTextFormattedCitation":"(Goldberg et al., 2016; Kelly, Gallego &amp; Jacobs-Palme, 2018)","previouslyFormattedCitation":"(Goldberg et al., 2016; Kelly, Gallego &amp; Jacobs-Palme, 2018)"},"properties":{"noteIndex":0},"schema":"https://github.com/citation-style-language/schema/raw/master/csl-citation.json"}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(Goldberg et al., 2016; Kelly, Gallego &amp; Jacobs-Palme, 2018)</w:t>
      </w:r>
      <w:r w:rsidR="003A1513" w:rsidRPr="00F15971">
        <w:rPr>
          <w:rFonts w:ascii="Times" w:hAnsi="Times"/>
        </w:rPr>
        <w:fldChar w:fldCharType="end"/>
      </w:r>
      <w:r w:rsidRPr="00F15971">
        <w:rPr>
          <w:rFonts w:ascii="Times" w:hAnsi="Times"/>
        </w:rPr>
        <w:t>.</w:t>
      </w:r>
    </w:p>
    <w:p w14:paraId="066585B5" w14:textId="77777777" w:rsidR="00D93307" w:rsidRPr="00F15971" w:rsidRDefault="00D93307" w:rsidP="00D93307">
      <w:pPr>
        <w:pStyle w:val="Heading2"/>
        <w:rPr>
          <w:rFonts w:ascii="Times" w:hAnsi="Times"/>
        </w:rPr>
      </w:pPr>
      <w:bookmarkStart w:id="2" w:name="_41mghml" w:colFirst="0" w:colLast="0"/>
      <w:bookmarkEnd w:id="2"/>
      <w:r w:rsidRPr="00F15971">
        <w:rPr>
          <w:rFonts w:ascii="Times" w:hAnsi="Times"/>
        </w:rPr>
        <w:t>Environmental DNA extractions, amplification and sequencing</w:t>
      </w:r>
    </w:p>
    <w:p w14:paraId="7FC73622" w14:textId="77777777" w:rsidR="00D93307" w:rsidRPr="00F15971" w:rsidRDefault="00D93307" w:rsidP="00D1121C">
      <w:pPr>
        <w:ind w:firstLine="0"/>
        <w:rPr>
          <w:rFonts w:ascii="Times" w:hAnsi="Times"/>
        </w:rPr>
      </w:pPr>
      <w:r w:rsidRPr="00F15971">
        <w:rPr>
          <w:rFonts w:ascii="Times" w:hAnsi="Times"/>
        </w:rPr>
        <w:t>At UCLA, all eDNA filter extractions and PCR preparations were conducted in an AirClean 600 PCR Work-station (Creedmoor, NC, USA) in a clean room dedicated to DNA extractions. The AirClean 600 PCR Work-station and pipettes were decontaminated before and after use with 10% bleach, 70% ethanol, and DNA Away, followed by a 20 min ultraviolet light (UV) treatment. Filtered pipette tips were used for all protocols. There were negative controls (extraction blanks and PCR blanks) for all steps in the sample processing.</w:t>
      </w:r>
    </w:p>
    <w:p w14:paraId="1874BE33" w14:textId="743AFCC4" w:rsidR="00D93307" w:rsidRPr="00F15971" w:rsidRDefault="00D93307" w:rsidP="00D93307">
      <w:pPr>
        <w:rPr>
          <w:rFonts w:ascii="Times" w:hAnsi="Times"/>
        </w:rPr>
      </w:pPr>
      <w:r w:rsidRPr="00F15971">
        <w:rPr>
          <w:rFonts w:ascii="Times" w:hAnsi="Times"/>
        </w:rPr>
        <w:t xml:space="preserve">Sterivex filters were extracted with a DNAeasy Tissue and Blood Qiagen Kit </w:t>
      </w:r>
      <w:r w:rsidR="003A1513" w:rsidRPr="00F15971">
        <w:rPr>
          <w:rFonts w:ascii="Times" w:hAnsi="Times"/>
        </w:rPr>
        <w:fldChar w:fldCharType="begin" w:fldLock="1"/>
      </w:r>
      <w:r w:rsidR="003A1513" w:rsidRPr="00F15971">
        <w:rPr>
          <w:rFonts w:ascii="Times" w:hAnsi="Times"/>
        </w:rPr>
        <w:instrText>ADDIN CSL_CITATION {"citationItems":[{"id":"ITEM-1","itemData":{"DOI":"10.1111/2041-210X.12683","ISSN":"2041210X","abstract":"Aqueous environmental DNA (eDNA) is an emerging efficient non-invasive tool for species inventory studies. To maximize performance of downstream quantitative PCR (qPCR) and next-generation sequencing (NGS) applications, quality and quantity of the starting material is crucial, calling for optimized capture, storage and extraction techniques of eDNA. Previous comparative studies for eDNA capture/storage have tested precipitation and ‘open’ filters. However, practical ‘enclosed’ filters which reduce unnecessary handling have not been included. Here, we fill this gap by comparing a filter capsule (Sterivex-GP polyethersulfone, pore size 0·22 μm, hereafter called SX) with commonly used methods. Our experimental set-up, covering altogether 41 treatments combining capture by precipitation or filtration with different preservation techniques and storage times, sampled one single lake (and a fish-free control pond). We selected documented capture methods that have successfully targeted a wide range of fauna. The eDNA was extracted using an optimized protocol modified from the DNeasy® Blood &amp; Tissue kit (Qiagen). We measured total eDNA concentrations and Cq-values (cycles used for DNA quantification by qPCR) to target specific mtDNA cytochrome b (cyt b) sequences in two local keystone fish species. SX yielded higher amounts of total eDNA along with lower Cq-values than polycarbonate track-etched filters (PCTE), glass fibre filters (GF) or ethanol precipitation (EP). SX also generated lower Cq-values than cellulose nitrate filters (CN) for one of the target species. DNA integrity of SX samples did not decrease significantly after 2 weeks of storage in contrast to GF and PCTE. Adding preservative before storage improved SX results. In conclusion, we recommend SX filters (originally designed for filtering micro-organisms) as an efficient capture method for sampling macrobial eDNA. Ethanol or Longmire's buffer preservation of SX immediately after filtration is recommended. Preserved SX capsules may be stored at room temperature for at least 2 weeks without significant degradation. Reduced handling and less exposure to outside stress compared with other filters may contribute to better eDNA results. SX capsules are easily transported and enable eDNA sampling in remote and harsh field conditions as samples can be filtered/preserved on site.","author":[{"dropping-particle":"","family":"Spens","given":"Johan","non-dropping-particle":"","parse-names":false,"suffix":""},{"dropping-particle":"","family":"Evans","given":"Alice R.","non-dropping-particle":"","parse-names":false,"suffix":""},{"dropping-particle":"","family":"Halfmaerten","given":"David","non-dropping-particle":"","parse-names":false,"suffix":""},{"dropping-particle":"","family":"Knudsen","given":"Steen W.","non-dropping-particle":"","parse-names":false,"suffix":""},{"dropping-particle":"","family":"Sengupta","given":"Mita E.","non-dropping-particle":"","parse-names":false,"suffix":""},{"dropping-particle":"","family":"Mak","given":"Sarah S.T.","non-dropping-particle":"","parse-names":false,"suffix":""},{"dropping-particle":"","family":"Sigsgaard","given":"Eva E.","non-dropping-particle":"","parse-names":false,"suffix":""},{"dropping-particle":"","family":"Hellström","given":"Micaela","non-dropping-particle":"","parse-names":false,"suffix":""}],"container-title":"Methods in Ecology and Evolution","editor":[{"dropping-particle":"","family":"Yu","given":"Douglas","non-dropping-particle":"","parse-names":false,"suffix":""}],"id":"ITEM-1","issue":"5","issued":{"date-parts":[["2017","5","1"]]},"page":"635-645","publisher":"Wiley/Blackwell (10.1111)","title":"Comparison of capture and storage methods for aqueous macrobial eDNA using an optimized extraction protocol: advantage of enclosed filter","type":"article-journal","volume":"8"},"uris":["http://www.mendeley.com/documents/?uuid=9efa6ffb-af13-3840-98c0-f6ca0e5355ca"]}],"mendeley":{"formattedCitation":"(Spens et al., 2017)","plainTextFormattedCitation":"(Spens et al., 2017)","previouslyFormattedCitation":"(Spens et al., 2017)"},"properties":{"noteIndex":0},"schema":"https://github.com/citation-style-language/schema/raw/master/csl-citation.json"}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(Spens et al., 2017)</w:t>
      </w:r>
      <w:r w:rsidR="003A1513" w:rsidRPr="00F15971">
        <w:rPr>
          <w:rFonts w:ascii="Times" w:hAnsi="Times"/>
        </w:rPr>
        <w:fldChar w:fldCharType="end"/>
      </w:r>
      <w:r w:rsidR="003A1513" w:rsidRPr="00F15971">
        <w:rPr>
          <w:rFonts w:ascii="Times" w:hAnsi="Times"/>
        </w:rPr>
        <w:t xml:space="preserve"> </w:t>
      </w:r>
      <w:r w:rsidRPr="00F15971">
        <w:rPr>
          <w:rFonts w:ascii="Times" w:hAnsi="Times"/>
        </w:rPr>
        <w:t>protocol. Proteinase K and ATL buffer was added to the filter cartridge and incubated overnight at 56° C. DNA was amplified with primer sets with Illumina Nextera adapter modifications for use with Nextera XT indexes (Product Number FC-131-2001 through -2004; 5200 Illumina Way, San Diego, CA 92122). The</w:t>
      </w:r>
      <w:r w:rsidR="00D1121C">
        <w:rPr>
          <w:rFonts w:ascii="Times" w:hAnsi="Times"/>
        </w:rPr>
        <w:t xml:space="preserve"> </w:t>
      </w:r>
      <w:r w:rsidRPr="00F15971">
        <w:rPr>
          <w:rFonts w:ascii="Times" w:hAnsi="Times"/>
        </w:rPr>
        <w:t xml:space="preserve">primer sets presented here were: (1) MiFish Universal Teleost 12S primer (176bp) </w:t>
      </w:r>
      <w:r w:rsidR="003A1513" w:rsidRPr="00F15971">
        <w:rPr>
          <w:rFonts w:ascii="Times" w:hAnsi="Times"/>
        </w:rPr>
        <w:fldChar w:fldCharType="begin" w:fldLock="1"/>
      </w:r>
      <w:r w:rsidR="003A1513" w:rsidRPr="00F15971">
        <w:rPr>
          <w:rFonts w:ascii="Times" w:hAnsi="Times"/>
        </w:rPr>
        <w:instrText>ADDIN CSL_CITATION {"citationItems":[{"id":"ITEM-1","itemData":{"DOI":"10.1098/rsos.150088","ISSN":"20545703","PMID":"26587265","abstract":"We developed a set of universal PCR primers (MiFish-U/E) for metabarcoding environmental DNA (eDNA) from fishes. Primers were designed using aligned whole mitochondrial genome (mitogenome) sequences from 880 species, supplemented by partial mitogenome sequences from 160 elasmobranchs (sharks and rays). The primers target a hypervariable region of the 12S rRNA gene (163–185</w:instrText>
      </w:r>
      <w:r w:rsidR="003A1513" w:rsidRPr="00F15971">
        <w:instrText> </w:instrText>
      </w:r>
      <w:r w:rsidR="003A1513" w:rsidRPr="00F15971">
        <w:rPr>
          <w:rFonts w:ascii="Times" w:hAnsi="Times"/>
        </w:rPr>
        <w:instrText>bp), which contains sufficient information to identify fishes to taxonomic family, genus and species except for some closely related congeners. To test versatility of the primers across a diverse range of fishes, we sampled eDNA from four tanks in the Okinawa Churaumi Aquarium with known species compositions, prepared dual-indexed libraries and performed paired-end sequencing of the region using high-throughput next-generation sequencing technologies. Out of the 180 marine fish species contained in the four tanks with reference sequences in a custom database, we detected 168 species (93.3%) distributed across 59 families and 123 genera. These fishes are not only taxonomically diverse, ranging from sharks and rays to higher teleosts, but are also greatly varied in their ecology, including both pelagic and benthic species living in shallow coastal to deep waters. We also sampled natural seawaters around coral reefs near the aquarium and detected 93 fish species using this approach. Of the 93 species, 64 were not detected in the four aquarium tanks, rendering the total number of species detected to 232 (from 70 families and 152 genera). The metabarcoding approach presented here is non-invasive, more efficient, more cost-effective and more sensitive than the traditional survey methods. It has the potential to serve as an alternative (or complementary) tool for biodiversity monitoring that revolutionizes natural resource management and ecological studies of fish communities on larger spatial and temporal scales.","author":[{"dropping-particle":"","family":"Miya","given":"M.","non-dropping-particle":"","parse-names":false,"suffix":""},{"dropping-particle":"","family":"Sato","given":"Y.","non-dropping-particle":"","parse-names":false,"suffix":""},{"dropping-particle":"","family":"Fukunaga","given":"T.","non-dropping-particle":"","parse-names":false,"suffix":""},{"dropping-particle":"","family":"Sado","given":"T.","non-dropping-particle":"","parse-names":false,"suffix":""},{"dropping-particle":"","family":"Poulsen","given":"J. Y.","non-dropping-particle":"","parse-names":false,"suffix":""},{"dropping-particle":"","family":"Sato","given":"K.","non-dropping-particle":"","parse-names":false,"suffix":""},{"dropping-particle":"","family":"Minamoto","given":"T.","non-dropping-particle":"","parse-names":false,"suffix":""},{"dropping-particle":"","family":"Yamamoto","given":"S.","non-dropping-particle":"","parse-names":false,"suffix":""},{"dropping-particle":"","family":"Yamanaka","given":"H.","non-dropping-particle":"","parse-names":false,"suffix":""},{"dropping-particle":"","family":"Araki","given":"H.","non-dropping-particle":"","parse-names":false,"suffix":""},{"dropping-particle":"","family":"Kondoh","given":"M.","non-dropping-particle":"","parse-names":false,"suffix":""},{"dropping-particle":"","family":"Iwasaki","given":"W.","non-dropping-particle":"","parse-names":false,"suffix":""}],"container-title":"Royal Society Open Science","id":"ITEM-1","issue":"7","issued":{"date-parts":[["2015","7","1"]]},"language":"en","page":"150088","publisher":"The Royal Society","title":"MiFish, a set of universal PCR primers for metabarcoding environmental DNA from fishes: Detection of more than 230 subtropical marine species","type":"article-journal","volume":"2"},"uris":["http://www.mendeley.com/documents/?uuid=1ddb355e-48fd-49c1-982c-ee4766847328"]}],"mendeley":{"formattedCitation":"(Miya et al., 2015)","plainTextFormattedCitation":"(Miya et al., 2015)","previouslyFormattedCitation":"(Miya et al., 2015)"},"properties":{"noteIndex":0},"schema":"https://github.com/citation-style-language/schema/raw/master/csl-citation.json"}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(Miya et al., 2015)</w:t>
      </w:r>
      <w:r w:rsidR="003A1513" w:rsidRPr="00F15971">
        <w:rPr>
          <w:rFonts w:ascii="Times" w:hAnsi="Times"/>
        </w:rPr>
        <w:fldChar w:fldCharType="end"/>
      </w:r>
      <w:r w:rsidR="003A1513" w:rsidRPr="00F15971">
        <w:rPr>
          <w:rFonts w:ascii="Times" w:hAnsi="Times"/>
        </w:rPr>
        <w:t>;</w:t>
      </w:r>
      <w:r w:rsidRPr="00F15971">
        <w:rPr>
          <w:rFonts w:ascii="Times" w:hAnsi="Times"/>
        </w:rPr>
        <w:t xml:space="preserve"> (2) MiFish Universal Elasmobranch 12S primer (186bp)</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{"citationItems":[{"id":"ITEM-1","itemData":{"DOI":"10.1098/rsos.150088","ISSN":"20545703","PMID":"26587265","abstract":"We developed a set of universal PCR primers (MiFish-U/E) for metabarcoding environmental DNA (eDNA) from fishes. Primers were designed using aligned whole mitochondrial genome (mitogenome) sequences from 880 species, supplemented by partial mitogenome sequences from 160 elasmobranchs (sharks and rays). The primers target a hypervariable region of the 12S rRNA gene (163–185</w:instrText>
      </w:r>
      <w:r w:rsidR="003A1513" w:rsidRPr="00F15971">
        <w:instrText> </w:instrText>
      </w:r>
      <w:r w:rsidR="003A1513" w:rsidRPr="00F15971">
        <w:rPr>
          <w:rFonts w:ascii="Times" w:hAnsi="Times"/>
        </w:rPr>
        <w:instrText>bp), which contains sufficient information to identify fishes to taxonomic family, genus and species except for some closely related congeners. To test versatility of the primers across a diverse range of fishes, we sampled eDNA from four tanks in the Okinawa Churaumi Aquarium with known species compositions, prepared dual-indexed libraries and performed paired-end sequencing of the region using high-throughput next-generation sequencing technologies. Out of the 180 marine fish species contained in the four tanks with reference sequences in a custom database, we detected 168 species (93.3%) distributed across 59 families and 123 genera. These fishes are not only taxonomically diverse, ranging from sharks and rays to higher teleosts, but are also greatly varied in their ecology, including both pelagic and benthic species living in shallow coastal to deep waters. We also sampled natural seawaters around coral reefs near the aquarium and detected 93 fish species using this approach. Of the 93 species, 64 were not detected in the four aquarium tanks, rendering the total number of species detected to 232 (from 70 families and 152 genera). The metabarcoding approach presented here is non-invasive, more efficient, more cost-effective and more sensitive than the traditional survey methods. It has the potential to serve as an alternative (or complementary) tool for biodiversity monitoring that revolutionizes natural resource management and ecological studies of fish communities on larger spatial and temporal scales.","author":[{"dropping-particle":"","family":"Miya","given":"M.","non-dropping-particle":"","parse-names":false,"suffix":""},{"dropping-particle":"","family":"Sato","given":"Y.","non-dropping-particle":"","parse-names":false,"suffix":""},{"dropping-particle":"","family":"Fukunaga","given":"T.","non-dropping-particle":"","parse-names":false,"suffix":""},{"dropping-particle":"","family":"Sado","given":"T.","non-dropping-particle":"","parse-names":false,"suffix":""},{"dropping-particle":"","family":"Poulsen","given":"J. Y.","non-dropping-particle":"","parse-names":false,"suffix":""},{"dropping-particle":"","family":"Sato","given":"K.","non-dropping-particle":"","parse-names":false,"suffix":""},{"dropping-particle":"","family":"Minamoto","given":"T.","non-dropping-particle":"","parse-names":false,"suffix":""},{"dropping-particle":"","family":"Yamamoto","given":"S.","non-dropping-particle":"","parse-names":false,"suffix":""},{"dropping-particle":"","family":"Yamanaka","given":"H.","non-dropping-particle":"","parse-names":false,"suffix":""},{"dropping-particle":"","family":"Araki","given":"H.","non-dropping-particle":"","parse-names":false,"suffix":""},{"dropping-particle":"","family":"Kondoh","given":"M.","non-dropping-particle":"","parse-names":false,"suffix":""},{"dropping-particle":"","family":"Iwasaki","given":"W.","non-dropping-particle":"","parse-names":false,"suffix":""}],"container-title":"Royal Society Open Science","id":"ITEM-1","issue":"7","issued":{"date-parts":[["2015","7","1"]]},"language":"en","page":"150088","publisher":"The Royal Society","title":"MiFish, a set of universal PCR primers for metabarcoding environmental DNA from fishes: Detection of more than 230 subtropical marine species","type":"article-journal","volume":"2"},"uris":["http://www.mendeley.com/documents/?uuid=1ddb355e-48fd-49c1-982c-ee4766847328"]}],"mendeley":{"formattedCitation":"(Miya et al., 2015)","plainTextFormattedCitation":"(Miya et al., 2015)","previouslyFormattedCitation":"(Miya et al., 2015)"},"properties":{"noteIndex":0},"schema":"https://github.com/citation-style-language/schema/raw/master/csl-citation.json"}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(Miya et al., 2015)</w:t>
      </w:r>
      <w:r w:rsidR="003A1513" w:rsidRPr="00F15971">
        <w:rPr>
          <w:rFonts w:ascii="Times" w:hAnsi="Times"/>
        </w:rPr>
        <w:fldChar w:fldCharType="end"/>
      </w:r>
      <w:r w:rsidRPr="00F15971">
        <w:rPr>
          <w:rFonts w:ascii="Times" w:hAnsi="Times"/>
        </w:rPr>
        <w:t xml:space="preserve">. Samples were also </w:t>
      </w:r>
      <w:r w:rsidRPr="00F15971">
        <w:rPr>
          <w:rFonts w:ascii="Times" w:hAnsi="Times"/>
        </w:rPr>
        <w:lastRenderedPageBreak/>
        <w:t>amplified for (3) metazoan COI primers (313bp)</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{"citationItems":[{"id":"ITEM-1","itemData":{"DOI":"10.3733/ca.2021a0001","ISSN":"00080845","abstract":"Climate change is leading to habitat shifts that threaten species persistence throughout California's unique ecosystems. Baseline biodiversity data would provide opportunities for habitats to be managed under short-term and long-term environmental change. Aiming to provide biodiversity data, the UC Conservation Genomics Consortium launched the California Environmental DNA (CALeDNA) program to be a citizen and community science biomonitoring initiative that uses environmental DNA (eDNA, DNA shed from organisms such as from fur, feces, spores, pollen or leaves). Now with results from 1,000 samples shared online, California biodiversity patterns are discoverable. Soil, sediment and water collected by researchers, undergraduates and the public reveal a new catalog of thousands of organisms that only slightly overlap with traditional survey bioinventories. The CALeDNA website lets users explore the taxonomic diversity in different ways, and researchers have created tools to help people new to eDNA to analyze community ecology patterns. Although eDNA results are not always precise, the program team is making progress to fit it into California's biodiversity management toolbox, such as for monitoring ecosystem recovery after invasive species removal or wildfire.","author":[{"dropping-particle":"","family":"Meyer","given":"Rachel S.","non-dropping-particle":"","parse-names":false,"suffix":""},{"dropping-particle":"","family":"Ramos","given":"Miroslava Munguia","non-dropping-particle":"","parse-names":false,"suffix":""},{"dropping-particle":"","family":"Lin","given":"Meixi","non-dropping-particle":"","parse-names":false,"suffix":""},{"dropping-particle":"","family":"Schweizer","given":"Teia M.","non-dropping-particle":"","parse-names":false,"suffix":""},{"dropping-particle":"","family":"Gold","given":"Zachary","non-dropping-particle":"","parse-names":false,"suffix":""},{"dropping-particle":"","family":"Ramos","given":"Dannise Ruiz","non-dropping-particle":"","parse-names":false,"suffix":""},{"dropping-particle":"","family":"Shirazi","given":"Sabrina","non-dropping-particle":"","parse-names":false,"suffix":""},{"dropping-particle":"","family":"Kandlikar","given":"Gaurav","non-dropping-particle":"","parse-names":false,"suffix":""},{"dropping-particle":"","family":"Kwan","given":"Wai Yin","non-dropping-particle":"","parse-names":false,"suffix":""},{"dropping-particle":"","family":"Curd","given":"Emily E.","non-dropping-particle":"","parse-names":false,"suffix":""},{"dropping-particle":"","family":"Freise","given":"Amanda","non-dropping-particle":"","parse-names":false,"suffix":""},{"dropping-particle":"","family":"Parker","given":"Jordan Moberg","non-dropping-particle":"","parse-names":false,"suffix":""},{"dropping-particle":"","family":"Sexton","given":"Jason P.","non-dropping-particle":"","parse-names":false,"suffix":""},{"dropping-particle":"","family":"Wetzer","given":"Regina","non-dropping-particle":"","parse-names":false,"suffix":""},{"dropping-particle":"","family":"Pentcheff","given":"N. Dean","non-dropping-particle":"","parse-names":false,"suffix":""},{"dropping-particle":"","family":"Wall","given":"Adam R.","non-dropping-particle":"","parse-names":false,"suffix":""},{"dropping-particle":"","family":"Pipes","given":"Lenore","non-dropping-particle":"","parse-names":false,"suffix":""},{"dropping-particle":"","family":"Garcia- Vedrenne","given":"Ana","non-dropping-particle":"","parse-names":false,"suffix":""},{"dropping-particle":"","family":"Mejia","given":"Maura Palacios","non-dropping-particle":"","parse-names":false,"suffix":""},{"dropping-particle":"","family":"Moore","given":"Tiara","non-dropping-particle":"","parse-names":false,"suffix":""},{"dropping-particle":"","family":"Orland","given":"Chloe","non-dropping-particle":"","parse-names":false,"suffix":""},{"dropping-particle":"","family":"Ballare","given":"Kimberly M.","non-dropping-particle":"","parse-names":false,"suffix":""},{"dropping-particle":"","family":"Worth","given":"Anna","non-dropping-particle":"","parse-names":false,"suffix":""},{"dropping-particle":"","family":"Beraut","given":"Eric","non-dropping-particle":"","parse-names":false,"suffix":""},{"dropping-particle":"","family":"Aronson","given":"Emma L.","non-dropping-particle":"","parse-names":false,"suffix":""},{"dropping-particle":"","family":"Nielsen","given":"Rasmus","non-dropping-particle":"","parse-names":false,"suffix":""},{"dropping-particle":"","family":"Lewin","given":"Harris A.","non-dropping-particle":"","parse-names":false,"suffix":""},{"dropping-particle":"","family":"Barber","given":"Paul H.","non-dropping-particle":"","parse-names":false,"suffix":""},{"dropping-particle":"","family":"Wall","given":"Jeff","non-dropping-particle":"","parse-names":false,"suffix":""},{"dropping-particle":"","family":"Kraft","given":"Nathan","non-dropping-particle":"","parse-names":false,"suffix":""},{"dropping-particle":"","family":"Shapiro","given":"Beth","non-dropping-particle":"","parse-names":false,"suffix":""},{"dropping-particle":"","family":"Wayne","given":"Robert K.","non-dropping-particle":"","parse-names":false,"suffix":""}],"container-title":"California Agriculture","id":"ITEM-1","issue":"1","issued":{"date-parts":[["2021","3","1"]]},"page":"20-32","publisher":"University of California Agriculture and Nature Resources","title":"The CALe DNA program: Citizen scientists and researchers inventory California's biodiversity","type":"article-journal","volume":"75"},"uris":["http://www.mendeley.com/documents/?uuid=d9d0e482-5e71-4cc3-a8cc-9e4c5e302127"]}],"mendeley":{"formattedCitation":"(Meyer et al., 2021)","plainTextFormattedCitation":"(Meyer et al., 2021)","previouslyFormattedCitation":"(Meyer et al., 2021)"},"properties":{"noteIndex":0},"schema":"https://github.com/citation-style-language/schema/raw/master/csl-citation.json"}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(Meyer et al., 2021)</w:t>
      </w:r>
      <w:r w:rsidR="003A1513" w:rsidRPr="00F15971">
        <w:rPr>
          <w:rFonts w:ascii="Times" w:hAnsi="Times"/>
        </w:rPr>
        <w:fldChar w:fldCharType="end"/>
      </w:r>
      <w:r w:rsidRPr="00F15971">
        <w:rPr>
          <w:rFonts w:ascii="Times" w:hAnsi="Times"/>
        </w:rPr>
        <w:t xml:space="preserve">; and (4) metazoan </w:t>
      </w:r>
      <w:r w:rsidRPr="00F15971">
        <w:rPr>
          <w:rFonts w:ascii="Times" w:hAnsi="Times"/>
          <w:i/>
        </w:rPr>
        <w:t>16S</w:t>
      </w:r>
      <w:r w:rsidRPr="00F15971">
        <w:rPr>
          <w:rFonts w:ascii="Times" w:hAnsi="Times"/>
        </w:rPr>
        <w:t xml:space="preserve"> primers (~115bp)</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{"citationItems":[{"id":"ITEM-1","itemData":{"DOI":"10.7717/peerj.2444","ISSN":"21678359","PMID":"27672503","abstract":"Despite decades of work in environmental science and ecology, estimating human influences on ecosystems remains challenging. This is partly due to complex chains of causation among ecosystem elements, exacerbated by the difficulty of collecting biological data at sufficient spatial, temporal, and taxonomic scales. Here, we demonstrate the utility of environmental DNA (eDNA) for quantifying associations between human land use and changes in an adjacent ecosystem. We analyze metazoan eDNA sequences from water sampled in nearshore marine eelgrass communities and assess the relationship between these ecological communities and the degree of urbanization in the surrounding watershed. Counter to conventional wisdom, we find strongly increasing richness and decreasing beta diversity with greater urbanization, and similar trends in the diversity of life histories with urbanization. We also find evidence that urbanization influences nearshore communities at local (hundreds of meters) rather than regional (tens of km) scales. Given that different survey methods sample different components of an ecosystem, we then discuss the advantages of eDNA-which we use here to detect hundreds of taxa simultaneously-as a complement to traditional ecological sampling, particularly in the context of broad ecological assessments where exhaustive manual sampling is impractical. Genetic data are a powerful means of uncovering human- ecosystem interactions that might otherwise remain hidden; nevertheless, no sampling method reveals the whole of a biological community.","author":[{"dropping-particle":"","family":"Kelly","given":"Ryan P.","non-dropping-particle":"","parse-names":false,"suffix":""},{"dropping-particle":"","family":"O'Donnell","given":"James L.","non-dropping-particle":"","parse-names":false,"suffix":""},{"dropping-particle":"","family":"Lowell","given":"Natalie C.","non-dropping-particle":"","parse-names":false,"suffix":""},{"dropping-particle":"","family":"Shelton","given":"Andrew O.","non-dropping-particle":"","parse-names":false,"suffix":""},{"dropping-particle":"","family":"Samhouri","given":"Jameal F.","non-dropping-particle":"","parse-names":false,"suffix":""},{"dropping-particle":"","family":"Hennessey","given":"Shannon M.","non-dropping-particle":"","parse-names":false,"suffix":""},{"dropping-particle":"","family":"Feist","given":"Blake E.","non-dropping-particle":"","parse-names":false,"suffix":""},{"dropping-particle":"","family":"Williams","given":"Gregory D.","non-dropping-particle":"","parse-names":false,"suffix":""}],"container-title":"PeerJ","id":"ITEM-1","issue":"9","issued":{"date-parts":[["2016"]]},"page":"e2444","publisher":"PeerJ Inc.","title":"Genetic signatures of ecological diversity along an urbanization gradient","type":"article-journal","volume":"2016"},"uris":["http://www.mendeley.com/documents/?uuid=69db3b69-963c-4004-94c3-ed3c605d0930"]}],"mendeley":{"formattedCitation":"(Kelly et al., 2016)","plainTextFormattedCitation":"(Kelly et al., 2016)","previouslyFormattedCitation":"(Kelly et al., 2016)"},"properties":{"noteIndex":0},"schema":"https://github.com/citation-style-language/schema/raw/master/csl-citation.json"}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(Kelly et al., 2016)</w:t>
      </w:r>
      <w:r w:rsidR="003A1513" w:rsidRPr="00F15971">
        <w:rPr>
          <w:rFonts w:ascii="Times" w:hAnsi="Times"/>
        </w:rPr>
        <w:fldChar w:fldCharType="end"/>
      </w:r>
      <w:r w:rsidRPr="00F15971">
        <w:rPr>
          <w:rFonts w:ascii="Times" w:hAnsi="Times"/>
        </w:rPr>
        <w:t>, data not shown. PCR amplifications in triplicate for each primer pair contained 12.5 μL QIAGEN Multiplex Taq PCR 2x Master Mix, 6.5 µL dH2O, 2.5 µL of each primer (2 µmol/L), and 1 μL DNA template (25 µL total reaction volume). PCR thermocycling employed a touchdown profile with an initial denaturation at 95° C for 15 min to activate the DNA polymerase followed by 13 cycles with a denaturation step at 94° C for 30 sec, an annealing step with temperature starting at 69.5° C for 30 sec (temperature was decreased by 1.5° C every cycle until 50° C was reached), and an extension step at 72° C for 1 min. An additional 35 cycles were then carried out at an annealing temperature of 50° C using the same denaturation and extension steps above, followed by a final extension at 72° C for 10 min. All PCRs included a negative control, where molecular grade water replaced the DNA template. All PCR products were run on 2% agarose gels to ensure amplification success and correct product size.</w:t>
      </w:r>
    </w:p>
    <w:p w14:paraId="51B16A24" w14:textId="4D9E9D26" w:rsidR="00D93307" w:rsidRPr="00F15971" w:rsidRDefault="00D93307" w:rsidP="00D93307">
      <w:pPr>
        <w:rPr>
          <w:rFonts w:ascii="Times" w:hAnsi="Times"/>
        </w:rPr>
      </w:pPr>
      <w:r w:rsidRPr="00F15971">
        <w:rPr>
          <w:rFonts w:ascii="Times" w:hAnsi="Times"/>
        </w:rPr>
        <w:t xml:space="preserve">To prepare PCR products for sequencing, we pooled triplicate PCR reactions using 5 µL volume from each PCR. Pooled samples were cleaned using Serapure magnetic beads </w:t>
      </w:r>
      <w:r w:rsidR="003A1513" w:rsidRPr="00F15971">
        <w:rPr>
          <w:rFonts w:ascii="Times" w:hAnsi="Times"/>
        </w:rPr>
        <w:fldChar w:fldCharType="begin" w:fldLock="1"/>
      </w:r>
      <w:r w:rsidR="003A1513" w:rsidRPr="00F15971">
        <w:rPr>
          <w:rFonts w:ascii="Times" w:hAnsi="Times"/>
        </w:rPr>
        <w:instrText>ADDIN CSL_CITATION {"citationItems":[{"id":"ITEM-1","itemData":{"author":[{"dropping-particle":"","family":"Faircloth","given":"B C","non-dropping-particle":"","parse-names":false,"suffix":""},{"dropping-particle":"","family":"Glenn","given":"T C","non-dropping-particle":"","parse-names":false,"suffix":""}],"container-title":"Doi","id":"ITEM-1","issued":{"date-parts":[["2014"]]},"page":"J9MW2F26","title":"Protocol: Preparation of an AMPure XP substitute (AKA Serapure)","type":"article-journal","volume":"10"},"uris":["http://www.mendeley.com/documents/?uuid=7d133f7c-dd95-471e-909b-98b7da29f5d5"]}],"mendeley":{"formattedCitation":"(Faircloth &amp; Glenn, 2014)","plainTextFormattedCitation":"(Faircloth &amp; Glenn, 2014)","previouslyFormattedCitation":"(Faircloth &amp; Glenn, 2014)"},"properties":{"noteIndex":0},"schema":"https://github.com/citation-style-language/schema/raw/master/csl-citation.json"}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(Faircloth &amp; Glenn, 2014)</w:t>
      </w:r>
      <w:r w:rsidR="003A1513" w:rsidRPr="00F15971">
        <w:rPr>
          <w:rFonts w:ascii="Times" w:hAnsi="Times"/>
        </w:rPr>
        <w:fldChar w:fldCharType="end"/>
      </w:r>
      <w:r w:rsidRPr="00F15971">
        <w:rPr>
          <w:rFonts w:ascii="Times" w:hAnsi="Times"/>
        </w:rPr>
        <w:t>, and cleaned PCR product concentrations were quantified using the high sensitivity Quant-</w:t>
      </w:r>
      <w:proofErr w:type="spellStart"/>
      <w:r w:rsidRPr="00F15971">
        <w:rPr>
          <w:rFonts w:ascii="Times" w:hAnsi="Times"/>
        </w:rPr>
        <w:t>iT</w:t>
      </w:r>
      <w:proofErr w:type="spellEnd"/>
      <w:r w:rsidRPr="00F15971">
        <w:rPr>
          <w:rFonts w:ascii="Times" w:hAnsi="Times"/>
        </w:rPr>
        <w:t xml:space="preserve">™ dsDNA Assay Kit (Thermofisher Scientific, Waltham, MA, USA) on a Victor3™ plate reader (Perkin Elmer Waltham, MA, USA). Sample DNA libraries were prepared using the Nextera Index Kits (Illumina, San Diego, CA, UCA) and KAPA HiFi HotStart Ready Mix (Kapa Biosystems, Wilmington, MA, USA). This second indexing PCR was performed using a 25 μL reaction mixture containing 12.5 μL of Kapa HiFi </w:t>
      </w:r>
      <w:proofErr w:type="spellStart"/>
      <w:r w:rsidRPr="00F15971">
        <w:rPr>
          <w:rFonts w:ascii="Times" w:hAnsi="Times"/>
        </w:rPr>
        <w:t>Hotstart</w:t>
      </w:r>
      <w:proofErr w:type="spellEnd"/>
      <w:r w:rsidRPr="00F15971">
        <w:rPr>
          <w:rFonts w:ascii="Times" w:hAnsi="Times"/>
        </w:rPr>
        <w:t xml:space="preserve"> Ready mix, 0.625 μL of primer i7, 0.625 μL of primer i5, and 10 ng of template DNA, and used the following thermocycling parameters: denaturation at 95° C for 5 min, 5 cycles of denaturation at 98° C for 20 sec, annealing at 56° C for 30 sec, extension at 72° C for 3 min, followed by a final extension at 72° C for 5 min. All indexed PCR products were run on 2% agarose gels to ensure successful PCR and correct product size. Resulting libraries were bead cleaned and quantified as described above. Finally, we pooled indexed libraries by barcode in equimolar concentration, and then sequenced each of the four </w:t>
      </w:r>
      <w:r w:rsidRPr="00F15971">
        <w:rPr>
          <w:rFonts w:ascii="Times" w:hAnsi="Times"/>
        </w:rPr>
        <w:lastRenderedPageBreak/>
        <w:t>libraries on a MiSeq at the Technology Center for Genomics &amp; Bioinformatics (University of California Los Angeles, CA, USA), using Reagent Kit V3 with 20% PhiX added to all sequencing runs.</w:t>
      </w:r>
    </w:p>
    <w:p w14:paraId="1E41C916" w14:textId="77777777" w:rsidR="00D93307" w:rsidRPr="00F15971" w:rsidRDefault="00D93307" w:rsidP="00D93307">
      <w:pPr>
        <w:pStyle w:val="Heading2"/>
        <w:rPr>
          <w:rFonts w:ascii="Times" w:hAnsi="Times"/>
        </w:rPr>
      </w:pPr>
      <w:bookmarkStart w:id="3" w:name="_2grqrue" w:colFirst="0" w:colLast="0"/>
      <w:bookmarkEnd w:id="3"/>
      <w:r w:rsidRPr="00F15971">
        <w:rPr>
          <w:rFonts w:ascii="Times" w:hAnsi="Times"/>
        </w:rPr>
        <w:t>Bioinformatic analysis and taxonomic determination</w:t>
      </w:r>
    </w:p>
    <w:p w14:paraId="5CCC1AF2" w14:textId="15FFDF0C" w:rsidR="00D93307" w:rsidRPr="00F15971" w:rsidRDefault="00D93307" w:rsidP="00D93307">
      <w:pPr>
        <w:rPr>
          <w:rFonts w:ascii="Times" w:hAnsi="Times"/>
        </w:rPr>
      </w:pPr>
      <w:r w:rsidRPr="00F15971">
        <w:rPr>
          <w:rFonts w:ascii="Times" w:hAnsi="Times"/>
        </w:rPr>
        <w:t xml:space="preserve">Taxonomic assignments of eDNA metabarcoding reads require a comprehensive sequence reference library. To generate these libraries for our given marker sets, we used </w:t>
      </w:r>
      <w:r w:rsidRPr="00F15971">
        <w:rPr>
          <w:rFonts w:ascii="Times" w:hAnsi="Times"/>
          <w:i/>
        </w:rPr>
        <w:t>CRUX</w:t>
      </w:r>
      <w:r w:rsidRPr="00F15971">
        <w:rPr>
          <w:rFonts w:ascii="Times" w:hAnsi="Times"/>
        </w:rPr>
        <w:t xml:space="preserve"> (Constructing Reference libraries Using </w:t>
      </w:r>
      <w:proofErr w:type="spellStart"/>
      <w:r w:rsidRPr="00F15971">
        <w:rPr>
          <w:rFonts w:ascii="Times" w:hAnsi="Times"/>
        </w:rPr>
        <w:t>eXisting</w:t>
      </w:r>
      <w:proofErr w:type="spellEnd"/>
      <w:r w:rsidRPr="00F15971">
        <w:rPr>
          <w:rFonts w:ascii="Times" w:hAnsi="Times"/>
        </w:rPr>
        <w:t xml:space="preserve"> tools)</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{"citationItems":[{"id":"ITEM-1","itemData":{"DOI":"10.1111/2041-210X.13214","ISSN":"2041210X","abstract":"Environmental DNA (eDNA) metabarcoding is a promising method to monitor species and community diversity that is rapid, affordable and non-invasive. The longstanding needs of the eDNA community are modular informatics tools, comprehensive and customizable reference databases, flexibility across high-throughput sequencing platforms, fast multilocus metabarcode processing and accurate taxonomic assignment. Improvements in bioinformatics tools make addressing each of these demands within a single toolkit a reality. The new modular metabarcode sequence toolkit Anacapa (https://github.com/limey-bean/Anacapa/) addresses the above needs, allowing users to build comprehensive reference databases and assign taxonomy to raw multilocus metabarcode sequence data. A novel aspect of Anacapa is its database building module, “Creating Reference libraries Using eXisting tools” (CRUX), which generates comprehensive reference databases for specific user-defined metabarcoding loci. The Quality Control and ASV Parsing module sorts and processes multiple metabarcoding loci and processes merged, unmerged and unpaired reads maximizing recovered diversity. DADA2 then detects amplicon sequence variants (ASVs) and the Anacapa Classifier module aligns these ASVs to CRUX-generated reference databases using Bowtie2. Lastly, taxonomy is assigned to ASVs with confidence scores using a Bayesian Lowest Common Ancestor (BLCA) method. The Anacapa Toolkit also includes an r package, ranacapa, for automated results exploration through standard biodiversity statistical analysis. Benchmarking tests verify that the Anacapa Toolkit effectively and efficiently generates comprehensive reference databases that capture taxonomic diversity, and can assign taxonomy to both MiSeq and HiSeq-length sequence data. We demonstrate the value of the Anacapa Toolkit in assigning taxonomy to seawater eDNA samples collected in southern California. The Anacapa Toolkit improves the functionality of eDNA and streamlines biodiversity assessment and management by generating metabarcode specific databases, processing multilocus data, retaining a larger proportion of sequencing reads and expanding non-traditional eDNA targets. All the components of the Anacapa Toolkit are open and available in a virtual container to ease installation.","author":[{"dropping-particle":"","family":"Curd","given":"Emily E.","non-dropping-particle":"","parse-names":false,"suffix":""},{"dropping-particle":"","family":"Gold","given":"Zack","non-dropping-particle":"","parse-names":false,"suffix":""},{"dropping-particle":"","family":"Kandlikar","given":"Gaurav S.","non-dropping-particle":"","parse-names":false,"suffix":""},{"dropping-particle":"","family":"Gomer","given":"Jesse","non-dropping-particle":"","parse-names":false,"suffix":""},{"dropping-particle":"","family":"Ogden","given":"Max","non-dropping-particle":"","parse-names":false,"suffix":""},{"dropping-particle":"","family":"O'Connell","given":"Taylor","non-dropping-particle":"","parse-names":false,"suffix":""},{"dropping-particle":"","family":"Pipes","given":"Lenore","non-dropping-particle":"","parse-names":false,"suffix":""},{"dropping-particle":"","family":"Schweizer","given":"Teia M.","non-dropping-particle":"","parse-names":false,"suffix":""},{"dropping-particle":"","family":"Rabichow","given":"Laura","non-dropping-particle":"","parse-names":false,"suffix":""},{"dropping-particle":"","family":"Lin","given":"Meixi","non-dropping-particle":"","parse-names":false,"suffix":""},{"dropping-particle":"","family":"Shi","given":"Baochen","non-dropping-particle":"","parse-names":false,"suffix":""},{"dropping-particle":"","family":"Barber","given":"Paul H.","non-dropping-particle":"","parse-names":false,"suffix":""},{"dropping-particle":"","family":"Kraft","given":"Nathan","non-dropping-particle":"","parse-names":false,"suffix":""},{"dropping-particle":"","family":"Wayne","given":"Robert","non-dropping-particle":"","parse-names":false,"suffix":""},{"dropping-particle":"","family":"Meyer","given":"Rachel S.","non-dropping-particle":"","parse-names":false,"suffix":""}],"container-title":"Methods in Ecology and Evolution","id":"ITEM-1","issue":"9","issued":{"date-parts":[["2019"]]},"page":"1469-1475","publisher":"British Ecological Society","title":"Anacapa Toolkit: An environmental DNA toolkit for processing multilocus metabarcode datasets","type":"article-journal","volume":"10"},"uris":["http://www.mendeley.com/documents/?uuid=ad58049a-bc81-45af-b79e-07ce67c1969f"]}],"mendeley":{"formattedCitation":"(Curd et al., 2019)","plainTextFormattedCitation":"(Curd et al., 2019)","previouslyFormattedCitation":"(Curd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(Curd et al., 2019)</w:t>
      </w:r>
      <w:r w:rsidR="003A1513" w:rsidRPr="00F15971">
        <w:rPr>
          <w:rFonts w:ascii="Times" w:hAnsi="Times"/>
        </w:rPr>
        <w:fldChar w:fldCharType="end"/>
      </w:r>
      <w:r w:rsidRPr="00F15971">
        <w:rPr>
          <w:rFonts w:ascii="Times" w:hAnsi="Times"/>
        </w:rPr>
        <w:t xml:space="preserve"> to query NCBI GenBank October 2019 for all available sequences that overlapped with each of our primer regions. One library was constructed for both the MiFish Teleost and Universal </w:t>
      </w:r>
      <w:r w:rsidRPr="00F15971">
        <w:rPr>
          <w:rFonts w:ascii="Times" w:hAnsi="Times"/>
          <w:i/>
        </w:rPr>
        <w:t>12S</w:t>
      </w:r>
      <w:r w:rsidRPr="00F15971">
        <w:rPr>
          <w:rFonts w:ascii="Times" w:hAnsi="Times"/>
        </w:rPr>
        <w:t xml:space="preserve"> primer set given the locus similarity, one library was constructed for the </w:t>
      </w:r>
      <w:r w:rsidRPr="00F15971">
        <w:rPr>
          <w:rFonts w:ascii="Times" w:hAnsi="Times"/>
          <w:i/>
        </w:rPr>
        <w:t xml:space="preserve">CO1 </w:t>
      </w:r>
      <w:r w:rsidRPr="00F15971">
        <w:rPr>
          <w:rFonts w:ascii="Times" w:hAnsi="Times"/>
        </w:rPr>
        <w:t xml:space="preserve">metazoan primer as detailed, and one library was constructed for the </w:t>
      </w:r>
      <w:r w:rsidRPr="00F15971">
        <w:rPr>
          <w:rFonts w:ascii="Times" w:hAnsi="Times"/>
          <w:i/>
        </w:rPr>
        <w:t xml:space="preserve">16S </w:t>
      </w:r>
      <w:r w:rsidRPr="00F15971">
        <w:rPr>
          <w:rFonts w:ascii="Times" w:hAnsi="Times"/>
        </w:rPr>
        <w:t xml:space="preserve">metazoan primer set using the default </w:t>
      </w:r>
      <w:r w:rsidRPr="00F15971">
        <w:rPr>
          <w:rFonts w:ascii="Times" w:hAnsi="Times"/>
          <w:i/>
        </w:rPr>
        <w:t>CRUX</w:t>
      </w:r>
      <w:r w:rsidRPr="00F15971">
        <w:rPr>
          <w:rFonts w:ascii="Times" w:hAnsi="Times"/>
        </w:rPr>
        <w:t xml:space="preserve"> parameters </w:t>
      </w:r>
      <w:r w:rsidR="003A1513" w:rsidRPr="00F15971">
        <w:rPr>
          <w:rFonts w:ascii="Times" w:hAnsi="Times"/>
        </w:rPr>
        <w:fldChar w:fldCharType="begin" w:fldLock="1"/>
      </w:r>
      <w:r w:rsidR="003A1513" w:rsidRPr="00F15971">
        <w:rPr>
          <w:rFonts w:ascii="Times" w:hAnsi="Times"/>
        </w:rPr>
        <w:instrText>ADDIN CSL_CITATION {"citationItems":[{"id":"ITEM-1","itemData":{"DOI":"10.1111/2041-210X.13214","ISSN":"2041210X","abstract":"Environmental DNA (eDNA) metabarcoding is a promising method to monitor species and community diversity that is rapid, affordable and non-invasive. The longstanding needs of the eDNA community are modular informatics tools, comprehensive and customizable reference databases, flexibility across high-throughput sequencing platforms, fast multilocus metabarcode processing and accurate taxonomic assignment. Improvements in bioinformatics tools make addressing each of these demands within a single toolkit a reality. The new modular metabarcode sequence toolkit Anacapa (https://github.com/limey-bean/Anacapa/) addresses the above needs, allowing users to build comprehensive reference databases and assign taxonomy to raw multilocus metabarcode sequence data. A novel aspect of Anacapa is its database building module, “Creating Reference libraries Using eXisting tools” (CRUX), which generates comprehensive reference databases for specific user-defined metabarcoding loci. The Quality Control and ASV Parsing module sorts and processes multiple metabarcoding loci and processes merged, unmerged and unpaired reads maximizing recovered diversity. DADA2 then detects amplicon sequence variants (ASVs) and the Anacapa Classifier module aligns these ASVs to CRUX-generated reference databases using Bowtie2. Lastly, taxonomy is assigned to ASVs with confidence scores using a Bayesian Lowest Common Ancestor (BLCA) method. The Anacapa Toolkit also includes an r package, ranacapa, for automated results exploration through standard biodiversity statistical analysis. Benchmarking tests verify that the Anacapa Toolkit effectively and efficiently generates comprehensive reference databases that capture taxonomic diversity, and can assign taxonomy to both MiSeq and HiSeq-length sequence data. We demonstrate the value of the Anacapa Toolkit in assigning taxonomy to seawater eDNA samples collected in southern California. The Anacapa Toolkit improves the functionality of eDNA and streamlines biodiversity assessment and management by generating metabarcode specific databases, processing multilocus data, retaining a larger proportion of sequencing reads and expanding non-traditional eDNA targets. All the components of the Anacapa Toolkit are open and available in a virtual container to ease installation.","author":[{"dropping-particle":"","family":"Curd","given":"Emily E.","non-dropping-particle":"","parse-names":false,"suffix":""},{"dropping-particle":"","family":"Gold","given":"Zack","non-dropping-particle":"","parse-names":false,"suffix":""},{"dropping-particle":"","family":"Kandlikar","given":"Gaurav S.","non-dropping-particle":"","parse-names":false,"suffix":""},{"dropping-particle":"","family":"Gomer","given":"Jesse","non-dropping-particle":"","parse-names":false,"suffix":""},{"dropping-particle":"","family":"Ogden","given":"Max","non-dropping-particle":"","parse-names":false,"suffix":""},{"dropping-particle":"","family":"O'Connell","given":"Taylor","non-dropping-particle":"","parse-names":false,"suffix":""},{"dropping-particle":"","family":"Pipes","given":"Lenore","non-dropping-particle":"","parse-names":false,"suffix":""},{"dropping-particle":"","family":"Schweizer","given":"Teia M.","non-dropping-particle":"","parse-names":false,"suffix":""},{"dropping-particle":"","family":"Rabichow","given":"Laura","non-dropping-particle":"","parse-names":false,"suffix":""},{"dropping-particle":"","family":"Lin","given":"Meixi","non-dropping-particle":"","parse-names":false,"suffix":""},{"dropping-particle":"","family":"Shi","given":"Baochen","non-dropping-particle":"","parse-names":false,"suffix":""},{"dropping-particle":"","family":"Barber","given":"Paul H.","non-dropping-particle":"","parse-names":false,"suffix":""},{"dropping-particle":"","family":"Kraft","given":"Nathan","non-dropping-particle":"","parse-names":false,"suffix":""},{"dropping-particle":"","family":"Wayne","given":"Robert","non-dropping-particle":"","parse-names":false,"suffix":""},{"dropping-particle":"","family":"Meyer","given":"Rachel S.","non-dropping-particle":"","parse-names":false,"suffix":""}],"container-title":"Methods in Ecology and Evolution","id":"ITEM-1","issue":"9","issued":{"date-parts":[["2019"]]},"page":"1469-1475","publisher":"British Ecological Society","title":"Anacapa Toolkit: An environmental DNA toolkit for processing multilocus metabarcode datasets","type":"article-journal","volume":"10"},"uris":["http://www.mendeley.com/documents/?uuid=ad58049a-bc81-45af-b79e-07ce67c1969f"]}],"mendeley":{"formattedCitation":"(Curd et al., 2019)","plainTextFormattedCitation":"(Curd et al., 2019)","previouslyFormattedCitation":"(Curd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(Curd et al., 2019)</w:t>
      </w:r>
      <w:r w:rsidR="003A1513" w:rsidRPr="00F15971">
        <w:rPr>
          <w:rFonts w:ascii="Times" w:hAnsi="Times"/>
        </w:rPr>
        <w:fldChar w:fldCharType="end"/>
      </w:r>
      <w:r w:rsidRPr="00F15971">
        <w:rPr>
          <w:rFonts w:ascii="Times" w:hAnsi="Times"/>
        </w:rPr>
        <w:t>.</w:t>
      </w:r>
    </w:p>
    <w:p w14:paraId="1D329A78" w14:textId="4F12A508" w:rsidR="00D93307" w:rsidRPr="00F15971" w:rsidRDefault="00D93307" w:rsidP="00D93307">
      <w:pPr>
        <w:rPr>
          <w:rFonts w:ascii="Times" w:hAnsi="Times"/>
        </w:rPr>
      </w:pPr>
      <w:r w:rsidRPr="00F15971">
        <w:rPr>
          <w:rFonts w:ascii="Times" w:hAnsi="Times"/>
        </w:rPr>
        <w:t xml:space="preserve">We used the </w:t>
      </w:r>
      <w:r w:rsidRPr="00F15971">
        <w:rPr>
          <w:rFonts w:ascii="Times" w:hAnsi="Times"/>
          <w:i/>
        </w:rPr>
        <w:t xml:space="preserve">Anacapa Toolkit </w:t>
      </w:r>
      <w:r w:rsidR="003A1513" w:rsidRPr="00F15971">
        <w:rPr>
          <w:rFonts w:ascii="Times" w:hAnsi="Times"/>
        </w:rPr>
        <w:fldChar w:fldCharType="begin" w:fldLock="1"/>
      </w:r>
      <w:r w:rsidR="003A1513" w:rsidRPr="00F15971">
        <w:rPr>
          <w:rFonts w:ascii="Times" w:hAnsi="Times"/>
        </w:rPr>
        <w:instrText>ADDIN CSL_CITATION {"citationItems":[{"id":"ITEM-1","itemData":{"DOI":"10.1111/2041-210X.13214","ISSN":"2041210X","abstract":"Environmental DNA (eDNA) metabarcoding is a promising method to monitor species and community diversity that is rapid, affordable and non-invasive. The longstanding needs of the eDNA community are modular informatics tools, comprehensive and customizable reference databases, flexibility across high-throughput sequencing platforms, fast multilocus metabarcode processing and accurate taxonomic assignment. Improvements in bioinformatics tools make addressing each of these demands within a single toolkit a reality. The new modular metabarcode sequence toolkit Anacapa (https://github.com/limey-bean/Anacapa/) addresses the above needs, allowing users to build comprehensive reference databases and assign taxonomy to raw multilocus metabarcode sequence data. A novel aspect of Anacapa is its database building module, “Creating Reference libraries Using eXisting tools” (CRUX), which generates comprehensive reference databases for specific user-defined metabarcoding loci. The Quality Control and ASV Parsing module sorts and processes multiple metabarcoding loci and processes merged, unmerged and unpaired reads maximizing recovered diversity. DADA2 then detects amplicon sequence variants (ASVs) and the Anacapa Classifier module aligns these ASVs to CRUX-generated reference databases using Bowtie2. Lastly, taxonomy is assigned to ASVs with confidence scores using a Bayesian Lowest Common Ancestor (BLCA) method. The Anacapa Toolkit also includes an r package, ranacapa, for automated results exploration through standard biodiversity statistical analysis. Benchmarking tests verify that the Anacapa Toolkit effectively and efficiently generates comprehensive reference databases that capture taxonomic diversity, and can assign taxonomy to both MiSeq and HiSeq-length sequence data. We demonstrate the value of the Anacapa Toolkit in assigning taxonomy to seawater eDNA samples collected in southern California. The Anacapa Toolkit improves the functionality of eDNA and streamlines biodiversity assessment and management by generating metabarcode specific databases, processing multilocus data, retaining a larger proportion of sequencing reads and expanding non-traditional eDNA targets. All the components of the Anacapa Toolkit are open and available in a virtual container to ease installation.","author":[{"dropping-particle":"","family":"Curd","given":"Emily E.","non-dropping-particle":"","parse-names":false,"suffix":""},{"dropping-particle":"","family":"Gold","given":"Zack","non-dropping-particle":"","parse-names":false,"suffix":""},{"dropping-particle":"","family":"Kandlikar","given":"Gaurav S.","non-dropping-particle":"","parse-names":false,"suffix":""},{"dropping-particle":"","family":"Gomer","given":"Jesse","non-dropping-particle":"","parse-names":false,"suffix":""},{"dropping-particle":"","family":"Ogden","given":"Max","non-dropping-particle":"","parse-names":false,"suffix":""},{"dropping-particle":"","family":"O'Connell","given":"Taylor","non-dropping-particle":"","parse-names":false,"suffix":""},{"dropping-particle":"","family":"Pipes","given":"Lenore","non-dropping-particle":"","parse-names":false,"suffix":""},{"dropping-particle":"","family":"Schweizer","given":"Teia M.","non-dropping-particle":"","parse-names":false,"suffix":""},{"dropping-particle":"","family":"Rabichow","given":"Laura","non-dropping-particle":"","parse-names":false,"suffix":""},{"dropping-particle":"","family":"Lin","given":"Meixi","non-dropping-particle":"","parse-names":false,"suffix":""},{"dropping-particle":"","family":"Shi","given":"Baochen","non-dropping-particle":"","parse-names":false,"suffix":""},{"dropping-particle":"","family":"Barber","given":"Paul H.","non-dropping-particle":"","parse-names":false,"suffix":""},{"dropping-particle":"","family":"Kraft","given":"Nathan","non-dropping-particle":"","parse-names":false,"suffix":""},{"dropping-particle":"","family":"Wayne","given":"Robert","non-dropping-particle":"","parse-names":false,"suffix":""},{"dropping-particle":"","family":"Meyer","given":"Rachel S.","non-dropping-particle":"","parse-names":false,"suffix":""}],"container-title":"Methods in Ecology and Evolution","id":"ITEM-1","issue":"9","issued":{"date-parts":[["2019"]]},"page":"1469-1475","publisher":"British Ecological Society","title":"Anacapa Toolkit: An environmental DNA toolkit for processing multilocus metabarcode datasets","type":"article-journal","volume":"10"},"uris":["http://www.mendeley.com/documents/?uuid=ad58049a-bc81-45af-b79e-07ce67c1969f"]}],"mendeley":{"formattedCitation":"(Curd et al., 2019)","plainTextFormattedCitation":"(Curd et al., 2019)","previouslyFormattedCitation":"(Curd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(Curd et al., 2019)</w:t>
      </w:r>
      <w:r w:rsidR="003A1513" w:rsidRPr="00F15971">
        <w:rPr>
          <w:rFonts w:ascii="Times" w:hAnsi="Times"/>
        </w:rPr>
        <w:fldChar w:fldCharType="end"/>
      </w:r>
      <w:r w:rsidRPr="00F15971">
        <w:rPr>
          <w:rFonts w:ascii="Times" w:hAnsi="Times"/>
        </w:rPr>
        <w:t xml:space="preserve"> for amplicon sequence variant parsing, taxonomic assignment, and quality control. The quality control step of the Anacapa Toolkit trims extraneous adapter sequences used to identify each unique sample, removes low quality reads, and sorts reads by metabarcode primer sequence. A key advantage of the </w:t>
      </w:r>
      <w:r w:rsidRPr="00F15971">
        <w:rPr>
          <w:rFonts w:ascii="Times" w:hAnsi="Times"/>
          <w:i/>
        </w:rPr>
        <w:t>Anacapa Toolkit</w:t>
      </w:r>
      <w:r w:rsidRPr="00F15971">
        <w:rPr>
          <w:rFonts w:ascii="Times" w:hAnsi="Times"/>
        </w:rPr>
        <w:t xml:space="preserve"> is that it can simultaneously process raw </w:t>
      </w:r>
      <w:proofErr w:type="spellStart"/>
      <w:r w:rsidRPr="00F15971">
        <w:rPr>
          <w:rFonts w:ascii="Times" w:hAnsi="Times"/>
        </w:rPr>
        <w:t>fastq</w:t>
      </w:r>
      <w:proofErr w:type="spellEnd"/>
      <w:r w:rsidRPr="00F15971">
        <w:rPr>
          <w:rFonts w:ascii="Times" w:hAnsi="Times"/>
        </w:rPr>
        <w:t xml:space="preserve"> reads for samples with single or multiple metabarcode targets generated on Illumina MiSeq machines. It is also not required that all samples contain reads for each metabarcode, thus allowing users to combine multiple projects or targets on the same sequencing run while only running the pipeline once.</w:t>
      </w:r>
    </w:p>
    <w:p w14:paraId="395CBE4B" w14:textId="6807A45A" w:rsidR="00D93307" w:rsidRPr="00F15971" w:rsidRDefault="00D93307" w:rsidP="00D93307">
      <w:pPr>
        <w:rPr>
          <w:rFonts w:ascii="Times" w:hAnsi="Times"/>
        </w:rPr>
      </w:pPr>
      <w:r w:rsidRPr="00F15971">
        <w:rPr>
          <w:rFonts w:ascii="Times" w:hAnsi="Times"/>
        </w:rPr>
        <w:t xml:space="preserve">The amplicon sequence variant (ASV) parsing step uses DADA2 </w:t>
      </w:r>
      <w:r w:rsidR="003A1513" w:rsidRPr="00F15971">
        <w:rPr>
          <w:rFonts w:ascii="Times" w:hAnsi="Times"/>
        </w:rPr>
        <w:fldChar w:fldCharType="begin" w:fldLock="1"/>
      </w:r>
      <w:r w:rsidR="003A1513" w:rsidRPr="00F15971">
        <w:rPr>
          <w:rFonts w:ascii="Times" w:hAnsi="Times"/>
        </w:rPr>
        <w:instrText>ADDIN CSL_CITATION {"citationItems":[{"id":"ITEM-1","itemData":{"DOI":"10.1038/nmeth.3869","ISSN":"15487105","PMID":"27214047","abstract":"We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variants.","author":[{"dropping-particle":"","family":"Callahan","given":"Benjamin J.","non-dropping-particle":"","parse-names":false,"suffix":""},{"dropping-particle":"","family":"McMurdie","given":"Paul J.","non-dropping-particle":"","parse-names":false,"suffix":""},{"dropping-particle":"","family":"Rosen","given":"Michael J.","non-dropping-particle":"","parse-names":false,"suffix":""},{"dropping-particle":"","family":"Han","given":"Andrew W.","non-dropping-particle":"","parse-names":false,"suffix":""},{"dropping-particle":"","family":"Johnson","given":"Amy Jo A.","non-dropping-particle":"","parse-names":false,"suffix":""},{"dropping-particle":"","family":"Holmes","given":"Susan P.","non-dropping-particle":"","parse-names":false,"suffix":""}],"container-title":"Nature Methods","id":"ITEM-1","issue":"7","issued":{"date-parts":[["2016"]]},"page":"581-583","publisher":"Nature Publishing Group","title":"DADA2: High-resolution sample inference from Illumina amplicon data","type":"article-journal","volume":"13"},"uris":["http://www.mendeley.com/documents/?uuid=bc23d030-8e62-41b4-b741-b652774ac5cc"]}],"mendeley":{"formattedCitation":"(Callahan et al., 2016)","plainTextFormattedCitation":"(Callahan et al., 2016)","previouslyFormattedCitation":"(Callahan et al., 2016)"},"properties":{"noteIndex":0},"schema":"https://github.com/citation-style-language/schema/raw/master/csl-citation.json"}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(Callahan et al., 2016)</w:t>
      </w:r>
      <w:r w:rsidR="003A1513" w:rsidRPr="00F15971">
        <w:rPr>
          <w:rFonts w:ascii="Times" w:hAnsi="Times"/>
        </w:rPr>
        <w:fldChar w:fldCharType="end"/>
      </w:r>
      <w:r w:rsidRPr="00F15971">
        <w:rPr>
          <w:rFonts w:ascii="Times" w:hAnsi="Times"/>
        </w:rPr>
        <w:t xml:space="preserve"> to dereplicate our metabarcodes. Unlike OTUs, which cluster sequences using an arbitrary sequence similarity (e.g. 97%, which corresponds to a gross average genetic sequence difference across all of life), ASVs are unique sequence reads determined using Bayesian probabilities of known sequencing error. These unique sequences can differ by as little as two base pairs, providing improved taxonomic resolution and an increase in observed diversity</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{"citationItems":[{"id":"ITEM-1","itemData":{"DOI":"10.1038/nmeth.3869","ISSN":"15487105","PMID":"27214047","abstract":"We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variants.","author":[{"dropping-particle":"","family":"Callahan","given":"Benjamin J.","non-dropping-particle":"","parse-names":false,"suffix":""},{"dropping-particle":"","family":"McMurdie","given":"Paul J.","non-dropping-particle":"","parse-names":false,"suffix":""},{"dropping-particle":"","family":"Rosen","given":"Michael J.","non-dropping-particle":"","parse-names":false,"suffix":""},{"dropping-particle":"","family":"Han","given":"Andrew W.","non-dropping-particle":"","parse-names":false,"suffix":""},{"dropping-particle":"","family":"Johnson","given":"Amy Jo A.","non-dropping-particle":"","parse-names":false,"suffix":""},{"dropping-particle":"","family":"Holmes","given":"Susan P.","non-dropping-particle":"","parse-names":false,"suffix":""}],"container-title":"Nature Methods","id":"ITEM-1","issue":"7","issued":{"date-parts":[["2016"]]},"page":"581-583","publisher":"Nature Publishing Group","title":"DADA2: High-resolution sample inference from Illumina amplicon data","type":"article-journal","volume":"13"},"uris":["http://www.mendeley.com/documents/?uuid=bc23d030-8e62-41b4-b741-b652774ac5cc"]},{"id":"ITEM-2","itemData":{"ISSN":"2379-5077","author":[{"dropping-particle":"","family":"Amir","given":"Amnon","non-dropping-particle":"","parse-names":false,"suffix":""},{"dropping-particle":"","family":"McDonald","given":"Daniel","non-dropping-particle":"","parse-names":false,"suffix":""},{"dropping-particle":"","family":"Navas-Molina","given":"Jose A","non-dropping-particle":"","parse-names":false,"suffix":""},{"dropping-particle":"","family":"Kopylova","given":"Evguenia","non-dropping-particle":"","parse-names":false,"suffix":""},{"dropping-particle":"","family":"Morton","given":"James T","non-dropping-particle":"","parse-names":false,"suffix":""},{"dropping-particle":"","family":"Zech Xu","given":"Zhenjiang","non-dropping-particle":"","parse-names":false,"suffix":""},{"dropping-particle":"","family":"Kightley","given":"Eric P","non-dropping-particle":"","parse-names":false,"suffix":""},{"dropping-particle":"","family":"Thompson","given":"Luke R","non-dropping-particle":"","parse-names":false,"suffix":""},{"dropping-particle":"","family":"Hyde","given":"Embriette R","non-dropping-particle":"","parse-names":false,"suffix":""},{"dropping-particle":"","family":"Gonzalez","given":"Antonio","non-dropping-particle":"","parse-names":false,"suffix":""}],"container-title":"MSystems","id":"ITEM-2","issue":"2","issued":{"date-parts":[["2017"]]},"page":"e00191-16","publisher":"Am Soc Microbiol","title":"Deblur rapidly resolves single-nucleotide community sequence patterns","type":"article-journal","volume":"2"},"uris":["http://www.mendeley.com/documents/?uuid=44e60df5-46a8-44f7-a6fa-144e05c32735"]}],"mendeley":{"formattedCitation":"(Callahan et al., 2016; Amir et al., 2017)","plainTextFormattedCitation":"(Callahan et al., 2016; Amir et al., 2017)","previouslyFormattedCitation":"(Callahan et al., 2016; Amir et al., 2017)"},"properties":{"noteIndex":0},"schema":"https://github.com/citation-style-language/schema/raw/master/csl-citation.json"}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(Callahan et al., 2016; Amir et al., 2017)</w:t>
      </w:r>
      <w:r w:rsidR="003A1513" w:rsidRPr="00F15971">
        <w:rPr>
          <w:rFonts w:ascii="Times" w:hAnsi="Times"/>
        </w:rPr>
        <w:fldChar w:fldCharType="end"/>
      </w:r>
      <w:r w:rsidRPr="00F15971">
        <w:rPr>
          <w:rFonts w:ascii="Times" w:hAnsi="Times"/>
        </w:rPr>
        <w:t>.</w:t>
      </w:r>
    </w:p>
    <w:p w14:paraId="35FD0EC6" w14:textId="335E1C74" w:rsidR="00D93307" w:rsidRPr="00F15971" w:rsidRDefault="00D93307" w:rsidP="00D93307">
      <w:pPr>
        <w:rPr>
          <w:rFonts w:ascii="Times" w:hAnsi="Times"/>
        </w:rPr>
      </w:pPr>
      <w:r w:rsidRPr="00F15971">
        <w:rPr>
          <w:rFonts w:ascii="Times" w:hAnsi="Times"/>
        </w:rPr>
        <w:lastRenderedPageBreak/>
        <w:t>Next the Anacapa toolkit module assigns taxonomy to ASVs using Bowtie 2</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{"citationItems":[{"id":"ITEM-1","itemData":{"DOI":"10.1038/nmeth.1923","ISSN":"15487091","PMID":"22388286","abstract":"As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 © 2012 Nature America, Inc. All rights reserved.","author":[{"dropping-particle":"","family":"Langmead","given":"Ben","non-dropping-particle":"","parse-names":false,"suffix":""},{"dropping-particle":"","family":"Salzberg","given":"Steven L.","non-dropping-particle":"","parse-names":false,"suffix":""}],"container-title":"Nature Methods","id":"ITEM-1","issue":"4","issued":{"date-parts":[["2012"]]},"page":"357-359","publisher":"Nature Publishing Group","title":"Fast gapped-read alignment with Bowtie 2","type":"article-journal","volume":"9"},"uris":["http://www.mendeley.com/documents/?uuid=d01b5d6b-35c2-40d4-8e5d-70cf81b14d65"]}],"mendeley":{"formattedCitation":"(Langmead &amp; Salzberg, 2012)","plainTextFormattedCitation":"(Langmead &amp; Salzberg, 2012)","previouslyFormattedCitation":"(Langmead &amp; Salzberg, 2012)"},"properties":{"noteIndex":0},"schema":"https://github.com/citation-style-language/schema/raw/master/csl-citation.json"}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(Langmead &amp; Salzberg, 2012)</w:t>
      </w:r>
      <w:r w:rsidR="003A1513" w:rsidRPr="00F15971">
        <w:rPr>
          <w:rFonts w:ascii="Times" w:hAnsi="Times"/>
        </w:rPr>
        <w:fldChar w:fldCharType="end"/>
      </w:r>
      <w:r w:rsidRPr="00F15971">
        <w:rPr>
          <w:rFonts w:ascii="Times" w:hAnsi="Times"/>
        </w:rPr>
        <w:t xml:space="preserve"> and a Bowtie 2-specific Bayesian Least Common Ancestor (BLCA) algorithm. All ASVs are first globally aligned against the CRUX database using Bowtie 2. Any ASV that fails to align is then aligned locally. The best hits (the top 100 Bowtie 2 returns) are then processed with the BLCA script to assign taxonomy. The Bowtie 2 BLCA algorithm was adapted from https://github.com/qunfengdong/BLCA. BLCA uses pairwise sequence alignment to calculate sequence similarity between query sequences (a given ASV sequence found in the environment) and reference library hits. Taxonomy is assigned based on the lowest common ancestor of multiple reference library hits for each query sequence. The reliability of each taxonomic assignment is then evaluated through bootstrap confidence scores</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{"citationItems":[{"id":"ITEM-1","itemData":{"DOI":"10.1186/s12859-017-1670-4","ISSN":"14712105","PMID":"28486927","abstract":"Background: Species-level classification for 16S rRNA gene sequences remains a serious challenge for microbiome researchers, because existing taxonomic classification tools for 16S rRNA gene sequences either do not provide species-level classification, or their classification results are unreliable. The unreliable results are due to the limitations in the existing methods which either lack solid probabilistic-based criteria to evaluate the confidence of their taxonomic assignments, or use nucleotide k-mer frequency as the proxy for sequence similarity measurement. Results: We have developed a method that shows significantly improved species-level classification results over existing methods. Our method calculates true sequence similarity between query sequences and database hits using pairwise sequence alignment. Taxonomic classifications are assigned from the species to the phylum levels based on the lowest common ancestors of multiple database hits for each query sequence, and further classification reliabilities are evaluated by bootstrap confidence scores. The novelty of our method is that the contribution of each database hit to the taxonomic assignment of the query sequence is weighted by a Bayesian posterior probability based upon the degree of sequence similarity of the database hit to the query sequence. Our method does not need any training datasets specific for different taxonomic groups. Instead only a reference database is required for aligning to the query sequences, making our method easily applicable for different regions of the 16S rRNA gene or other phylogenetic marker genes. Conclusions: Reliable species-level classification for 16S rRNA or other phylogenetic marker genes is critical for microbiome research. Our software shows significantly higher classification accuracy than the existing tools and we provide probabilistic-based confidence scores to evaluate the reliability of our taxonomic classification assignments based on multiple database matches to query sequences. Despite its higher computational costs, our method is still suitable for analyzing large-scale microbiome datasets for practical purposes. Furthermore, our method can be applied for taxonomic classification of any phylogenetic marker gene sequences. Our software, called BLCA, is freely available at https://github.com/qunfengdong/BLCA.","author":[{"dropping-particle":"","family":"Gao","given":"Xiang","non-dropping-particle":"","parse-names":false,"suffix":""},{"dropping-particle":"","family":"Lin","given":"Huaiying","non-dropping-particle":"","parse-names":false,"suffix":""},{"dropping-particle":"","family":"Revanna","given":"Kashi","non-dropping-particle":"","parse-names":false,"suffix":""},{"dropping-particle":"","family":"Dong","given":"Qunfeng","non-dropping-particle":"","parse-names":false,"suffix":""}],"container-title":"BMC Bioinformatics","id":"ITEM-1","issue":"1","issued":{"date-parts":[["2017"]]},"page":"247","publisher":"BioMed Central","title":"A Bayesian taxonomic classification method for 16S rRNA gene sequences with improved species-level accuracy","type":"article-journal","volume":"18"},"uris":["http://www.mendeley.com/documents/?uuid=f357992d-4a68-47c4-a482-670dd1614d8e"]}],"mendeley":{"formattedCitation":"(Gao et al., 2017)","plainTextFormattedCitation":"(Gao et al., 2017)","previouslyFormattedCitation":"(Gao et al., 2017)"},"properties":{"noteIndex":0},"schema":"https://github.com/citation-style-language/schema/raw/master/csl-citation.json"}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(Gao et al., 2017)</w:t>
      </w:r>
      <w:r w:rsidR="003A1513" w:rsidRPr="00F15971">
        <w:rPr>
          <w:rFonts w:ascii="Times" w:hAnsi="Times"/>
        </w:rPr>
        <w:fldChar w:fldCharType="end"/>
      </w:r>
      <w:r w:rsidRPr="00F15971">
        <w:rPr>
          <w:rFonts w:ascii="Times" w:hAnsi="Times"/>
        </w:rPr>
        <w:t>. Scores are based on Bayesian posterior probability which quantify the similarity of reference barcode sequences to the query sequence. The higher the similarity between the database barcode sequence and the query sequence, the greater the contribution to the taxonomic assignment of the query. Ultimately, this method provides a strong probabilistic basis for evaluating taxonomic assignments with bootstrap confidence scores.</w:t>
      </w:r>
    </w:p>
    <w:p w14:paraId="482C9F5D" w14:textId="23CBA950" w:rsidR="00D93307" w:rsidRPr="00F15971" w:rsidRDefault="00D93307" w:rsidP="00D93307">
      <w:pPr>
        <w:spacing w:after="160"/>
        <w:rPr>
          <w:rFonts w:ascii="Times" w:hAnsi="Times"/>
        </w:rPr>
      </w:pPr>
      <w:r w:rsidRPr="00F15971">
        <w:rPr>
          <w:rFonts w:ascii="Times" w:hAnsi="Times"/>
        </w:rPr>
        <w:t xml:space="preserve">For the two fish primer sets, taxonomic assignment was conducted following benchmarking by Gold et al. (2021) using a taxonomic cutoff score of 60 and minimum alignment of 80%. Two different combinations of reference databases were used for taxonomic assignment. We first assigned taxonomy only using the </w:t>
      </w:r>
      <w:r w:rsidRPr="00F15971">
        <w:rPr>
          <w:rFonts w:ascii="Times" w:hAnsi="Times"/>
          <w:i/>
        </w:rPr>
        <w:t xml:space="preserve">CRUX </w:t>
      </w:r>
      <w:r w:rsidRPr="00F15971">
        <w:rPr>
          <w:rFonts w:ascii="Times" w:hAnsi="Times"/>
        </w:rPr>
        <w:t xml:space="preserve">October 2019 reference database which lacked region specific fish barcodes here in referred to as the limited database. We then assigned taxonomy using a combination of the regional and global reference databases which contained 252 additional California Current species described in Gold et al. 2021 here in reference to as the comprehensive database. For the comprehensive database assignments, taxonomy was first assigned using the curated regional database of California Current Large Marine Ecosystem fishes to identify native taxa. We then re-assigned taxonomy using the global </w:t>
      </w:r>
      <w:r w:rsidRPr="00F15971">
        <w:rPr>
          <w:rFonts w:ascii="Times" w:hAnsi="Times"/>
          <w:i/>
        </w:rPr>
        <w:t>CRUX</w:t>
      </w:r>
      <w:r w:rsidRPr="00F15971">
        <w:rPr>
          <w:rFonts w:ascii="Times" w:hAnsi="Times"/>
        </w:rPr>
        <w:t xml:space="preserve"> generated database to identify non-native and non-fish species. Taxonomic assignments of ASVs were </w:t>
      </w:r>
      <w:r w:rsidR="00D1121C">
        <w:rPr>
          <w:rFonts w:ascii="Times" w:hAnsi="Times"/>
        </w:rPr>
        <w:t>synonymized</w:t>
      </w:r>
      <w:r w:rsidRPr="00F15971">
        <w:rPr>
          <w:rFonts w:ascii="Times" w:hAnsi="Times"/>
        </w:rPr>
        <w:t xml:space="preserve"> between both methods by prioritizing higher resolution assignments (i.e. species level vs. genus level). </w:t>
      </w:r>
    </w:p>
    <w:p w14:paraId="72EAA007" w14:textId="2FE82720" w:rsidR="00D93307" w:rsidRPr="00F15971" w:rsidRDefault="00D93307" w:rsidP="00D93307">
      <w:pPr>
        <w:spacing w:after="160"/>
        <w:rPr>
          <w:rFonts w:ascii="Times" w:hAnsi="Times"/>
        </w:rPr>
      </w:pPr>
      <w:r w:rsidRPr="00F15971">
        <w:rPr>
          <w:rFonts w:ascii="Times" w:hAnsi="Times"/>
        </w:rPr>
        <w:lastRenderedPageBreak/>
        <w:t xml:space="preserve">As compared to the </w:t>
      </w:r>
      <w:r w:rsidRPr="00F15971">
        <w:rPr>
          <w:rFonts w:ascii="Times" w:hAnsi="Times"/>
          <w:i/>
        </w:rPr>
        <w:t xml:space="preserve">12S </w:t>
      </w:r>
      <w:r w:rsidRPr="00F15971">
        <w:rPr>
          <w:rFonts w:ascii="Times" w:hAnsi="Times"/>
        </w:rPr>
        <w:t xml:space="preserve">MiFish primer sets, the two universal primer sets  </w:t>
      </w:r>
      <w:r w:rsidRPr="00F15971">
        <w:rPr>
          <w:rFonts w:ascii="Times" w:hAnsi="Times"/>
          <w:i/>
        </w:rPr>
        <w:t xml:space="preserve">CO1 </w:t>
      </w:r>
      <w:r w:rsidRPr="00F15971">
        <w:rPr>
          <w:rFonts w:ascii="Times" w:hAnsi="Times"/>
        </w:rPr>
        <w:t xml:space="preserve">and </w:t>
      </w:r>
      <w:r w:rsidRPr="00F15971">
        <w:rPr>
          <w:rFonts w:ascii="Times" w:hAnsi="Times"/>
          <w:i/>
        </w:rPr>
        <w:t xml:space="preserve">16S </w:t>
      </w:r>
      <w:r w:rsidRPr="00F15971">
        <w:rPr>
          <w:rFonts w:ascii="Times" w:hAnsi="Times"/>
        </w:rPr>
        <w:t>have substantially less complete reference databases, and they also lack comprehensive marker validation and benchmarking, thus reducing the accuracy of taxonomic assignments</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{"citationItems":[{"id":"ITEM-1","itemData":{"DOI":"10.7717/peerj.4652","ISSN":"21678359","abstract":"Prediction of taxonomy for marker gene sequences such as 16S ribosomal RNA (rRNA) is a fundamental task in microbiology. Most experimentally observed sequences are diverged from reference sequences of authoritatively named organisms, creating a challenge for prediction methods. I assessed the accuracy of several algorithms using cross-validation by identity, a new benchmark strategy which explicitly models the variation in distances between query sequences and the closest entry in a reference database. When the accuracy of genus predictions was averaged over a representative range of identities with the reference database (100%, 99%, 97%, 95% and 90%), all tested methods had ≤50% accuracy on the currently-popular V4 region of 16S rRNA. Accuracy was found to fall rapidly with identity; for example, better methods were found to have V4 genus prediction accuracy of ~100% at 100% identity but ~50% at 97% identity. The relationship between identity and taxonomy was quantified as the probability that a rank is the lowest shared by a pair of sequences with a given pair-wise identity. With the V4 region, 95% identity was found to be a twilight zone where taxonomy is highly ambiguous because the probabilities that the lowest shared rank between pairs of sequences is genus, family, order or class are approximately equal.","author":[{"dropping-particle":"","family":"Edgar","given":"Robert C.","non-dropping-particle":"","parse-names":false,"suffix":""}],"container-title":"PeerJ","id":"ITEM-1","issue":"4","issued":{"date-parts":[["2018"]]},"page":"e4652","publisher":"PeerJ Inc.","title":"Accuracy of taxonomy prediction for 16S rRNA and fungal ITS sequences","type":"article-journal","volume":"2018"},"uris":["http://www.mendeley.com/documents/?uuid=5e73e6d9-586b-413f-848a-34b24072914c"]},{"id":"ITEM-2","itemData":{"DOI":"10.1111/2041-210X.13214","ISSN":"2041210X","abstract":"Environmental DNA (eDNA) metabarcoding is a promising method to monitor species and community diversity that is rapid, affordable and non-invasive. The longstanding needs of the eDNA community are modular informatics tools, comprehensive and customizable reference databases, flexibility across high-throughput sequencing platforms, fast multilocus metabarcode processing and accurate taxonomic assignment. Improvements in bioinformatics tools make addressing each of these demands within a single toolkit a reality. The new modular metabarcode sequence toolkit Anacapa (https://github.com/limey-bean/Anacapa/) addresses the above needs, allowing users to build comprehensive reference databases and assign taxonomy to raw multilocus metabarcode sequence data. A novel aspect of Anacapa is its database building module, “Creating Reference libraries Using eXisting tools” (CRUX), which generates comprehensive reference databases for specific user-defined metabarcoding loci. The Quality Control and ASV Parsing module sorts and processes multiple metabarcoding loci and processes merged, unmerged and unpaired reads maximizing recovered diversity. DADA2 then detects amplicon sequence variants (ASVs) and the Anacapa Classifier module aligns these ASVs to CRUX-generated reference databases using Bowtie2. Lastly, taxonomy is assigned to ASVs with confidence scores using a Bayesian Lowest Common Ancestor (BLCA) method. The Anacapa Toolkit also includes an r package, ranacapa, for automated results exploration through standard biodiversity statistical analysis. Benchmarking tests verify that the Anacapa Toolkit effectively and efficiently generates comprehensive reference databases that capture taxonomic diversity, and can assign taxonomy to both MiSeq and HiSeq-length sequence data. We demonstrate the value of the Anacapa Toolkit in assigning taxonomy to seawater eDNA samples collected in southern California. The Anacapa Toolkit improves the functionality of eDNA and streamlines biodiversity assessment and management by generating metabarcode specific databases, processing multilocus data, retaining a larger proportion of sequencing reads and expanding non-traditional eDNA targets. All the components of the Anacapa Toolkit are open and available in a virtual container to ease installation.","author":[{"dropping-particle":"","family":"Curd","given":"Emily E.","non-dropping-particle":"","parse-names":false,"suffix":""},{"dropping-particle":"","family":"Gold","given":"Zack","non-dropping-particle":"","parse-names":false,"suffix":""},{"dropping-particle":"","family":"Kandlikar","given":"Gaurav S.","non-dropping-particle":"","parse-names":false,"suffix":""},{"dropping-particle":"","family":"Gomer","given":"Jesse","non-dropping-particle":"","parse-names":false,"suffix":""},{"dropping-particle":"","family":"Ogden","given":"Max","non-dropping-particle":"","parse-names":false,"suffix":""},{"dropping-particle":"","family":"O'Connell","given":"Taylor","non-dropping-particle":"","parse-names":false,"suffix":""},{"dropping-particle":"","family":"Pipes","given":"Lenore","non-dropping-particle":"","parse-names":false,"suffix":""},{"dropping-particle":"","family":"Schweizer","given":"Teia M.","non-dropping-particle":"","parse-names":false,"suffix":""},{"dropping-particle":"","family":"Rabichow","given":"Laura","non-dropping-particle":"","parse-names":false,"suffix":""},{"dropping-particle":"","family":"Lin","given":"Meixi","non-dropping-particle":"","parse-names":false,"suffix":""},{"dropping-particle":"","family":"Shi","given":"Baochen","non-dropping-particle":"","parse-names":false,"suffix":""},{"dropping-particle":"","family":"Barber","given":"Paul H.","non-dropping-particle":"","parse-names":false,"suffix":""},{"dropping-particle":"","family":"Kraft","given":"Nathan","non-dropping-particle":"","parse-names":false,"suffix":""},{"dropping-particle":"","family":"Wayne","given":"Robert","non-dropping-particle":"","parse-names":false,"suffix":""},{"dropping-particle":"","family":"Meyer","given":"Rachel S.","non-dropping-particle":"","parse-names":false,"suffix":""}],"container-title":"Methods in Ecology and Evolution","id":"ITEM-2","issue":"9","issued":{"date-parts":[["2019"]]},"page":"1469-1475","publisher":"British Ecological Society","title":"Anacapa Toolkit: An environmental DNA toolkit for processing multilocus metabarcode datasets","type":"article-journal","volume":"10"},"uris":["http://www.mendeley.com/documents/?uuid=ad58049a-bc81-45af-b79e-07ce67c1969f"]}],"mendeley":{"formattedCitation":"(Edgar, 2018; Curd et al., 2019)","plainTextFormattedCitation":"(Edgar, 2018; Curd et al., 2019)","previouslyFormattedCitation":"(Edgar, 2018; Curd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(Edgar, 2018; Curd et al., 2019)</w:t>
      </w:r>
      <w:r w:rsidR="003A1513" w:rsidRPr="00F15971">
        <w:rPr>
          <w:rFonts w:ascii="Times" w:hAnsi="Times"/>
        </w:rPr>
        <w:fldChar w:fldCharType="end"/>
      </w:r>
      <w:r w:rsidRPr="00F15971">
        <w:rPr>
          <w:rFonts w:ascii="Times" w:hAnsi="Times"/>
        </w:rPr>
        <w:t xml:space="preserve">. Thus to minimize both misclassification and </w:t>
      </w:r>
      <w:proofErr w:type="spellStart"/>
      <w:r w:rsidRPr="00F15971">
        <w:rPr>
          <w:rFonts w:ascii="Times" w:hAnsi="Times"/>
        </w:rPr>
        <w:t>overclassification</w:t>
      </w:r>
      <w:proofErr w:type="spellEnd"/>
      <w:r w:rsidRPr="00F15971">
        <w:rPr>
          <w:rFonts w:ascii="Times" w:hAnsi="Times"/>
        </w:rPr>
        <w:t xml:space="preserve"> of </w:t>
      </w:r>
      <w:r w:rsidRPr="00F15971">
        <w:rPr>
          <w:rFonts w:ascii="Times" w:hAnsi="Times"/>
          <w:i/>
        </w:rPr>
        <w:t xml:space="preserve">CO1 </w:t>
      </w:r>
      <w:r w:rsidRPr="00F15971">
        <w:rPr>
          <w:rFonts w:ascii="Times" w:hAnsi="Times"/>
        </w:rPr>
        <w:t xml:space="preserve">and </w:t>
      </w:r>
      <w:r w:rsidRPr="00F15971">
        <w:rPr>
          <w:rFonts w:ascii="Times" w:hAnsi="Times"/>
          <w:i/>
        </w:rPr>
        <w:t xml:space="preserve">16S </w:t>
      </w:r>
      <w:r w:rsidRPr="00F15971">
        <w:rPr>
          <w:rFonts w:ascii="Times" w:hAnsi="Times"/>
        </w:rPr>
        <w:t>sequences we used a conservative</w:t>
      </w:r>
      <w:r w:rsidR="00D1121C">
        <w:rPr>
          <w:rFonts w:ascii="Times" w:hAnsi="Times"/>
        </w:rPr>
        <w:t xml:space="preserve"> </w:t>
      </w:r>
      <w:r w:rsidRPr="00F15971">
        <w:rPr>
          <w:rFonts w:ascii="Times" w:hAnsi="Times"/>
        </w:rPr>
        <w:t>taxonomic cutoff score of 80 and minimum sequence alignment of 95%.</w:t>
      </w:r>
    </w:p>
    <w:p w14:paraId="2E0A264E" w14:textId="77777777" w:rsidR="00D93307" w:rsidRPr="00F15971" w:rsidRDefault="00D93307" w:rsidP="00D93307">
      <w:pPr>
        <w:pStyle w:val="Heading2"/>
        <w:rPr>
          <w:rFonts w:ascii="Times" w:hAnsi="Times"/>
        </w:rPr>
      </w:pPr>
      <w:bookmarkStart w:id="4" w:name="_vx1227" w:colFirst="0" w:colLast="0"/>
      <w:bookmarkEnd w:id="4"/>
      <w:r w:rsidRPr="00F15971">
        <w:rPr>
          <w:rFonts w:ascii="Times" w:hAnsi="Times"/>
        </w:rPr>
        <w:t>Bioinformatic decontamination</w:t>
      </w:r>
    </w:p>
    <w:p w14:paraId="566C3841" w14:textId="567A9917" w:rsidR="00D93307" w:rsidRPr="00F15971" w:rsidRDefault="00D93307" w:rsidP="00D1121C">
      <w:pPr>
        <w:ind w:firstLine="0"/>
        <w:rPr>
          <w:rFonts w:ascii="Times" w:hAnsi="Times"/>
        </w:rPr>
      </w:pPr>
      <w:r w:rsidRPr="00F15971">
        <w:rPr>
          <w:rFonts w:ascii="Times" w:hAnsi="Times"/>
        </w:rPr>
        <w:t xml:space="preserve">After processing the raw sequence reads through the </w:t>
      </w:r>
      <w:r w:rsidRPr="00F15971">
        <w:rPr>
          <w:rFonts w:ascii="Times" w:hAnsi="Times"/>
          <w:i/>
        </w:rPr>
        <w:t>Anacapa Toolkit</w:t>
      </w:r>
      <w:r w:rsidRPr="00F15971">
        <w:rPr>
          <w:rFonts w:ascii="Times" w:hAnsi="Times"/>
        </w:rPr>
        <w:t xml:space="preserve">, the resulting species community tables were transferred into R (R Core Team 2016) for subsequent decontamination and downstream data analysis using </w:t>
      </w:r>
      <w:proofErr w:type="spellStart"/>
      <w:r w:rsidRPr="00F15971">
        <w:rPr>
          <w:rFonts w:ascii="Times" w:hAnsi="Times"/>
          <w:i/>
        </w:rPr>
        <w:t>phyloseq</w:t>
      </w:r>
      <w:proofErr w:type="spellEnd"/>
      <w:r w:rsidRPr="00F15971">
        <w:rPr>
          <w:rFonts w:ascii="Times" w:hAnsi="Times"/>
        </w:rPr>
        <w:t xml:space="preserve"> (version: 1.32.0)</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{"citationItems":[{"id":"ITEM-1","itemData":{"DOI":"10.1371/journal.pone.0061217","ISSN":"19326203","PMID":"23630581","abstract":"Background:The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data.Results:Here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research.Conclusions:The phyloseq project for R is a new open-source software package, freely available on the web from both GitHub and Bioconductor. © 2013 McMurdie, Holmes.","author":[{"dropping-particle":"","family":"McMurdie","given":"Paul J.","non-dropping-particle":"","parse-names":false,"suffix":""},{"dropping-particle":"","family":"Holmes","given":"Susan","non-dropping-particle":"","parse-names":false,"suffix":""}],"container-title":"PLoS ONE","id":"ITEM-1","issue":"4","issued":{"date-parts":[["2013"]]},"page":"e61217","publisher":"Public Library of Science","title":"Phyloseq: An R Package for Reproducible Interactive Analysis and Graphics of Microbiome Census Data","type":"article-journal","volume":"8"},"uris":["http://www.mendeley.com/documents/?uuid=371ca9dd-db8f-4986-9a4b-4a1815e39fe2"]}],"mendeley":{"formattedCitation":"(McMurdie &amp; Holmes, 2013)","plainTextFormattedCitation":"(McMurdie &amp; Holmes, 2013)","previouslyFormattedCitation":"(McMurdie &amp; Holmes, 2013)"},"properties":{"noteIndex":0},"schema":"https://github.com/citation-style-language/schema/raw/master/csl-citation.json"}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(McMurdie &amp; Holmes, 2013)</w:t>
      </w:r>
      <w:r w:rsidR="003A1513" w:rsidRPr="00F15971">
        <w:rPr>
          <w:rFonts w:ascii="Times" w:hAnsi="Times"/>
        </w:rPr>
        <w:fldChar w:fldCharType="end"/>
      </w:r>
      <w:r w:rsidRPr="00F15971">
        <w:rPr>
          <w:rFonts w:ascii="Times" w:hAnsi="Times"/>
        </w:rPr>
        <w:t xml:space="preserve"> and </w:t>
      </w:r>
      <w:r w:rsidRPr="00F15971">
        <w:rPr>
          <w:rFonts w:ascii="Times" w:hAnsi="Times"/>
          <w:i/>
        </w:rPr>
        <w:t>ranacapa</w:t>
      </w:r>
      <w:r w:rsidRPr="00F15971">
        <w:rPr>
          <w:rFonts w:ascii="Times" w:hAnsi="Times"/>
        </w:rPr>
        <w:t xml:space="preserve"> (version 1.0) </w:t>
      </w:r>
      <w:r w:rsidR="003A1513" w:rsidRPr="00F15971">
        <w:rPr>
          <w:rFonts w:ascii="Times" w:hAnsi="Times"/>
        </w:rPr>
        <w:fldChar w:fldCharType="begin" w:fldLock="1"/>
      </w:r>
      <w:r w:rsidR="003A1513" w:rsidRPr="00F15971">
        <w:rPr>
          <w:rFonts w:ascii="Times" w:hAnsi="Times"/>
        </w:rPr>
        <w:instrText>ADDIN CSL_CITATION {"citationItems":[{"id":"ITEM-1","itemData":{"DOI":"10.12688/f1000research.16680.1","ISSN":"1759796X","PMID":"30613396","abstract":"Environmental DNA (eDNA) metabarcoding is becoming a core tool in ecology and conservation biology, and is being used in a growing number of education, biodiversity monitoring, and public outreach programs in which professional research scientists engage community partners in primary research. Results from eDNA analyses can engage and educate natural resource managers, students, community scientists, and naturalists, but without significant training in bioinformatics, it can be difficult for this diverse audience to interact with eDNA results. Here we present the R package ranacapa, at the core of which is a Shiny web app that helps perform exploratory biodiversity analyses and visualizations of eDNA results. The app requires a taxonomy-by-sample matrix and a simple metadata file with descriptive information about each sample. The app enables users to explore the data with interactive figures and presents results from simple community ecology analyses. We demonstrate the value of ranacapa to two groups of community partners engaging with eDNA metabarcoding results.","author":[{"dropping-particle":"","family":"Kandlikar","given":"Gaurav S.","non-dropping-particle":"","parse-names":false,"suffix":""},{"dropping-particle":"","family":"Gold","given":"Zachary J.","non-dropping-particle":"","parse-names":false,"suffix":""},{"dropping-particle":"","family":"Cowen","given":"Madeline C.","non-dropping-particle":"","parse-names":false,"suffix":""},{"dropping-particle":"","family":"Meyer","given":"Rachel S.","non-dropping-particle":"","parse-names":false,"suffix":""},{"dropping-particle":"","family":"Freise","given":"Amanda C.","non-dropping-particle":"","parse-names":false,"suffix":""},{"dropping-particle":"","family":"Kraft","given":"Nathan J.B.","non-dropping-particle":"","parse-names":false,"suffix":""},{"dropping-particle":"","family":"Moberg-Parker","given":"Jordan","non-dropping-particle":"","parse-names":false,"suffix":""},{"dropping-particle":"","family":"Sprague","given":"Joshua","non-dropping-particle":"","parse-names":false,"suffix":""},{"dropping-particle":"","family":"Kushner","given":"David J.","non-dropping-particle":"","parse-names":false,"suffix":""},{"dropping-particle":"","family":"Curd","given":"Emily E.","non-dropping-particle":"","parse-names":false,"suffix":""}],"container-title":"F1000Research","id":"ITEM-1","issued":{"date-parts":[["2018"]]},"page":"1734","publisher":"Faculty of 1000 Ltd","title":"Ranacapa: An R package and shiny web app to explore environmental DNA data with exploratory statistics and interactive visualizations [version 1; referees: 1 approved, 2 approved with reservations]","type":"article-journal","volume":"7"},"uris":["http://www.mendeley.com/documents/?uuid=42dfc1d9-4d1e-3820-8776-3ef0f2aeb874"]}],"mendeley":{"formattedCitation":"(Kandlikar et al., 2018)","plainTextFormattedCitation":"(Kandlikar et al., 2018)","previouslyFormattedCitation":"(Kandlikar et al., 2018)"},"properties":{"noteIndex":0},"schema":"https://github.com/citation-style-language/schema/raw/master/csl-citation.json"}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(Kandlikar et al., 2018)</w:t>
      </w:r>
      <w:r w:rsidR="003A1513" w:rsidRPr="00F15971">
        <w:rPr>
          <w:rFonts w:ascii="Times" w:hAnsi="Times"/>
        </w:rPr>
        <w:fldChar w:fldCharType="end"/>
      </w:r>
      <w:r w:rsidR="003A1513" w:rsidRPr="00F15971">
        <w:rPr>
          <w:rFonts w:ascii="Times" w:hAnsi="Times"/>
        </w:rPr>
        <w:t xml:space="preserve"> </w:t>
      </w:r>
      <w:r w:rsidRPr="00F15971">
        <w:rPr>
          <w:rFonts w:ascii="Times" w:hAnsi="Times"/>
          <w:i/>
        </w:rPr>
        <w:t>R</w:t>
      </w:r>
      <w:r w:rsidRPr="00F15971">
        <w:rPr>
          <w:rFonts w:ascii="Times" w:hAnsi="Times"/>
        </w:rPr>
        <w:t xml:space="preserve"> packages. The raw species community table needs to be decontaminated to eliminate potential field contamination, lab contamination, and sequence index hopping </w:t>
      </w:r>
      <w:r w:rsidR="003A1513" w:rsidRPr="00F15971">
        <w:rPr>
          <w:rFonts w:ascii="Times" w:hAnsi="Times"/>
        </w:rPr>
        <w:fldChar w:fldCharType="begin" w:fldLock="1"/>
      </w:r>
      <w:r w:rsidR="003A1513" w:rsidRPr="00F15971">
        <w:rPr>
          <w:rFonts w:ascii="Times" w:hAnsi="Times"/>
        </w:rPr>
        <w:instrText>ADDIN CSL_CITATION {"citationItems":[{"id":"ITEM-1","itemData":{"DOI":"10.1111/2041-210X.12595","ISSN":"2041210X","abstract":"Species detection using environmental DNA (eDNA) has tremendous potential for contributing to the understanding of the ecology and conservation of aquatic species. Detecting species using eDNA methods, rather than directly sampling the organisms, can reduce impacts on sensitive species and increase the power of field surveys for rare and elusive species. The sensitivity of eDNA methods, however, requires a heightened awareness and attention to quality assurance and quality control protocols. Additionally, the interpretation of eDNA data demands careful consideration of multiple factors. As eDNA methods have grown in application, diverse approaches have been implemented to address these issues. With interest in eDNA continuing to expand, supportive guidelines for undertaking eDNA studies are greatly needed. Environmental DNA researchers from around the world have collaborated to produce this set of guidelines and considerations for implementing eDNA methods to detect aquatic macroorganisms. Critical considerations for study design include preventing contamination in the field and the laboratory, choosing appropriate sample analysis methods, validating assays, testing for sample inhibition and following minimum reporting guidelines. Critical considerations for inference include temporal and spatial processes, limits of correlation of eDNA with abundance, uncertainty of positive and negative results, and potential sources of allochthonous DNA. We present a synthesis of knowledge at this stage for application of this new and powerful detection method.","author":[{"dropping-particle":"","family":"Goldberg","given":"Caren S.","non-dropping-particle":"","parse-names":false,"suffix":""},{"dropping-particle":"","family":"Turner","given":"Cameron R.","non-dropping-particle":"","parse-names":false,"suffix":""},{"dropping-particle":"","family":"Deiner","given":"Kristy","non-dropping-particle":"","parse-names":false,"suffix":""},{"dropping-particle":"","family":"Klymus","given":"Katy E.","non-dropping-particle":"","parse-names":false,"suffix":""},{"dropping-particle":"","family":"Thomsen","given":"Philip Francis","non-dropping-particle":"","parse-names":false,"suffix":""},{"dropping-particle":"","family":"Murphy","given":"Melanie A.","non-dropping-particle":"","parse-names":false,"suffix":""},{"dropping-particle":"","family":"Spear","given":"Stephen F.","non-dropping-particle":"","parse-names":false,"suffix":""},{"dropping-particle":"","family":"McKee","given":"Anna","non-dropping-particle":"","parse-names":false,"suffix":""},{"dropping-particle":"","family":"Oyler-McCance","given":"Sara J.","non-dropping-particle":"","parse-names":false,"suffix":""},{"dropping-particle":"","family":"Cornman","given":"Robert Scott","non-dropping-particle":"","parse-names":false,"suffix":""},{"dropping-particle":"","family":"Laramie","given":"Matthew B.","non-dropping-particle":"","parse-names":false,"suffix":""},{"dropping-particle":"","family":"Mahon","given":"Andrew R.","non-dropping-particle":"","parse-names":false,"suffix":""},{"dropping-particle":"","family":"Lance","given":"Richard F.","non-dropping-particle":"","parse-names":false,"suffix":""},{"dropping-particle":"","family":"Pilliod","given":"David S.","non-dropping-particle":"","parse-names":false,"suffix":""},{"dropping-particle":"","family":"Strickler","given":"Katherine M.","non-dropping-particle":"","parse-names":false,"suffix":""},{"dropping-particle":"","family":"Waits","given":"Lisette P.","non-dropping-particle":"","parse-names":false,"suffix":""},{"dropping-particle":"","family":"Fremier","given":"Alexander K.","non-dropping-particle":"","parse-names":false,"suffix":""},{"dropping-particle":"","family":"Takahara","given":"Teruhiko","non-dropping-particle":"","parse-names":false,"suffix":""},{"dropping-particle":"","family":"Herder","given":"Jelger E.","non-dropping-particle":"","parse-names":false,"suffix":""},{"dropping-particle":"","family":"Taberlet","given":"Pierre","non-dropping-particle":"","parse-names":false,"suffix":""}],"container-title":"Methods in Ecology and Evolution","id":"ITEM-1","issue":"11","issued":{"date-parts":[["2016"]]},"page":"1299-1307","title":"Critical considerations for the application of environmental DNA methods to detect aquatic species","type":"article-journal","volume":"7"},"uris":["http://www.mendeley.com/documents/?uuid=19a1528b-d3c6-357c-ab14-3d585ff6a8d9"]},{"id":"ITEM-2","itemData":{"DOI":"10.1186/s12864-018-4703-0","ISSN":"14712164","PMID":"29739332","abstract":"Background: Here we present an in-depth characterization of the mechanism of sequencer-induced sample contamination due to the phenomenon of index swapping that impacts Illumina sequencers employing patterned flow cells with Exclusion Amplification (ExAmp) chemistry (HiSeqX, HiSeq4000, and NovaSeq). We also present a remediation method that minimizes the impact of such swaps. Results: Leveraging data collected over a two-year period, we demonstrate the widespread prevalence of index swapping in patterned flow cell data. We calculate mean swap rates across multiple sample preparation methods and sequencer models, demonstrating that different library methods can have vastly different swapping rates and that even non-ExAmp chemistry instruments display trace levels of index swapping. We provide methods for eliminating sample data cross contamination by utilizing non-redundant dual indexing for complete filtering of index swapped reads, and share the sequences for 96 non-combinatorial dual indexes we have validated across various library preparation methods and sequencer models. Finally, using computational methods we provide a greater insight into the mechanism of index swapping. Conclusions: Index swapping in pooled libraries is a prevalent phenomenon that we observe at a rate of 0.2 to 6% in all sequencing runs on HiSeqX, HiSeq 4000/3000, and NovaSeq. Utilizing non-redundant dual indexing allows for the removal (flagging/filtering) of these swapped reads and eliminates swapping induced sample contamination, which is critical for sensitive applications such as RNA-seq, single cell, blood biopsy using circulating tumor DNA, or clinical sequencing.","author":[{"dropping-particle":"","family":"Costello","given":"Maura","non-dropping-particle":"","parse-names":false,"suffix":""},{"dropping-particle":"","family":"Fleharty","given":"Mark","non-dropping-particle":"","parse-names":false,"suffix":""},{"dropping-particle":"","family":"Abreu","given":"Justin","non-dropping-particle":"","parse-names":false,"suffix":""},{"dropping-particle":"","family":"Farjoun","given":"Yossi","non-dropping-particle":"","parse-names":false,"suffix":""},{"dropping-particle":"","family":"Ferriera","given":"Steven","non-dropping-particle":"","parse-names":false,"suffix":""},{"dropping-particle":"","family":"Holmes","given":"Laurie","non-dropping-particle":"","parse-names":false,"suffix":""},{"dropping-particle":"","family":"Granger","given":"Brian","non-dropping-particle":"","parse-names":false,"suffix":""},{"dropping-particle":"","family":"Green","given":"Lisa","non-dropping-particle":"","parse-names":false,"suffix":""},{"dropping-particle":"","family":"Howd","given":"Tom","non-dropping-particle":"","parse-names":false,"suffix":""},{"dropping-particle":"","family":"Mason","given":"Tamara","non-dropping-particle":"","parse-names":false,"suffix":""},{"dropping-particle":"","family":"Vicente","given":"Gina","non-dropping-particle":"","parse-names":false,"suffix":""},{"dropping-particle":"","family":"Dasilva","given":"Michael","non-dropping-particle":"","parse-names":false,"suffix":""},{"dropping-particle":"","family":"Brodeur","given":"Wendy","non-dropping-particle":"","parse-names":false,"suffix":""},{"dropping-particle":"","family":"DeSmet","given":"Timothy","non-dropping-particle":"","parse-names":false,"suffix":""},{"dropping-particle":"","family":"Dodge","given":"Sheila","non-dropping-particle":"","parse-names":false,"suffix":""},{"dropping-particle":"","family":"Lennon","given":"Niall J.","non-dropping-particle":"","parse-names":false,"suffix":""},{"dropping-particle":"","family":"Gabriel","given":"Stacey","non-dropping-particle":"","parse-names":false,"suffix":""}],"container-title":"BMC Genomics","id":"ITEM-2","issue":"1","issued":{"date-parts":[["2018"]]},"page":"332","publisher":"BioMed Central","title":"Characterization and remediation of sample index swaps by non-redundant dual indexing on massively parallel sequencing platforms","type":"article-journal","volume":"19"},"uris":["http://www.mendeley.com/documents/?uuid=8ea22c07-b4d0-4041-844c-0fce70840220"]}],"mendeley":{"formattedCitation":"(Goldberg et al., 2016; Costello et al., 2018)","plainTextFormattedCitation":"(Goldberg et al., 2016; Costello et al., 2018)","previouslyFormattedCitation":"(Goldberg et al., 2016; Costello et al., 2018)"},"properties":{"noteIndex":0},"schema":"https://github.com/citation-style-language/schema/raw/master/csl-citation.json"}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(Goldberg et al., 2016; Costello et al., 2018)</w:t>
      </w:r>
      <w:r w:rsidR="003A1513" w:rsidRPr="00F15971">
        <w:rPr>
          <w:rFonts w:ascii="Times" w:hAnsi="Times"/>
        </w:rPr>
        <w:fldChar w:fldCharType="end"/>
      </w:r>
      <w:r w:rsidRPr="00F15971">
        <w:rPr>
          <w:rFonts w:ascii="Times" w:hAnsi="Times"/>
        </w:rPr>
        <w:t xml:space="preserve">. Field and lab contamination can arise because of inadequate sterile procedures, careless laboratory work, and reagents, particularly enzymes which are generated from living organisms </w:t>
      </w:r>
      <w:r w:rsidR="003A1513" w:rsidRPr="00F15971">
        <w:rPr>
          <w:rFonts w:ascii="Times" w:hAnsi="Times"/>
        </w:rPr>
        <w:fldChar w:fldCharType="begin" w:fldLock="1"/>
      </w:r>
      <w:r w:rsidR="003A1513" w:rsidRPr="00F15971">
        <w:rPr>
          <w:rFonts w:ascii="Times" w:hAnsi="Times"/>
        </w:rPr>
        <w:instrText>ADDIN CSL_CITATION {"citationItems":[{"id":"ITEM-1","itemData":{"DOI":"10.1111/2041-210X.12595","ISSN":"2041210X","abstract":"Species detection using environmental DNA (eDNA) has tremendous potential for contributing to the understanding of the ecology and conservation of aquatic species. Detecting species using eDNA methods, rather than directly sampling the organisms, can reduce impacts on sensitive species and increase the power of field surveys for rare and elusive species. The sensitivity of eDNA methods, however, requires a heightened awareness and attention to quality assurance and quality control protocols. Additionally, the interpretation of eDNA data demands careful consideration of multiple factors. As eDNA methods have grown in application, diverse approaches have been implemented to address these issues. With interest in eDNA continuing to expand, supportive guidelines for undertaking eDNA studies are greatly needed. Environmental DNA researchers from around the world have collaborated to produce this set of guidelines and considerations for implementing eDNA methods to detect aquatic macroorganisms. Critical considerations for study design include preventing contamination in the field and the laboratory, choosing appropriate sample analysis methods, validating assays, testing for sample inhibition and following minimum reporting guidelines. Critical considerations for inference include temporal and spatial processes, limits of correlation of eDNA with abundance, uncertainty of positive and negative results, and potential sources of allochthonous DNA. We present a synthesis of knowledge at this stage for application of this new and powerful detection method.","author":[{"dropping-particle":"","family":"Goldberg","given":"Caren S.","non-dropping-particle":"","parse-names":false,"suffix":""},{"dropping-particle":"","family":"Turner","given":"Cameron R.","non-dropping-particle":"","parse-names":false,"suffix":""},{"dropping-particle":"","family":"Deiner","given":"Kristy","non-dropping-particle":"","parse-names":false,"suffix":""},{"dropping-particle":"","family":"Klymus","given":"Katy E.","non-dropping-particle":"","parse-names":false,"suffix":""},{"dropping-particle":"","family":"Thomsen","given":"Philip Francis","non-dropping-particle":"","parse-names":false,"suffix":""},{"dropping-particle":"","family":"Murphy","given":"Melanie A.","non-dropping-particle":"","parse-names":false,"suffix":""},{"dropping-particle":"","family":"Spear","given":"Stephen F.","non-dropping-particle":"","parse-names":false,"suffix":""},{"dropping-particle":"","family":"McKee","given":"Anna","non-dropping-particle":"","parse-names":false,"suffix":""},{"dropping-particle":"","family":"Oyler-McCance","given":"Sara J.","non-dropping-particle":"","parse-names":false,"suffix":""},{"dropping-particle":"","family":"Cornman","given":"Robert Scott","non-dropping-particle":"","parse-names":false,"suffix":""},{"dropping-particle":"","family":"Laramie","given":"Matthew B.","non-dropping-particle":"","parse-names":false,"suffix":""},{"dropping-particle":"","family":"Mahon","given":"Andrew R.","non-dropping-particle":"","parse-names":false,"suffix":""},{"dropping-particle":"","family":"Lance","given":"Richard F.","non-dropping-particle":"","parse-names":false,"suffix":""},{"dropping-particle":"","family":"Pilliod","given":"David S.","non-dropping-particle":"","parse-names":false,"suffix":""},{"dropping-particle":"","family":"Strickler","given":"Katherine M.","non-dropping-particle":"","parse-names":false,"suffix":""},{"dropping-particle":"","family":"Waits","given":"Lisette P.","non-dropping-particle":"","parse-names":false,"suffix":""},{"dropping-particle":"","family":"Fremier","given":"Alexander K.","non-dropping-particle":"","parse-names":false,"suffix":""},{"dropping-particle":"","family":"Takahara","given":"Teruhiko","non-dropping-particle":"","parse-names":false,"suffix":""},{"dropping-particle":"","family":"Herder","given":"Jelger E.","non-dropping-particle":"","parse-names":false,"suffix":""},{"dropping-particle":"","family":"Taberlet","given":"Pierre","non-dropping-particle":"","parse-names":false,"suffix":""}],"container-title":"Methods in Ecology and Evolution","id":"ITEM-1","issue":"11","issued":{"date-parts":[["2016"]]},"page":"1299-1307","title":"Critical considerations for the application of environmental DNA methods to detect aquatic species","type":"article-journal","volume":"7"},"uris":["http://www.mendeley.com/documents/?uuid=19a1528b-d3c6-357c-ab14-3d585ff6a8d9"]}],"mendeley":{"formattedCitation":"(Goldberg et al., 2016)","plainTextFormattedCitation":"(Goldberg et al., 2016)","previouslyFormattedCitation":"(Goldberg et al., 2016)"},"properties":{"noteIndex":0},"schema":"https://github.com/citation-style-language/schema/raw/master/csl-citation.json"}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(Goldberg et al., 2016)</w:t>
      </w:r>
      <w:r w:rsidR="003A1513" w:rsidRPr="00F15971">
        <w:rPr>
          <w:rFonts w:ascii="Times" w:hAnsi="Times"/>
        </w:rPr>
        <w:fldChar w:fldCharType="end"/>
      </w:r>
      <w:r w:rsidRPr="00F15971">
        <w:rPr>
          <w:rFonts w:ascii="Times" w:hAnsi="Times"/>
        </w:rPr>
        <w:t>. Sequence index hopping occurs when the DNA index tag used to label each unique sample chemically swaps with the DNA index tag of another sample, leading to cross contamination of species between samples. However, to address these sources of contamination, we followed rigorous sterile procedures and sequenced our libraries on the MiSeq platform that has less index hopping compared to Illumina sequencers that use patterned flow cells.</w:t>
      </w:r>
    </w:p>
    <w:p w14:paraId="10B6FF1E" w14:textId="6466AF2A" w:rsidR="00D93307" w:rsidRPr="00F15971" w:rsidRDefault="00D93307" w:rsidP="00D93307">
      <w:pPr>
        <w:rPr>
          <w:rFonts w:ascii="Times" w:hAnsi="Times"/>
        </w:rPr>
      </w:pPr>
      <w:r w:rsidRPr="00F15971">
        <w:rPr>
          <w:rFonts w:ascii="Times" w:hAnsi="Times"/>
        </w:rPr>
        <w:t>In addition to these precautionary steps, we also implemented a decontamination procedure that eliminates any remaining sources of contamination (</w:t>
      </w:r>
      <w:r w:rsidR="003A1513" w:rsidRPr="00F15971">
        <w:rPr>
          <w:rFonts w:ascii="Times" w:hAnsi="Times"/>
        </w:rPr>
        <w:fldChar w:fldCharType="begin" w:fldLock="1"/>
      </w:r>
      <w:r w:rsidR="003A1513" w:rsidRPr="00F15971">
        <w:rPr>
          <w:rFonts w:ascii="Times" w:hAnsi="Times"/>
        </w:rPr>
        <w:instrText>ADDIN CSL_CITATION {"citationItems":[{"id":"ITEM-1","itemData":{"DOI":"10.7717/peerj.4521","ISSN":"21678359","abstract":"We can recover genetic information from organisms of all kinds using environmental sampling. In recent years, sequencing this environmental DNA (eDNA) has become a tractable means of surveying many species using water, air, or soil samples. The technique is beginning to become a core tool for ecologists, environmental scientists, and biologists of many kinds, but the temporal resolution of eDNA sampling is often unclear, limiting the ecological interpretations of the resulting datasets. Here, in a temporally and spatially replicated field study using ca. 313 bp of eukaryotic COI mtDNA as a marker, we find that nearshore organismal communities are largely consistent across tides. Our findings suggest that nearshore eDNA from both benthic and planktonic taxa tends to be endogenous to the site and water mass sampled, rather than changing with each tidal cycle. However, where physiochemical water mass characteristics change, we find that the relative contributions of a broad range of organisms to eDNA communities shift in concert.","author":[{"dropping-particle":"","family":"Kelly","given":"Ryan P.","non-dropping-particle":"","parse-names":false,"suffix":""},{"dropping-particle":"","family":"Gallego","given":"Ramón","non-dropping-particle":"","parse-names":false,"suffix":""},{"dropping-particle":"","family":"Jacobs-Palme","given":"Emily","non-dropping-particle":"","parse-names":false,"suffix":""}],"container-title":"PeerJ","id":"ITEM-1","issue":"3","issued":{"date-parts":[["2018"]]},"page":"e4521","publisher":"PeerJ Inc.","title":"The effect of tides on nearshore environmental DNA","type":"article-journal","volume":"2018"},"uris":["http://www.mendeley.com/documents/?uuid=eebe8284-ca4f-4284-831b-167deca00235"]}],"mendeley":{"formattedCitation":"(Kelly, Gallego &amp; Jacobs-Palme, 2018)","manualFormatting":"Kelly, Gallego &amp; Jacobs-Palme, 2018 ","plainTextFormattedCitation":"(Kelly, Gallego &amp; Jacobs-Palme, 2018)","previouslyFormattedCitation":"(Kelly, Gallego &amp; Jacobs-Palme, 2018)"},"properties":{"noteIndex":0},"schema":"https://github.com/citation-style-language/schema/raw/master/csl-citation.json"}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 xml:space="preserve">Kelly, Gallego &amp; Jacobs-Palme, 2018 </w:t>
      </w:r>
      <w:r w:rsidR="003A1513" w:rsidRPr="00F15971">
        <w:rPr>
          <w:rFonts w:ascii="Times" w:hAnsi="Times"/>
        </w:rPr>
        <w:fldChar w:fldCharType="end"/>
      </w:r>
      <w:r w:rsidRPr="00F15971">
        <w:rPr>
          <w:rFonts w:ascii="Times" w:hAnsi="Times"/>
        </w:rPr>
        <w:t xml:space="preserve">[supplemental methods], </w:t>
      </w:r>
      <w:r w:rsidR="003A1513" w:rsidRPr="00F15971">
        <w:rPr>
          <w:rFonts w:ascii="Times" w:hAnsi="Times"/>
        </w:rPr>
        <w:fldChar w:fldCharType="begin" w:fldLock="1"/>
      </w:r>
      <w:r w:rsidR="003A1513" w:rsidRPr="00F15971">
        <w:rPr>
          <w:rFonts w:ascii="Times" w:hAnsi="Times"/>
        </w:rPr>
        <w:instrText>ADDIN CSL_CITATION {"citationItems":[{"id":"ITEM-1","itemData":{"DOI":"10.1038/s41598-019-48546-x","ISSN":"20452322","PMID":"31431641","abstract":"As environmental DNA (eDNA) studies have grown in popularity for use in ecological applications, it has become clear that their results differ in significant ways from those of traditional, non-PCR-based surveys. In general, eDNA studies that rely on amplicon sequencing may detect hundreds of species present in a sampled environment, but the resulting species composition can be idiosyncratic, reflecting species’ true biomass abundances poorly or not at all. Here, we use a set of simulations to develop a mechanistic understanding of the processes leading to the kinds of results common in mixed-template PCR-based (metabarcoding) studies. In particular, we focus on the effects of PCR cycle number and primer amplification efficiency on the results of diversity metrics in sequencing studies. We then show that proportional indices of amplicon reads capture trends in taxon biomass with high accuracy, particularly where amplification efficiency is high (median correlation up to 0.97). Our results explain much of the observed behavior of PCR-based studies, and lead to recommendations for best practices in the field.","author":[{"dropping-particle":"","family":"Kelly","given":"Ryan P.","non-dropping-particle":"","parse-names":false,"suffix":""},{"dropping-particle":"","family":"Shelton","given":"Andrew Olaf","non-dropping-particle":"","parse-names":false,"suffix":""},{"dropping-particle":"","family":"Gallego","given":"Ramón","non-dropping-particle":"","parse-names":false,"suffix":""}],"container-title":"Scientific Reports","id":"ITEM-1","issue":"1","issued":{"date-parts":[["2019"]]},"page":"1-14","publisher":"Nature Publishing Group","title":"Understanding PCR Processes to Draw Meaningful Conclusions from Environmental DNA Studies","type":"article-journal","volume":"9"},"uris":["http://www.mendeley.com/documents/?uuid=daaa96b9-1644-46f7-bf30-95a34efb76c1"]}],"mendeley":{"formattedCitation":"(Kelly, Shelton &amp; Gallego, 2019)","manualFormatting":"Kelly, Shelton &amp; Gallego, 2019 ","plainTextFormattedCitation":"(Kelly, Shelton &amp; Gallego, 2019)","previouslyFormattedCitation":"(Kelly, Shelton &amp; Gallego,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 xml:space="preserve">Kelly, Shelton &amp; Gallego, 2019 </w:t>
      </w:r>
      <w:r w:rsidR="003A1513" w:rsidRPr="00F15971">
        <w:rPr>
          <w:rFonts w:ascii="Times" w:hAnsi="Times"/>
        </w:rPr>
        <w:fldChar w:fldCharType="end"/>
      </w:r>
      <w:r w:rsidRPr="00F15971">
        <w:rPr>
          <w:rFonts w:ascii="Times" w:hAnsi="Times"/>
        </w:rPr>
        <w:t xml:space="preserve">[supplemental methods], </w:t>
      </w:r>
      <w:r w:rsidR="003A1513" w:rsidRPr="00F15971">
        <w:rPr>
          <w:rFonts w:ascii="Times" w:hAnsi="Times"/>
        </w:rPr>
        <w:fldChar w:fldCharType="begin" w:fldLock="1"/>
      </w:r>
      <w:r w:rsidR="003A1513" w:rsidRPr="00F15971">
        <w:rPr>
          <w:rFonts w:ascii="Times" w:hAnsi="Times"/>
        </w:rPr>
        <w:instrText>ADDIN CSL_CITATION {"citationItems":[{"id":"ITEM-1","itemData":{"DOI":"10.1098/rspb.2020.2424rspb","ISSN":"14712954","PMID":"33290686","abstract":"Studies of the ecological effects of global change often focus on one or a few species at a time. Consequently, we know relatively little about the changes underway at real-world scales of biological communities, which typically have hundreds or thousands of interacting species. Here, we use COI mtDNA amplicons from monthly samples of environmental DNA to survey 221 planktonic taxa along a gradient of temperature, salinity, dissolved oxygen and carbonate chemistry in nearshore marine habitat. The result is a high-resolution picture of changes in ecological communities using a technique replicable across a wide variety of ecosystems. We estimate community-level differences associated with time, space and environmental variables, and use these results to forecast near-term community changes due to warming and ocean acidification. We find distinct communities in warmer and more acidified conditions, with overall reduced richness in diatom assemblages and increased richness in dinoflagellates. Individual taxa finding more suitable habitat in near-future waters are more taxonomically varied and include the ubiquitous coccolithophore Emiliania huxleyi and the harmful dinoflagellate Alexandrium sp. These results suggest foundational changes for nearshore food webs under near-future conditions.","author":[{"dropping-particle":"","family":"Gallego","given":"Ramón","non-dropping-particle":"","parse-names":false,"suffix":""},{"dropping-particle":"","family":"Jacobs-Palmer","given":"Emily","non-dropping-particle":"","parse-names":false,"suffix":""},{"dropping-particle":"","family":"Cribari","given":"Kelly","non-dropping-particle":"","parse-names":false,"suffix":""},{"dropping-particle":"","family":"Kelly","given":"Ryan P.","non-dropping-particle":"","parse-names":false,"suffix":""}],"container-title":"Proceedings of the Royal Society B: Biological Sciences","id":"ITEM-1","issue":"1940","issued":{"date-parts":[["2020"]]},"page":"20202424","publisher":"The Royal Society","title":"Environmental DNA metabarcoding reveals winners and losers of global change in coastal waters: EDNA and climate change","type":"article-journal","volume":"287"},"uris":["http://www.mendeley.com/documents/?uuid=b10aba11-313a-4c63-a5ee-d09465552767"]}],"mendeley":{"formattedCitation":"(Gallego et al., 2020)","manualFormatting":"Gallego et al., 2020","plainTextFormattedCitation":"(Gallego et al., 2020)","previouslyFormattedCitation":"(Gallego et al., 2020)"},"properties":{"noteIndex":0},"schema":"https://github.com/citation-style-language/schema/raw/master/csl-citation.json"}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Gallego et al., 2020</w:t>
      </w:r>
      <w:r w:rsidR="003A1513" w:rsidRPr="00F15971">
        <w:rPr>
          <w:rFonts w:ascii="Times" w:hAnsi="Times"/>
        </w:rPr>
        <w:fldChar w:fldCharType="end"/>
      </w:r>
      <w:r w:rsidR="003A1513" w:rsidRPr="00F15971">
        <w:rPr>
          <w:rFonts w:ascii="Times" w:hAnsi="Times"/>
        </w:rPr>
        <w:t xml:space="preserve"> [supplemental methods]</w:t>
      </w:r>
      <w:r w:rsidRPr="00F15971">
        <w:rPr>
          <w:rFonts w:ascii="Times" w:hAnsi="Times"/>
        </w:rPr>
        <w:t xml:space="preserve">). One approach for decontamination is to subtract reads based on the prevalence of ASVs in negative control </w:t>
      </w:r>
      <w:r w:rsidR="003A1513" w:rsidRPr="00F15971">
        <w:rPr>
          <w:rFonts w:ascii="Times" w:hAnsi="Times"/>
        </w:rPr>
        <w:fldChar w:fldCharType="begin" w:fldLock="1"/>
      </w:r>
      <w:r w:rsidR="003A1513" w:rsidRPr="00F15971">
        <w:rPr>
          <w:rFonts w:ascii="Times" w:hAnsi="Times"/>
        </w:rPr>
        <w:instrText>ADDIN CSL_CITATION {"citationItems":[{"id":"ITEM-1","itemData":{"DOI":"10.1002/edn3.11","ISSN":"26374943","abstract":"Contamination is a ubiquitous problem in microbiome research and can skew results, especially when small amounts of target DNA are available. Nevertheless, no clear solution has emerged for removing microbial contamination. To address this problem, we developed the R package microDecon (https://github.com/donaldtmcknight/microDecon), which uses the proportions of contaminant operational taxonomic units (OTUs) or amplicon sequence variants (ASVs) in blank samples to systematically identify and remove contaminant reads from metabarcoding data sets. We rigorously tested microDecon using a series of computer simulations and a sequencing experiment. We also compared it to the common practice of simply removing all contaminant OTUs/ASVs and other methods for removing contamination. Both the computer simulations and our sequencing data confirmed the utility of microDecon. In our largest simulation (100,000 samples), using microDecon improved the results in 98.1% of samples. Additionally, in the sequencing data and in simulations involving groups, it enabled accurate clustering of groups as well as the detection of previously obscured patterns. It also produced more accurate results than the existing methods for identifying and removing contamination. These results demonstrate that microDecon effectively removes contamination across a broad range of situations. It should, therefore, be widely applicable to microbiome studies, as well as to metabarcoding studies in general.","author":[{"dropping-particle":"","family":"McKnight","given":"Donald T.","non-dropping-particle":"","parse-names":false,"suffix":""},{"dropping-particle":"","family":"Huerlimann","given":"Roger","non-dropping-particle":"","parse-names":false,"suffix":""},{"dropping-particle":"","family":"Bower","given":"Deborah S.","non-dropping-particle":"","parse-names":false,"suffix":""},{"dropping-particle":"","family":"Schwarzkopf","given":"Lin","non-dropping-particle":"","parse-names":false,"suffix":""},{"dropping-particle":"","family":"Alford","given":"Ross A.","non-dropping-particle":"","parse-names":false,"suffix":""},{"dropping-particle":"","family":"Zenger","given":"Kyall R.","non-dropping-particle":"","parse-names":false,"suffix":""}],"container-title":"Environmental DNA","id":"ITEM-1","issue":"1","issued":{"date-parts":[["2019"]]},"page":"14-25","publisher":"Wiley Online Library","title":"microDecon: A highly accurate read-subtraction tool for the post-sequencing removal of contamination in metabarcoding studies","type":"article-journal","volume":"1"},"uris":["http://www.mendeley.com/documents/?uuid=fab862d6-ab3a-4ce0-9c6b-6f57d51c6dce"]}],"mendeley":{"formattedCitation":"(McKnight et al., 2019)","plainTextFormattedCitation":"(McKnight et al., 2019)","previouslyFormattedCitation":"(McKnight et al., 2019)"},"properties":{"noteIndex":0},"schema":"https://github.com/citation-style-language/schema/raw/master/csl-citation.json"}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(McKnight et al., 2019)</w:t>
      </w:r>
      <w:r w:rsidR="003A1513" w:rsidRPr="00F15971">
        <w:rPr>
          <w:rFonts w:ascii="Times" w:hAnsi="Times"/>
        </w:rPr>
        <w:fldChar w:fldCharType="end"/>
      </w:r>
      <w:r w:rsidRPr="00F15971">
        <w:rPr>
          <w:rFonts w:ascii="Times" w:hAnsi="Times"/>
        </w:rPr>
        <w:t>. However, index hopping or cross-contamination can also result in the presence of abundant ASVs from true samples in negative controls</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{"citationItems":[{"id":"ITEM-1","itemData":{"DOI":"10.1186/s12864-018-4703-0","ISSN":"14712164","PMID":"29739332","abstract":"Background: Here we present an in-depth characterization of the mechanism of sequencer-induced sample contamination due to the phenomenon of index swapping that impacts Illumina sequencers employing patterned flow cells with Exclusion Amplification (ExAmp) chemistry (HiSeqX, HiSeq4000, and NovaSeq). We also present a remediation method that minimizes the impact of such swaps. Results: Leveraging data collected over a two-year period, we demonstrate the widespread prevalence of index swapping in patterned flow cell data. We calculate mean swap rates across multiple sample preparation methods and sequencer models, demonstrating that different library methods can have vastly different swapping rates and that even non-ExAmp chemistry instruments display trace levels of index swapping. We provide methods for eliminating sample data cross contamination by utilizing non-redundant dual indexing for complete filtering of index swapped reads, and share the sequences for 96 non-combinatorial dual indexes we have validated across various library preparation methods and sequencer models. Finally, using computational methods we provide a greater insight into the mechanism of index swapping. Conclusions: Index swapping in pooled libraries is a prevalent phenomenon that we observe at a rate of 0.2 to 6% in all sequencing runs on HiSeqX, HiSeq 4000/3000, and NovaSeq. Utilizing non-redundant dual indexing allows for the removal (flagging/filtering) of these swapped reads and eliminates swapping induced sample contamination, which is critical for sensitive applications such as RNA-seq, single cell, blood biopsy using circulating tumor DNA, or clinical sequencing.","author":[{"dropping-particle":"","family":"Costello","given":"Maura","non-dropping-particle":"","parse-names":false,"suffix":""},{"dropping-particle":"","family":"Fleharty","given":"Mark","non-dropping-particle":"","parse-names":false,"suffix":""},{"dropping-particle":"","family":"Abreu","given":"Justin","non-dropping-particle":"","parse-names":false,"suffix":""},{"dropping-particle":"","family":"Farjoun","given":"Yossi","non-dropping-particle":"","parse-names":false,"suffix":""},{"dropping-particle":"","family":"Ferriera","given":"Steven","non-dropping-particle":"","parse-names":false,"suffix":""},{"dropping-particle":"","family":"Holmes","given":"Laurie","non-dropping-particle":"","parse-names":false,"suffix":""},{"dropping-particle":"","family":"Granger","given":"Brian","non-dropping-particle":"","parse-names":false,"suffix":""},{"dropping-particle":"","family":"Green","given":"Lisa","non-dropping-particle":"","parse-names":false,"suffix":""},{"dropping-particle":"","family":"Howd","given":"Tom","non-dropping-particle":"","parse-names":false,"suffix":""},{"dropping-particle":"","family":"Mason","given":"Tamara","non-dropping-particle":"","parse-names":false,"suffix":""},{"dropping-particle":"","family":"Vicente","given":"Gina","non-dropping-particle":"","parse-names":false,"suffix":""},{"dropping-particle":"","family":"Dasilva","given":"Michael","non-dropping-particle":"","parse-names":false,"suffix":""},{"dropping-particle":"","family":"Brodeur","given":"Wendy","non-dropping-particle":"","parse-names":false,"suffix":""},{"dropping-particle":"","family":"DeSmet","given":"Timothy","non-dropping-particle":"","parse-names":false,"suffix":""},{"dropping-particle":"","family":"Dodge","given":"Sheila","non-dropping-particle":"","parse-names":false,"suffix":""},{"dropping-particle":"","family":"Lennon","given":"Niall J.","non-dropping-particle":"","parse-names":false,"suffix":""},{"dropping-particle":"","family":"Gabriel","given":"Stacey","non-dropping-particle":"","parse-names":false,"suffix":""}],"container-title":"BMC Genomics","id":"ITEM-1","issue":"1","issued":{"date-parts":[["2018"]]},"page":"332","publisher":"BioMed Central","title":"Characterization and remediation of sample index swaps by non-redundant dual indexing on massively parallel sequencing platforms","type":"article-journal","volume":"19"},"uris":["http://www.mendeley.com/documents/?uuid=8ea22c07-b4d0-4041-844c-0fce70840220"]}],"mendeley":{"formattedCitation":"(Costello et al., 2018)","plainTextFormattedCitation":"(Costello et al., 2018)","previouslyFormattedCitation":"(Costello et al., 2018)"},"properties":{"noteIndex":0},"schema":"https://github.com/citation-style-language/schema/raw/master/csl-citation.json"}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(Costello et al., 2018)</w:t>
      </w:r>
      <w:r w:rsidR="003A1513" w:rsidRPr="00F15971">
        <w:rPr>
          <w:rFonts w:ascii="Times" w:hAnsi="Times"/>
        </w:rPr>
        <w:fldChar w:fldCharType="end"/>
      </w:r>
      <w:r w:rsidRPr="00F15971">
        <w:rPr>
          <w:rFonts w:ascii="Times" w:hAnsi="Times"/>
        </w:rPr>
        <w:t xml:space="preserve">, which </w:t>
      </w:r>
      <w:r w:rsidRPr="00F15971">
        <w:rPr>
          <w:rFonts w:ascii="Times" w:hAnsi="Times"/>
        </w:rPr>
        <w:lastRenderedPageBreak/>
        <w:t>risks removal of the most abundant and prevalent ASVs if strict removal decontamination is practiced. Therefore we applied the site occupancy modeling approach of Kelly et al. 2018 to retain only ASVs that occurred in high prevalence across locations and stations. We did not subtract reads based on negative controls given the occurrence of ASVs with the highest observed read counts. Following Kelly et al. 2018, we also excluded samples from analyses that had low read depth.</w:t>
      </w:r>
    </w:p>
    <w:p w14:paraId="5765CBC8" w14:textId="77777777" w:rsidR="00D93307" w:rsidRPr="00F15971" w:rsidRDefault="00D93307" w:rsidP="00D93307">
      <w:pPr>
        <w:pStyle w:val="Heading2"/>
        <w:rPr>
          <w:rFonts w:ascii="Times" w:hAnsi="Times"/>
        </w:rPr>
      </w:pPr>
      <w:bookmarkStart w:id="5" w:name="_3fwokq0" w:colFirst="0" w:colLast="0"/>
      <w:bookmarkEnd w:id="5"/>
      <w:r w:rsidRPr="00F15971">
        <w:rPr>
          <w:rFonts w:ascii="Times" w:hAnsi="Times"/>
        </w:rPr>
        <w:t>Normalizing eDNA reads across samples</w:t>
      </w:r>
    </w:p>
    <w:p w14:paraId="7747A619" w14:textId="4E419026" w:rsidR="00D93307" w:rsidRPr="00F15971" w:rsidRDefault="00D93307" w:rsidP="00D93307">
      <w:pPr>
        <w:rPr>
          <w:rFonts w:ascii="Times" w:hAnsi="Times"/>
        </w:rPr>
      </w:pPr>
      <w:r w:rsidRPr="00F15971">
        <w:rPr>
          <w:rFonts w:ascii="Times" w:hAnsi="Times"/>
        </w:rPr>
        <w:t>Relating the number of sequence reads in a sample to the number of individuals of a taxon is extremely challenging. Not only do different organisms shed DNA at different rates, but the process of PCR amplification is known to have sequence-specific biases</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{"citationItems":[{"id":"ITEM-1","itemData":{"DOI":"10.1371/journal.pcbi.1009113","ISSN":"15537358","PMID":"34228723","abstract":"PCR amplification plays an integral role in the measurement of mixed microbial communities via high-throughput DNA sequencing of the 16S ribosomal RNA (rRNA) gene. Yet PCR is also known to introduce multiple forms of bias in 16S rRNA studies. Here we present a paired modeling and experimental approach to characterize and mitigate PCR NPM-bias (PCR bias from non-primer-mismatch sources) in microbiota surveys. We use experimental data from mock bacterial communities to validate our approach and human gut microbiota samples to characterize PCR NPM-bias under real-world conditions. Our results suggest that PCR NPM-bias can skew estimates of microbial relative abundances by a factor of 4 or more, but that this bias can be mitigated using log-ratio linear models.","author":[{"dropping-particle":"","family":"Silverman","given":"Justin D.","non-dropping-particle":"","parse-names":false,"suffix":""},{"dropping-particle":"","family":"Bloom","given":"Rachael J.","non-dropping-particle":"","parse-names":false,"suffix":""},{"dropping-particle":"","family":"Jiang","given":"Sharon","non-dropping-particle":"","parse-names":false,"suffix":""},{"dropping-particle":"","family":"Durand","given":"Heather K.","non-dropping-particle":"","parse-names":false,"suffix":""},{"dropping-particle":"","family":"Dallow","given":"Eric","non-dropping-particle":"","parse-names":false,"suffix":""},{"dropping-particle":"","family":"Mukherjee","given":"Sayan","non-dropping-particle":"","parse-names":false,"suffix":""},{"dropping-particle":"","family":"David","given":"Lawrence A.","non-dropping-particle":"","parse-names":false,"suffix":""}],"container-title":"PLoS Computational Biology","id":"ITEM-1","issue":"7","issued":{"date-parts":[["2021"]]},"page":"e1009113","publisher":"Public Library of Science San Francisco, CA USA","title":"Measuring and mitigating PCR bias in microbiota datasets","type":"article-journal","volume":"17"},"uris":["http://www.mendeley.com/documents/?uuid=aeb9a299-669d-4593-a9da-3af60d763c0c"]},{"id":"ITEM-2","itemData":{"DOI":"10.1038/s41598-019-48546-x","ISSN":"20452322","PMID":"31431641","abstract":"As environmental DNA (eDNA) studies have grown in popularity for use in ecological applications, it has become clear that their results differ in significant ways from those of traditional, non-PCR-based surveys. In general, eDNA studies that rely on amplicon sequencing may detect hundreds of species present in a sampled environment, but the resulting species composition can be idiosyncratic, reflecting species’ true biomass abundances poorly or not at all. Here, we use a set of simulations to develop a mechanistic understanding of the processes leading to the kinds of results common in mixed-template PCR-based (metabarcoding) studies. In particular, we focus on the effects of PCR cycle number and primer amplification efficiency on the results of diversity metrics in sequencing studies. We then show that proportional indices of amplicon reads capture trends in taxon biomass with high accuracy, particularly where amplification efficiency is high (median correlation up to 0.97). Our results explain much of the observed behavior of PCR-based studies, and lead to recommendations for best practices in the field.","author":[{"dropping-particle":"","family":"Kelly","given":"Ryan P.","non-dropping-particle":"","parse-names":false,"suffix":""},{"dropping-particle":"","family":"Shelton","given":"Andrew Olaf","non-dropping-particle":"","parse-names":false,"suffix":""},{"dropping-particle":"","family":"Gallego","given":"Ramón","non-dropping-particle":"","parse-names":false,"suffix":""}],"container-title":"Scientific Reports","id":"ITEM-2","issue":"1","issued":{"date-parts":[["2019"]]},"page":"1-14","publisher":"Nature Publishing Group","title":"Understanding PCR Processes to Draw Meaningful Conclusions from Environmental DNA Studies","type":"article-journal","volume":"9"},"uris":["http://www.mendeley.com/documents/?uuid=daaa96b9-1644-46f7-bf30-95a34efb76c1"]},{"id":"ITEM-3","itemData":{"DOI":"10.7554/eLife.46923","ISSN":"2050084X","PMID":"31502536","abstract":"Marker-gene and metagenomic sequencing have profoundly expanded our ability to measure biological communities. But the measurements they provide differ from the truth, often dramatically, because these experiments are biased toward detecting some taxa over others. This experimental bias makes the taxon or gene abundances measured by different protocols quantitatively incomparable and can lead to spurious biological conclusions. We propose a mathematical model for how bias distorts community measurements based on the properties of real experiments. We validate this model with 16S rRNA gene and shotgun metagenomics data from defined bacterial communities. Our model better fits the experimental data despite being simpler than previous models. We illustrate how our model can be used to evaluate protocols, to understand the effect of bias on downstream statistical analyses, and to measure and correct bias given suitable calibration controls. These results illuminate new avenues toward truly quantitative and reproducible metagenomics measurements.","author":[{"dropping-particle":"","family":"McLaren","given":"Michael R.","non-dropping-particle":"","parse-names":false,"suffix":""},{"dropping-particle":"","family":"Willis","given":"Amy D.","non-dropping-particle":"","parse-names":false,"suffix":""},{"dropping-particle":"","family":"Callahan","given":"Benjamin J.","non-dropping-particle":"","parse-names":false,"suffix":""}],"container-title":"eLife","id":"ITEM-3","issued":{"date-parts":[["2019"]]},"page":"e46923","publisher":"eLife Sciences Publications Limited","title":"Consistent and correctable bias in metagenomic sequencing experiments","type":"article-journal","volume":"8"},"uris":["http://www.mendeley.com/documents/?uuid=e896993a-b325-41c9-ac1e-a9211e4af8d0"]}],"mendeley":{"formattedCitation":"(Kelly, Shelton &amp; Gallego, 2019; McLaren, Willis &amp; Callahan, 2019; Silverman et al., 2021)","plainTextFormattedCitation":"(Kelly, Shelton &amp; Gallego, 2019; McLaren, Willis &amp; Callahan, 2019; Silverman et al., 2021)","previouslyFormattedCitation":"(Kelly, Shelton &amp; Gallego, 2019; McLaren, Willis &amp; Callahan, 2019; Silverman et al., 2021)"},"properties":{"noteIndex":0},"schema":"https://github.com/citation-style-language/schema/raw/master/csl-citation.json"}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(Kelly, Shelton &amp; Gallego, 2019; McLaren, Willis &amp; Callahan, 2019; Silverman et al., 2021)</w:t>
      </w:r>
      <w:r w:rsidR="003A1513" w:rsidRPr="00F15971">
        <w:rPr>
          <w:rFonts w:ascii="Times" w:hAnsi="Times"/>
        </w:rPr>
        <w:fldChar w:fldCharType="end"/>
      </w:r>
      <w:r w:rsidRPr="00F15971">
        <w:rPr>
          <w:rFonts w:ascii="Times" w:hAnsi="Times"/>
        </w:rPr>
        <w:t>. However, it is possible to address some of those known biases in ways that make it plausible to explore eDNA’s ability to yield insights into relative abundance estimates.</w:t>
      </w:r>
      <w:r w:rsidR="003A1513" w:rsidRPr="00F15971">
        <w:rPr>
          <w:rFonts w:ascii="Times" w:hAnsi="Times"/>
        </w:rPr>
        <w:t xml:space="preserve"> </w:t>
      </w:r>
      <w:r w:rsidRPr="00F15971">
        <w:rPr>
          <w:rFonts w:ascii="Times" w:hAnsi="Times"/>
        </w:rPr>
        <w:t>This metric assumes that PCR biases originate from template-primer interactions that remain constant across eDNA samples and align well with recent empirical and theoretical work</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{"citationItems":[{"id":"ITEM-1","itemData":{"DOI":"10.1371/journal.pcbi.1009113","ISSN":"15537358","PMID":"34228723","abstract":"PCR amplification plays an integral role in the measurement of mixed microbial communities via high-throughput DNA sequencing of the 16S ribosomal RNA (rRNA) gene. Yet PCR is also known to introduce multiple forms of bias in 16S rRNA studies. Here we present a paired modeling and experimental approach to characterize and mitigate PCR NPM-bias (PCR bias from non-primer-mismatch sources) in microbiota surveys. We use experimental data from mock bacterial communities to validate our approach and human gut microbiota samples to characterize PCR NPM-bias under real-world conditions. Our results suggest that PCR NPM-bias can skew estimates of microbial relative abundances by a factor of 4 or more, but that this bias can be mitigated using log-ratio linear models.","author":[{"dropping-particle":"","family":"Silverman","given":"Justin D.","non-dropping-particle":"","parse-names":false,"suffix":""},{"dropping-particle":"","family":"Bloom","given":"Rachael J.","non-dropping-particle":"","parse-names":false,"suffix":""},{"dropping-particle":"","family":"Jiang","given":"Sharon","non-dropping-particle":"","parse-names":false,"suffix":""},{"dropping-particle":"","family":"Durand","given":"Heather K.","non-dropping-particle":"","parse-names":false,"suffix":""},{"dropping-particle":"","family":"Dallow","given":"Eric","non-dropping-particle":"","parse-names":false,"suffix":""},{"dropping-particle":"","family":"Mukherjee","given":"Sayan","non-dropping-particle":"","parse-names":false,"suffix":""},{"dropping-particle":"","family":"David","given":"Lawrence A.","non-dropping-particle":"","parse-names":false,"suffix":""}],"container-title":"PLoS Computational Biology","id":"ITEM-1","issue":"7","issued":{"date-parts":[["2021"]]},"page":"e1009113","publisher":"Public Library of Science San Francisco, CA USA","title":"Measuring and mitigating PCR bias in microbiota datasets","type":"article-journal","volume":"17"},"uris":["http://www.mendeley.com/documents/?uuid=aeb9a299-669d-4593-a9da-3af60d763c0c"]},{"id":"ITEM-2","itemData":{"DOI":"10.1038/s41598-019-48546-x","ISSN":"20452322","PMID":"31431641","abstract":"As environmental DNA (eDNA) studies have grown in popularity for use in ecological applications, it has become clear that their results differ in significant ways from those of traditional, non-PCR-based surveys. In general, eDNA studies that rely on amplicon sequencing may detect hundreds of species present in a sampled environment, but the resulting species composition can be idiosyncratic, reflecting species’ true biomass abundances poorly or not at all. Here, we use a set of simulations to develop a mechanistic understanding of the processes leading to the kinds of results common in mixed-template PCR-based (metabarcoding) studies. In particular, we focus on the effects of PCR cycle number and primer amplification efficiency on the results of diversity metrics in sequencing studies. We then show that proportional indices of amplicon reads capture trends in taxon biomass with high accuracy, particularly where amplification efficiency is high (median correlation up to 0.97). Our results explain much of the observed behavior of PCR-based studies, and lead to recommendations for best practices in the field.","author":[{"dropping-particle":"","family":"Kelly","given":"Ryan P.","non-dropping-particle":"","parse-names":false,"suffix":""},{"dropping-particle":"","family":"Shelton","given":"Andrew Olaf","non-dropping-particle":"","parse-names":false,"suffix":""},{"dropping-particle":"","family":"Gallego","given":"Ramón","non-dropping-particle":"","parse-names":false,"suffix":""}],"container-title":"Scientific Reports","id":"ITEM-2","issue":"1","issued":{"date-parts":[["2019"]]},"page":"1-14","publisher":"Nature Publishing Group","title":"Understanding PCR Processes to Draw Meaningful Conclusions from Environmental DNA Studies","type":"article-journal","volume":"9"},"uris":["http://www.mendeley.com/documents/?uuid=daaa96b9-1644-46f7-bf30-95a34efb76c1"]},{"id":"ITEM-3","itemData":{"DOI":"10.7554/eLife.46923","ISSN":"2050084X","PMID":"31502536","abstract":"Marker-gene and metagenomic sequencing have profoundly expanded our ability to measure biological communities. But the measurements they provide differ from the truth, often dramatically, because these experiments are biased toward detecting some taxa over others. This experimental bias makes the taxon or gene abundances measured by different protocols quantitatively incomparable and can lead to spurious biological conclusions. We propose a mathematical model for how bias distorts community measurements based on the properties of real experiments. We validate this model with 16S rRNA gene and shotgun metagenomics data from defined bacterial communities. Our model better fits the experimental data despite being simpler than previous models. We illustrate how our model can be used to evaluate protocols, to understand the effect of bias on downstream statistical analyses, and to measure and correct bias given suitable calibration controls. These results illuminate new avenues toward truly quantitative and reproducible metagenomics measurements.","author":[{"dropping-particle":"","family":"McLaren","given":"Michael R.","non-dropping-particle":"","parse-names":false,"suffix":""},{"dropping-particle":"","family":"Willis","given":"Amy D.","non-dropping-particle":"","parse-names":false,"suffix":""},{"dropping-particle":"","family":"Callahan","given":"Benjamin J.","non-dropping-particle":"","parse-names":false,"suffix":""}],"container-title":"eLife","id":"ITEM-3","issued":{"date-parts":[["2019"]]},"page":"e46923","publisher":"eLife Sciences Publications Limited","title":"Consistent and correctable bias in metagenomic sequencing experiments","type":"article-journal","volume":"8"},"uris":["http://www.mendeley.com/documents/?uuid=e896993a-b325-41c9-ac1e-a9211e4af8d0"]},{"id":"ITEM-4","itemData":{"ISSN":"1051-0761","author":[{"dropping-particle":"","family":"Shelton","given":"Andrew Olaf","non-dropping-particle":"","parse-names":false,"suffix":""},{"dropping-particle":"","family":"O'Donnell","given":"James Lawrence","non-dropping-particle":"","parse-names":false,"suffix":""},{"dropping-particle":"","family":"Samhouri","given":"Jameal F","non-dropping-particle":"","parse-names":false,"suffix":""},{"dropping-particle":"","family":"Lowell","given":"Natalie","non-dropping-particle":"","parse-names":false,"suffix":""},{"dropping-particle":"","family":"Williams","given":"Gregory D","non-dropping-particle":"","parse-names":false,"suffix":""},{"dropping-particle":"","family":"Kelly","given":"Ryan P","non-dropping-particle":"","parse-names":false,"suffix":""}],"container-title":"Ecological Applications","id":"ITEM-4","issue":"6","issued":{"date-parts":[["2016"]]},"page":"1645-1659","publisher":"Wiley Online Library","title":"A framework for inferring biological communities from environmental DNA","type":"article-journal","volume":"26"},"uris":["http://www.mendeley.com/documents/?uuid=18d46ba0-e081-4dc2-b37c-e09f383f42be"]}],"mendeley":{"formattedCitation":"(Shelton et al., 2016; Kelly, Shelton &amp; Gallego, 2019; McLaren, Willis &amp; Callahan, 2019; Silverman et al., 2021)","plainTextFormattedCitation":"(Shelton et al., 2016; Kelly, Shelton &amp; Gallego, 2019; McLaren, Willis &amp; Callahan, 2019; Silverman et al., 2021)","previouslyFormattedCitation":"(Shelton et al., 2016; Kelly, Shelton &amp; Gallego, 2019; McLaren, Willis &amp; Callahan, 2019; Silverman et al., 2021)"},"properties":{"noteIndex":0},"schema":"https://github.com/citation-style-language/schema/raw/master/csl-citation.json"}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(Shelton et al., 2016; Kelly, Shelton &amp; Gallego, 2019; McLaren, Willis &amp; Callahan, 2019; Silverman et al., 2021)</w:t>
      </w:r>
      <w:r w:rsidR="003A1513" w:rsidRPr="00F15971">
        <w:rPr>
          <w:rFonts w:ascii="Times" w:hAnsi="Times"/>
        </w:rPr>
        <w:fldChar w:fldCharType="end"/>
      </w:r>
      <w:r w:rsidRPr="00F15971">
        <w:rPr>
          <w:rFonts w:ascii="Times" w:hAnsi="Times"/>
        </w:rPr>
        <w:t xml:space="preserve">. Intuitively, therefore, it should be possible to infer information about taxon abundance by using appropriate normalizations of the counts of reads in each sample. </w:t>
      </w:r>
    </w:p>
    <w:p w14:paraId="12BC033F" w14:textId="77777777" w:rsidR="00D93307" w:rsidRPr="00F15971" w:rsidRDefault="00D93307" w:rsidP="00D93307">
      <w:pPr>
        <w:rPr>
          <w:rFonts w:ascii="Times" w:hAnsi="Times"/>
        </w:rPr>
      </w:pPr>
      <w:r w:rsidRPr="00F15971">
        <w:rPr>
          <w:rFonts w:ascii="Times" w:hAnsi="Times"/>
        </w:rPr>
        <w:t>Thus we transformed our data into an “eDNA index” following Kelly et al. 2019.  The eDNA index transformation is conducted by first normalizing all reads for a particular sequence by the total number of reads in each sample, then scaling those proportions to the largest observed proportion for that sequence across all samples. This results in a sequence-specific (species-specific) scaling between 0 to 1, where 1 is the sample with the highest number of reads for a given species and 0 is the least.</w:t>
      </w:r>
    </w:p>
    <w:p w14:paraId="51D54C98" w14:textId="77777777" w:rsidR="00D93307" w:rsidRPr="00F15971" w:rsidRDefault="00D93307" w:rsidP="00D93307">
      <w:pPr>
        <w:rPr>
          <w:rFonts w:ascii="Times" w:hAnsi="Times"/>
        </w:rPr>
      </w:pPr>
    </w:p>
    <w:p w14:paraId="7EE852B5" w14:textId="77777777" w:rsidR="00D93307" w:rsidRPr="00F15971" w:rsidRDefault="00D93307" w:rsidP="00D93307">
      <w:pPr>
        <w:pStyle w:val="Heading2"/>
        <w:rPr>
          <w:rFonts w:ascii="Times" w:hAnsi="Times"/>
        </w:rPr>
      </w:pPr>
      <w:bookmarkStart w:id="6" w:name="_cdrq3qwoeo0j" w:colFirst="0" w:colLast="0"/>
      <w:bookmarkEnd w:id="6"/>
      <w:r w:rsidRPr="00F15971">
        <w:rPr>
          <w:rFonts w:ascii="Times" w:hAnsi="Times"/>
        </w:rPr>
        <w:lastRenderedPageBreak/>
        <w:t>Spatial Analyses</w:t>
      </w:r>
    </w:p>
    <w:p w14:paraId="31B9F4BF" w14:textId="41990A6E" w:rsidR="00D93307" w:rsidRPr="00F15971" w:rsidRDefault="00D93307" w:rsidP="00D1121C">
      <w:pPr>
        <w:spacing w:after="160"/>
        <w:ind w:firstLine="0"/>
        <w:rPr>
          <w:rFonts w:ascii="Times" w:hAnsi="Times"/>
        </w:rPr>
      </w:pPr>
      <w:r w:rsidRPr="00F15971">
        <w:rPr>
          <w:rFonts w:ascii="Times" w:hAnsi="Times"/>
        </w:rPr>
        <w:t>We conducted species rarefaction analysis at the level of the Port, station, and location to compare sample coverage estimates (for a given set of sampling units, what fraction of total species were discovered) using the iNext package</w:t>
      </w:r>
      <w:r w:rsidR="003A1513" w:rsidRPr="00F15971">
        <w:rPr>
          <w:rFonts w:ascii="Times" w:hAnsi="Times"/>
        </w:rPr>
        <w:t xml:space="preserve"> </w:t>
      </w:r>
      <w:r w:rsidR="003A1513" w:rsidRPr="00F15971">
        <w:rPr>
          <w:rFonts w:ascii="Times" w:hAnsi="Times"/>
        </w:rPr>
        <w:fldChar w:fldCharType="begin" w:fldLock="1"/>
      </w:r>
      <w:r w:rsidR="003A1513" w:rsidRPr="00F15971">
        <w:rPr>
          <w:rFonts w:ascii="Times" w:hAnsi="Times"/>
        </w:rPr>
        <w:instrText>ADDIN CSL_CITATION {"citationItems":[{"id":"ITEM-1","itemData":{"DOI":"10.1111/2041-210X.12613","ISSN":"2041210X","abstract":"Hill numbers (or the effective number of species) have been increasingly used to quantify the species/taxonomic diversity of an assemblage. The sample-size- and coverage-based integrations of rarefaction (interpolation) and extrapolation (prediction) of Hill numbers represent a unified standardization method for quantifying and comparing species diversity across multiple assemblages. We briefly review the conceptual background of Hill numbers along with two approaches to standardization. We present an R package iNEXT (iNterpolation/EXTrapolation) which provides simple functions to compute and plot the seamless rarefaction and extrapolation sampling curves for the three most widely used members of the Hill number family (species richness, Shannon diversity and Simpson diversity). Two types of biodiversity data are allowed: individual-based abundance data and sampling-unit-based incidence data. Several applications of the iNEXT packages are reviewed: (i) Non-asymptotic analysis: comparison of diversity estimates for equally large or equally complete samples. (ii) Asymptotic analysis: comparison of estimated asymptotic or true diversities. (iii) Assessment of sample completeness (sample coverage) across multiple samples. (iv) Comparison of estimated point diversities for a specified sample size or a specified level of sample coverage. Two examples are demonstrated, using the data (one for abundance data and the other for incidence data) included in the package, to illustrate all R functions and graphical displays.","author":[{"dropping-particle":"","family":"Hsieh","given":"T. C.","non-dropping-particle":"","parse-names":false,"suffix":""},{"dropping-particle":"","family":"Ma","given":"K. H.","non-dropping-particle":"","parse-names":false,"suffix":""},{"dropping-particle":"","family":"Chao","given":"Anne","non-dropping-particle":"","parse-names":false,"suffix":""}],"container-title":"Methods in Ecology and Evolution","id":"ITEM-1","issue":"12","issued":{"date-parts":[["2016"]]},"page":"1451-1456","publisher":"Wiley Online Library","title":"iNEXT: an R package for rarefaction and extrapolation of species diversity (Hill numbers)","type":"article-journal","volume":"7"},"uris":["http://www.mendeley.com/documents/?uuid=b19e2f67-8b5d-4146-a61f-e30b25a06268"]}],"mendeley":{"formattedCitation":"(Hsieh, Ma &amp; Chao, 2016)","plainTextFormattedCitation":"(Hsieh, Ma &amp; Chao, 2016)","previouslyFormattedCitation":"(Hsieh, Ma &amp; Chao, 2016)"},"properties":{"noteIndex":0},"schema":"https://github.com/citation-style-language/schema/raw/master/csl-citation.json"}</w:instrText>
      </w:r>
      <w:r w:rsidR="003A1513" w:rsidRPr="00F15971">
        <w:rPr>
          <w:rFonts w:ascii="Times" w:hAnsi="Times"/>
        </w:rPr>
        <w:fldChar w:fldCharType="separate"/>
      </w:r>
      <w:r w:rsidR="003A1513" w:rsidRPr="00F15971">
        <w:rPr>
          <w:rFonts w:ascii="Times" w:hAnsi="Times"/>
          <w:noProof/>
        </w:rPr>
        <w:t>(Hsieh, Ma &amp; Chao, 2016)</w:t>
      </w:r>
      <w:r w:rsidR="003A1513" w:rsidRPr="00F15971">
        <w:rPr>
          <w:rFonts w:ascii="Times" w:hAnsi="Times"/>
        </w:rPr>
        <w:fldChar w:fldCharType="end"/>
      </w:r>
      <w:r w:rsidRPr="00F15971">
        <w:rPr>
          <w:rFonts w:ascii="Times" w:hAnsi="Times"/>
        </w:rPr>
        <w:t xml:space="preserve">. We then calculated pairwise similarity between eDNA samples using Bray-Curtis similarity on eDNA index scores using the </w:t>
      </w:r>
      <w:r w:rsidRPr="00F15971">
        <w:rPr>
          <w:rFonts w:ascii="Times" w:hAnsi="Times"/>
          <w:i/>
        </w:rPr>
        <w:t>vegan</w:t>
      </w:r>
      <w:r w:rsidRPr="00F15971">
        <w:rPr>
          <w:rFonts w:ascii="Times" w:hAnsi="Times"/>
        </w:rPr>
        <w:t xml:space="preserve"> package. This was followed by employing a PERMANOVA and </w:t>
      </w:r>
      <w:proofErr w:type="spellStart"/>
      <w:r w:rsidRPr="00F15971">
        <w:rPr>
          <w:rFonts w:ascii="Times" w:hAnsi="Times"/>
        </w:rPr>
        <w:t>Betadisp</w:t>
      </w:r>
      <w:proofErr w:type="spellEnd"/>
      <w:r w:rsidRPr="00F15971">
        <w:rPr>
          <w:rFonts w:ascii="Times" w:hAnsi="Times"/>
        </w:rPr>
        <w:t xml:space="preserve"> analysis using the </w:t>
      </w:r>
      <w:r w:rsidRPr="00F15971">
        <w:rPr>
          <w:rFonts w:ascii="Times" w:hAnsi="Times"/>
          <w:i/>
        </w:rPr>
        <w:t>vegan</w:t>
      </w:r>
      <w:r w:rsidRPr="00F15971">
        <w:rPr>
          <w:rFonts w:ascii="Times" w:hAnsi="Times"/>
        </w:rPr>
        <w:t xml:space="preserve"> package to calculate the apportioned variation between the pairwise similarity of each sample against site, station, date collected, and sample volume filtered, visualizing the results using a principal coordinates analysis (</w:t>
      </w:r>
      <w:proofErr w:type="spellStart"/>
      <w:r w:rsidRPr="00F15971">
        <w:rPr>
          <w:rFonts w:ascii="Times" w:hAnsi="Times"/>
        </w:rPr>
        <w:t>PCoA</w:t>
      </w:r>
      <w:proofErr w:type="spellEnd"/>
      <w:r w:rsidRPr="00F15971">
        <w:rPr>
          <w:rFonts w:ascii="Times" w:hAnsi="Times"/>
        </w:rPr>
        <w:t xml:space="preserve">) ordination using the </w:t>
      </w:r>
      <w:proofErr w:type="spellStart"/>
      <w:r w:rsidRPr="00F15971">
        <w:rPr>
          <w:rFonts w:ascii="Times" w:hAnsi="Times"/>
          <w:i/>
        </w:rPr>
        <w:t>phyloseq</w:t>
      </w:r>
      <w:proofErr w:type="spellEnd"/>
      <w:r w:rsidRPr="00F15971">
        <w:rPr>
          <w:rFonts w:ascii="Times" w:hAnsi="Times"/>
        </w:rPr>
        <w:t xml:space="preserve"> and </w:t>
      </w:r>
      <w:r w:rsidRPr="00F15971">
        <w:rPr>
          <w:rFonts w:ascii="Times" w:hAnsi="Times"/>
          <w:i/>
        </w:rPr>
        <w:t>vegan</w:t>
      </w:r>
      <w:r w:rsidRPr="00F15971">
        <w:rPr>
          <w:rFonts w:ascii="Times" w:hAnsi="Times"/>
        </w:rPr>
        <w:t xml:space="preserve"> packages.</w:t>
      </w:r>
    </w:p>
    <w:p w14:paraId="45EF1B21" w14:textId="77777777" w:rsidR="00D93307" w:rsidRPr="00F15971" w:rsidRDefault="00D93307" w:rsidP="00D93307">
      <w:pPr>
        <w:spacing w:after="160"/>
        <w:rPr>
          <w:rFonts w:ascii="Times" w:hAnsi="Times"/>
        </w:rPr>
      </w:pPr>
    </w:p>
    <w:p w14:paraId="00F08F5E" w14:textId="77777777" w:rsidR="00D93307" w:rsidRPr="00F15971" w:rsidRDefault="00D93307" w:rsidP="00D93307">
      <w:pPr>
        <w:pStyle w:val="Heading1"/>
        <w:rPr>
          <w:rFonts w:ascii="Times" w:hAnsi="Times"/>
        </w:rPr>
      </w:pPr>
      <w:bookmarkStart w:id="7" w:name="_qk9mlqr9yj24" w:colFirst="0" w:colLast="0"/>
      <w:bookmarkEnd w:id="7"/>
      <w:r w:rsidRPr="00F15971">
        <w:rPr>
          <w:rFonts w:ascii="Times" w:hAnsi="Times"/>
        </w:rPr>
        <w:lastRenderedPageBreak/>
        <w:t>S1. APPENDIX II: Supplemental Results</w:t>
      </w:r>
    </w:p>
    <w:p w14:paraId="27B8BC7A" w14:textId="77777777" w:rsidR="00D93307" w:rsidRPr="00F15971" w:rsidRDefault="00D93307" w:rsidP="00D1121C">
      <w:pPr>
        <w:ind w:firstLine="0"/>
        <w:rPr>
          <w:rFonts w:ascii="Times" w:hAnsi="Times"/>
        </w:rPr>
      </w:pPr>
      <w:r w:rsidRPr="00F15971">
        <w:rPr>
          <w:rFonts w:ascii="Times" w:hAnsi="Times"/>
        </w:rPr>
        <w:t xml:space="preserve">From the 84 eDNA samples collected we generated a total of 14.9 million raw reads for the two MiFish primer sets. After processing via the </w:t>
      </w:r>
      <w:r w:rsidRPr="00F15971">
        <w:rPr>
          <w:rFonts w:ascii="Times" w:hAnsi="Times"/>
          <w:i/>
        </w:rPr>
        <w:t>Anacapa Toolkit</w:t>
      </w:r>
      <w:r w:rsidRPr="00F15971">
        <w:rPr>
          <w:rFonts w:ascii="Times" w:hAnsi="Times"/>
        </w:rPr>
        <w:t xml:space="preserve"> and decontamination, we retained 705 ASVs across 83 samples and 7.1 million reads for the MiFish Teleost primer set, and 569 ASVs across 83 samples and 3.2 million reads for the MiFish Elasmobranch primer set. Sample read depth ranged from 8,950 to 222,481 reads (mean 62,118 reads). </w:t>
      </w:r>
    </w:p>
    <w:p w14:paraId="7523580E" w14:textId="77777777" w:rsidR="00D93307" w:rsidRPr="00F15971" w:rsidRDefault="00D93307" w:rsidP="00D93307">
      <w:pPr>
        <w:rPr>
          <w:rFonts w:ascii="Times" w:hAnsi="Times"/>
        </w:rPr>
      </w:pPr>
      <w:r w:rsidRPr="00F15971">
        <w:rPr>
          <w:rFonts w:ascii="Times" w:hAnsi="Times"/>
        </w:rPr>
        <w:t xml:space="preserve">We generated a total of 7.7 million raw reads for the </w:t>
      </w:r>
      <w:r w:rsidRPr="00F15971">
        <w:rPr>
          <w:rFonts w:ascii="Times" w:hAnsi="Times"/>
          <w:i/>
        </w:rPr>
        <w:t xml:space="preserve">CO1 </w:t>
      </w:r>
      <w:r w:rsidRPr="00F15971">
        <w:rPr>
          <w:rFonts w:ascii="Times" w:hAnsi="Times"/>
        </w:rPr>
        <w:t xml:space="preserve">dataset and 8.5 million raw reads for the </w:t>
      </w:r>
      <w:r w:rsidRPr="00F15971">
        <w:rPr>
          <w:rFonts w:ascii="Times" w:hAnsi="Times"/>
          <w:i/>
        </w:rPr>
        <w:t xml:space="preserve">16S </w:t>
      </w:r>
      <w:r w:rsidRPr="00F15971">
        <w:rPr>
          <w:rFonts w:ascii="Times" w:hAnsi="Times"/>
        </w:rPr>
        <w:t xml:space="preserve">dataset. After processing via the </w:t>
      </w:r>
      <w:r w:rsidRPr="00F15971">
        <w:rPr>
          <w:rFonts w:ascii="Times" w:hAnsi="Times"/>
          <w:i/>
        </w:rPr>
        <w:t>Anacapa Toolkit</w:t>
      </w:r>
      <w:r w:rsidRPr="00F15971">
        <w:rPr>
          <w:rFonts w:ascii="Times" w:hAnsi="Times"/>
        </w:rPr>
        <w:t xml:space="preserve"> and decontamination, we retained 2,791 ASVs across 79 samples and 3.2 million reads for the Leray </w:t>
      </w:r>
      <w:r w:rsidRPr="00F15971">
        <w:rPr>
          <w:rFonts w:ascii="Times" w:hAnsi="Times"/>
          <w:i/>
        </w:rPr>
        <w:t xml:space="preserve">CO1 </w:t>
      </w:r>
      <w:r w:rsidRPr="00F15971">
        <w:rPr>
          <w:rFonts w:ascii="Times" w:hAnsi="Times"/>
        </w:rPr>
        <w:t xml:space="preserve">primer set, and 888 ASVs across 77 samples and 6.9 million reads for the Kelly </w:t>
      </w:r>
      <w:r w:rsidRPr="00F15971">
        <w:rPr>
          <w:rFonts w:ascii="Times" w:hAnsi="Times"/>
          <w:i/>
        </w:rPr>
        <w:t>16S</w:t>
      </w:r>
      <w:r w:rsidRPr="00F15971">
        <w:rPr>
          <w:rFonts w:ascii="Times" w:hAnsi="Times"/>
        </w:rPr>
        <w:t xml:space="preserve"> primer set. Sample read depth ranged from 11,292 to 94,804 reads (mean 40,526 reads) for the </w:t>
      </w:r>
      <w:r w:rsidRPr="00F15971">
        <w:rPr>
          <w:rFonts w:ascii="Times" w:hAnsi="Times"/>
          <w:i/>
        </w:rPr>
        <w:t xml:space="preserve">CO1 </w:t>
      </w:r>
      <w:r w:rsidRPr="00F15971">
        <w:rPr>
          <w:rFonts w:ascii="Times" w:hAnsi="Times"/>
        </w:rPr>
        <w:t xml:space="preserve">dataset and from 8,078 to 173,953 reads (mean 90,451 reads) for the </w:t>
      </w:r>
      <w:r w:rsidRPr="00F15971">
        <w:rPr>
          <w:rFonts w:ascii="Times" w:hAnsi="Times"/>
          <w:i/>
        </w:rPr>
        <w:t xml:space="preserve">16S </w:t>
      </w:r>
      <w:r w:rsidRPr="00F15971">
        <w:rPr>
          <w:rFonts w:ascii="Times" w:hAnsi="Times"/>
        </w:rPr>
        <w:t xml:space="preserve">dataset. </w:t>
      </w:r>
    </w:p>
    <w:p w14:paraId="67F5FE38" w14:textId="77777777" w:rsidR="00D93307" w:rsidRPr="00F15971" w:rsidRDefault="00D93307" w:rsidP="00D93307">
      <w:pPr>
        <w:ind w:firstLine="0"/>
        <w:rPr>
          <w:rFonts w:ascii="Times" w:hAnsi="Times"/>
          <w:i/>
        </w:rPr>
      </w:pPr>
      <w:r w:rsidRPr="00F15971">
        <w:rPr>
          <w:rFonts w:ascii="Times" w:hAnsi="Times"/>
          <w:i/>
        </w:rPr>
        <w:t>Invasive species identified</w:t>
      </w:r>
    </w:p>
    <w:p w14:paraId="63268694" w14:textId="3F2486B3" w:rsidR="00D93307" w:rsidRPr="00F15971" w:rsidRDefault="00D93307" w:rsidP="00D1121C">
      <w:pPr>
        <w:ind w:firstLine="0"/>
        <w:rPr>
          <w:rFonts w:ascii="Times" w:hAnsi="Times"/>
        </w:rPr>
      </w:pPr>
      <w:r w:rsidRPr="00F15971">
        <w:rPr>
          <w:rFonts w:ascii="Times" w:hAnsi="Times"/>
        </w:rPr>
        <w:t>Invasive species identified by eDNA include the Asian mussel (</w:t>
      </w:r>
      <w:proofErr w:type="spellStart"/>
      <w:r w:rsidRPr="00F15971">
        <w:rPr>
          <w:rFonts w:ascii="Times" w:hAnsi="Times"/>
          <w:i/>
        </w:rPr>
        <w:t>Musculista</w:t>
      </w:r>
      <w:proofErr w:type="spellEnd"/>
      <w:r w:rsidRPr="00F15971">
        <w:rPr>
          <w:rFonts w:ascii="Times" w:hAnsi="Times"/>
          <w:i/>
        </w:rPr>
        <w:t xml:space="preserve"> </w:t>
      </w:r>
      <w:proofErr w:type="spellStart"/>
      <w:r w:rsidRPr="00F15971">
        <w:rPr>
          <w:rFonts w:ascii="Times" w:hAnsi="Times"/>
          <w:i/>
        </w:rPr>
        <w:t>senhousia</w:t>
      </w:r>
      <w:proofErr w:type="spellEnd"/>
      <w:r w:rsidRPr="00F15971">
        <w:rPr>
          <w:rFonts w:ascii="Times" w:hAnsi="Times"/>
        </w:rPr>
        <w:t>), Devil weed (</w:t>
      </w:r>
      <w:r w:rsidRPr="00F15971">
        <w:rPr>
          <w:rFonts w:ascii="Times" w:hAnsi="Times"/>
          <w:i/>
        </w:rPr>
        <w:t>Sargassum horneri</w:t>
      </w:r>
      <w:r w:rsidRPr="00F15971">
        <w:rPr>
          <w:rFonts w:ascii="Times" w:hAnsi="Times"/>
        </w:rPr>
        <w:t>), Scaly tunicate (</w:t>
      </w:r>
      <w:proofErr w:type="spellStart"/>
      <w:r w:rsidRPr="00F15971">
        <w:rPr>
          <w:rFonts w:ascii="Times" w:hAnsi="Times"/>
          <w:i/>
        </w:rPr>
        <w:t>Microcosmus</w:t>
      </w:r>
      <w:proofErr w:type="spellEnd"/>
      <w:r w:rsidRPr="00F15971">
        <w:rPr>
          <w:rFonts w:ascii="Times" w:hAnsi="Times"/>
          <w:i/>
        </w:rPr>
        <w:t xml:space="preserve"> </w:t>
      </w:r>
      <w:proofErr w:type="spellStart"/>
      <w:r w:rsidRPr="00F15971">
        <w:rPr>
          <w:rFonts w:ascii="Times" w:hAnsi="Times"/>
          <w:i/>
        </w:rPr>
        <w:t>squamiger</w:t>
      </w:r>
      <w:proofErr w:type="spellEnd"/>
      <w:r w:rsidRPr="00F15971">
        <w:rPr>
          <w:rFonts w:ascii="Times" w:hAnsi="Times"/>
        </w:rPr>
        <w:t>), Brown bryozoan (</w:t>
      </w:r>
      <w:r w:rsidRPr="00F15971">
        <w:rPr>
          <w:rFonts w:ascii="Times" w:hAnsi="Times"/>
          <w:i/>
        </w:rPr>
        <w:t>Bugula neritina</w:t>
      </w:r>
      <w:r w:rsidRPr="00F15971">
        <w:rPr>
          <w:rFonts w:ascii="Times" w:hAnsi="Times"/>
        </w:rPr>
        <w:t xml:space="preserve">), Stalked </w:t>
      </w:r>
      <w:proofErr w:type="spellStart"/>
      <w:r w:rsidRPr="00F15971">
        <w:rPr>
          <w:rFonts w:ascii="Times" w:hAnsi="Times"/>
        </w:rPr>
        <w:t>seaquirt</w:t>
      </w:r>
      <w:proofErr w:type="spellEnd"/>
      <w:r w:rsidRPr="00F15971">
        <w:rPr>
          <w:rFonts w:ascii="Times" w:hAnsi="Times"/>
        </w:rPr>
        <w:t xml:space="preserve"> (</w:t>
      </w:r>
      <w:proofErr w:type="spellStart"/>
      <w:r w:rsidRPr="00F15971">
        <w:rPr>
          <w:rFonts w:ascii="Times" w:hAnsi="Times"/>
          <w:i/>
        </w:rPr>
        <w:t>Styela</w:t>
      </w:r>
      <w:proofErr w:type="spellEnd"/>
      <w:r w:rsidRPr="00F15971">
        <w:rPr>
          <w:rFonts w:ascii="Times" w:hAnsi="Times"/>
          <w:i/>
        </w:rPr>
        <w:t xml:space="preserve"> </w:t>
      </w:r>
      <w:proofErr w:type="spellStart"/>
      <w:r w:rsidRPr="00F15971">
        <w:rPr>
          <w:rFonts w:ascii="Times" w:hAnsi="Times"/>
          <w:i/>
        </w:rPr>
        <w:t>clava</w:t>
      </w:r>
      <w:proofErr w:type="spellEnd"/>
      <w:r w:rsidRPr="00F15971">
        <w:rPr>
          <w:rFonts w:ascii="Times" w:hAnsi="Times"/>
        </w:rPr>
        <w:t xml:space="preserve">), Asian </w:t>
      </w:r>
      <w:proofErr w:type="spellStart"/>
      <w:r w:rsidRPr="00F15971">
        <w:rPr>
          <w:rFonts w:ascii="Times" w:hAnsi="Times"/>
        </w:rPr>
        <w:t>semele</w:t>
      </w:r>
      <w:proofErr w:type="spellEnd"/>
      <w:r w:rsidRPr="00F15971">
        <w:rPr>
          <w:rFonts w:ascii="Times" w:hAnsi="Times"/>
        </w:rPr>
        <w:t xml:space="preserve"> (</w:t>
      </w:r>
      <w:r w:rsidRPr="00F15971">
        <w:rPr>
          <w:rFonts w:ascii="Times" w:hAnsi="Times"/>
          <w:i/>
        </w:rPr>
        <w:t xml:space="preserve">Theora </w:t>
      </w:r>
      <w:proofErr w:type="spellStart"/>
      <w:r w:rsidRPr="00F15971">
        <w:rPr>
          <w:rFonts w:ascii="Times" w:hAnsi="Times"/>
          <w:i/>
        </w:rPr>
        <w:t>lubrica</w:t>
      </w:r>
      <w:proofErr w:type="spellEnd"/>
      <w:r w:rsidRPr="00F15971">
        <w:rPr>
          <w:rFonts w:ascii="Times" w:hAnsi="Times"/>
        </w:rPr>
        <w:t>), Ambiguous bryozoan (</w:t>
      </w:r>
      <w:proofErr w:type="spellStart"/>
      <w:r w:rsidRPr="00F15971">
        <w:rPr>
          <w:rFonts w:ascii="Times" w:hAnsi="Times"/>
          <w:i/>
        </w:rPr>
        <w:t>Anguinella</w:t>
      </w:r>
      <w:proofErr w:type="spellEnd"/>
      <w:r w:rsidRPr="00F15971">
        <w:rPr>
          <w:rFonts w:ascii="Times" w:hAnsi="Times"/>
          <w:i/>
        </w:rPr>
        <w:t xml:space="preserve"> </w:t>
      </w:r>
      <w:proofErr w:type="spellStart"/>
      <w:r w:rsidRPr="00F15971">
        <w:rPr>
          <w:rFonts w:ascii="Times" w:hAnsi="Times"/>
          <w:i/>
        </w:rPr>
        <w:t>palmata</w:t>
      </w:r>
      <w:proofErr w:type="spellEnd"/>
      <w:r w:rsidRPr="00F15971">
        <w:rPr>
          <w:rFonts w:ascii="Times" w:hAnsi="Times"/>
        </w:rPr>
        <w:t>), Red encrusting bryozoan (</w:t>
      </w:r>
      <w:proofErr w:type="spellStart"/>
      <w:r w:rsidRPr="00F15971">
        <w:rPr>
          <w:rFonts w:ascii="Times" w:hAnsi="Times"/>
          <w:i/>
        </w:rPr>
        <w:t>Cryptosula</w:t>
      </w:r>
      <w:proofErr w:type="spellEnd"/>
      <w:r w:rsidRPr="00F15971">
        <w:rPr>
          <w:rFonts w:ascii="Times" w:hAnsi="Times"/>
          <w:i/>
        </w:rPr>
        <w:t xml:space="preserve"> </w:t>
      </w:r>
      <w:proofErr w:type="spellStart"/>
      <w:r w:rsidRPr="00F15971">
        <w:rPr>
          <w:rFonts w:ascii="Times" w:hAnsi="Times"/>
          <w:i/>
        </w:rPr>
        <w:t>pallasiana</w:t>
      </w:r>
      <w:proofErr w:type="spellEnd"/>
      <w:r w:rsidRPr="00F15971">
        <w:rPr>
          <w:rFonts w:ascii="Times" w:hAnsi="Times"/>
        </w:rPr>
        <w:t>), Gray compound tunicate (</w:t>
      </w:r>
      <w:proofErr w:type="spellStart"/>
      <w:r w:rsidRPr="00F15971">
        <w:rPr>
          <w:rFonts w:ascii="Times" w:hAnsi="Times"/>
          <w:i/>
        </w:rPr>
        <w:t>Diplosoma</w:t>
      </w:r>
      <w:proofErr w:type="spellEnd"/>
      <w:r w:rsidRPr="00F15971">
        <w:rPr>
          <w:rFonts w:ascii="Times" w:hAnsi="Times"/>
          <w:i/>
        </w:rPr>
        <w:t xml:space="preserve"> </w:t>
      </w:r>
      <w:proofErr w:type="spellStart"/>
      <w:r w:rsidRPr="00F15971">
        <w:rPr>
          <w:rFonts w:ascii="Times" w:hAnsi="Times"/>
          <w:i/>
        </w:rPr>
        <w:t>listerianum</w:t>
      </w:r>
      <w:proofErr w:type="spellEnd"/>
      <w:r w:rsidRPr="00F15971">
        <w:rPr>
          <w:rFonts w:ascii="Times" w:hAnsi="Times"/>
        </w:rPr>
        <w:t>), Carpet sea squirt (</w:t>
      </w:r>
      <w:proofErr w:type="spellStart"/>
      <w:r w:rsidRPr="00F15971">
        <w:rPr>
          <w:rFonts w:ascii="Times" w:hAnsi="Times"/>
          <w:i/>
        </w:rPr>
        <w:t>Didemnum</w:t>
      </w:r>
      <w:proofErr w:type="spellEnd"/>
      <w:r w:rsidRPr="00F15971">
        <w:rPr>
          <w:rFonts w:ascii="Times" w:hAnsi="Times"/>
          <w:i/>
        </w:rPr>
        <w:t xml:space="preserve"> vexillum</w:t>
      </w:r>
      <w:r w:rsidRPr="00F15971">
        <w:rPr>
          <w:rFonts w:ascii="Times" w:hAnsi="Times"/>
        </w:rPr>
        <w:t>), Japanese skeleton shrimp (</w:t>
      </w:r>
      <w:proofErr w:type="spellStart"/>
      <w:r w:rsidRPr="00F15971">
        <w:rPr>
          <w:rFonts w:ascii="Times" w:hAnsi="Times"/>
          <w:i/>
        </w:rPr>
        <w:t>Caprella</w:t>
      </w:r>
      <w:proofErr w:type="spellEnd"/>
      <w:r w:rsidRPr="00F15971">
        <w:rPr>
          <w:rFonts w:ascii="Times" w:hAnsi="Times"/>
          <w:i/>
        </w:rPr>
        <w:t xml:space="preserve"> </w:t>
      </w:r>
      <w:proofErr w:type="spellStart"/>
      <w:r w:rsidRPr="00F15971">
        <w:rPr>
          <w:rFonts w:ascii="Times" w:hAnsi="Times"/>
          <w:i/>
        </w:rPr>
        <w:t>mutica</w:t>
      </w:r>
      <w:proofErr w:type="spellEnd"/>
      <w:r w:rsidRPr="00F15971">
        <w:rPr>
          <w:rFonts w:ascii="Times" w:hAnsi="Times"/>
        </w:rPr>
        <w:t>), and Chain tunicate (</w:t>
      </w:r>
      <w:proofErr w:type="spellStart"/>
      <w:r w:rsidRPr="00F15971">
        <w:rPr>
          <w:rFonts w:ascii="Times" w:hAnsi="Times"/>
          <w:i/>
        </w:rPr>
        <w:t>Botrylloides</w:t>
      </w:r>
      <w:proofErr w:type="spellEnd"/>
      <w:r w:rsidRPr="00F15971">
        <w:rPr>
          <w:rFonts w:ascii="Times" w:hAnsi="Times"/>
          <w:i/>
        </w:rPr>
        <w:t xml:space="preserve"> violaceus</w:t>
      </w:r>
      <w:r w:rsidRPr="00F15971">
        <w:rPr>
          <w:rFonts w:ascii="Times" w:hAnsi="Times"/>
        </w:rPr>
        <w:t>) (Table S</w:t>
      </w:r>
      <w:r w:rsidR="00F702E5" w:rsidRPr="00F15971">
        <w:rPr>
          <w:rFonts w:ascii="Times" w:hAnsi="Times"/>
        </w:rPr>
        <w:t>9 &amp; S10</w:t>
      </w:r>
      <w:r w:rsidRPr="00F15971">
        <w:rPr>
          <w:rFonts w:ascii="Times" w:hAnsi="Times"/>
        </w:rPr>
        <w:t>).</w:t>
      </w:r>
    </w:p>
    <w:p w14:paraId="5805CC9B" w14:textId="77777777" w:rsidR="00D93307" w:rsidRPr="00F15971" w:rsidRDefault="00D93307" w:rsidP="00D93307">
      <w:pPr>
        <w:ind w:firstLine="0"/>
        <w:rPr>
          <w:rFonts w:ascii="Times" w:hAnsi="Times"/>
        </w:rPr>
      </w:pPr>
      <w:r w:rsidRPr="00F15971">
        <w:rPr>
          <w:rFonts w:ascii="Times" w:hAnsi="Times"/>
          <w:i/>
        </w:rPr>
        <w:t>Seafood target species identified</w:t>
      </w:r>
    </w:p>
    <w:p w14:paraId="71874546" w14:textId="5A4BF083" w:rsidR="00D93307" w:rsidRPr="00F15971" w:rsidRDefault="00D93307" w:rsidP="00D1121C">
      <w:pPr>
        <w:ind w:firstLine="0"/>
        <w:rPr>
          <w:rFonts w:ascii="Times" w:hAnsi="Times"/>
        </w:rPr>
      </w:pPr>
      <w:r w:rsidRPr="00F15971">
        <w:rPr>
          <w:rFonts w:ascii="Times" w:hAnsi="Times"/>
        </w:rPr>
        <w:t>Seafood target species with high probability of occurrence included [Mahi-mahi (</w:t>
      </w:r>
      <w:proofErr w:type="spellStart"/>
      <w:r w:rsidRPr="00F15971">
        <w:rPr>
          <w:rFonts w:ascii="Times" w:hAnsi="Times"/>
          <w:i/>
        </w:rPr>
        <w:t>Coryphaena</w:t>
      </w:r>
      <w:proofErr w:type="spellEnd"/>
      <w:r w:rsidRPr="00F15971">
        <w:rPr>
          <w:rFonts w:ascii="Times" w:hAnsi="Times"/>
          <w:i/>
        </w:rPr>
        <w:t xml:space="preserve"> </w:t>
      </w:r>
      <w:proofErr w:type="spellStart"/>
      <w:r w:rsidRPr="00F15971">
        <w:rPr>
          <w:rFonts w:ascii="Times" w:hAnsi="Times"/>
          <w:i/>
        </w:rPr>
        <w:t>hippurus</w:t>
      </w:r>
      <w:proofErr w:type="spellEnd"/>
      <w:r w:rsidRPr="00F15971">
        <w:rPr>
          <w:rFonts w:ascii="Times" w:hAnsi="Times"/>
        </w:rPr>
        <w:t>), Chinook salmon (</w:t>
      </w:r>
      <w:r w:rsidRPr="00F15971">
        <w:rPr>
          <w:rFonts w:ascii="Times" w:hAnsi="Times"/>
          <w:i/>
        </w:rPr>
        <w:t>Oncorhynchus tshawytscha</w:t>
      </w:r>
      <w:r w:rsidRPr="00F15971">
        <w:rPr>
          <w:rFonts w:ascii="Times" w:hAnsi="Times"/>
        </w:rPr>
        <w:t>), Skipjack tuna (</w:t>
      </w:r>
      <w:r w:rsidRPr="00F15971">
        <w:rPr>
          <w:rFonts w:ascii="Times" w:hAnsi="Times"/>
          <w:i/>
        </w:rPr>
        <w:t>Katsuwonus pelamis</w:t>
      </w:r>
      <w:r w:rsidRPr="00F15971">
        <w:rPr>
          <w:rFonts w:ascii="Times" w:hAnsi="Times"/>
        </w:rPr>
        <w:t>), Eastern Pacific bonito (</w:t>
      </w:r>
      <w:r w:rsidRPr="00F15971">
        <w:rPr>
          <w:rFonts w:ascii="Times" w:hAnsi="Times"/>
          <w:i/>
        </w:rPr>
        <w:t xml:space="preserve">Sarda </w:t>
      </w:r>
      <w:proofErr w:type="spellStart"/>
      <w:r w:rsidRPr="00F15971">
        <w:rPr>
          <w:rFonts w:ascii="Times" w:hAnsi="Times"/>
          <w:i/>
        </w:rPr>
        <w:t>chiliensis</w:t>
      </w:r>
      <w:proofErr w:type="spellEnd"/>
      <w:r w:rsidRPr="00F15971">
        <w:rPr>
          <w:rFonts w:ascii="Times" w:hAnsi="Times"/>
        </w:rPr>
        <w:t>), and Albacore tuna (</w:t>
      </w:r>
      <w:r w:rsidRPr="00F15971">
        <w:rPr>
          <w:rFonts w:ascii="Times" w:hAnsi="Times"/>
          <w:i/>
        </w:rPr>
        <w:t>Thunnus alalunga</w:t>
      </w:r>
      <w:r w:rsidRPr="00F15971">
        <w:rPr>
          <w:rFonts w:ascii="Times" w:hAnsi="Times"/>
        </w:rPr>
        <w:t>)]</w:t>
      </w:r>
      <w:r w:rsidR="00D1121C">
        <w:rPr>
          <w:rFonts w:ascii="Times" w:hAnsi="Times"/>
        </w:rPr>
        <w:t xml:space="preserve"> (Table S16)</w:t>
      </w:r>
      <w:r w:rsidRPr="00F15971">
        <w:rPr>
          <w:rFonts w:ascii="Times" w:hAnsi="Times"/>
        </w:rPr>
        <w:t>.</w:t>
      </w:r>
    </w:p>
    <w:p w14:paraId="6D798F01" w14:textId="77777777" w:rsidR="00D93307" w:rsidRPr="00F15971" w:rsidRDefault="00D93307" w:rsidP="00D93307">
      <w:pPr>
        <w:rPr>
          <w:rFonts w:ascii="Times" w:hAnsi="Times"/>
        </w:rPr>
      </w:pPr>
    </w:p>
    <w:p w14:paraId="6B700DE0" w14:textId="77777777" w:rsidR="00D93307" w:rsidRPr="00F15971" w:rsidRDefault="00D93307" w:rsidP="00D93307">
      <w:pPr>
        <w:ind w:firstLine="0"/>
        <w:rPr>
          <w:rFonts w:ascii="Times" w:hAnsi="Times"/>
        </w:rPr>
      </w:pPr>
      <w:r w:rsidRPr="00F15971">
        <w:rPr>
          <w:rFonts w:ascii="Times" w:hAnsi="Times"/>
          <w:i/>
        </w:rPr>
        <w:t>Spatial structuring of eDNA</w:t>
      </w:r>
    </w:p>
    <w:p w14:paraId="4FAD6CC5" w14:textId="4B3298DC" w:rsidR="00F702E5" w:rsidRPr="00F15971" w:rsidRDefault="00D93307" w:rsidP="00D1121C">
      <w:pPr>
        <w:ind w:firstLine="0"/>
        <w:rPr>
          <w:rFonts w:ascii="Times" w:hAnsi="Times"/>
        </w:rPr>
      </w:pPr>
      <w:r w:rsidRPr="00F15971">
        <w:rPr>
          <w:rFonts w:ascii="Times" w:hAnsi="Times"/>
        </w:rPr>
        <w:t>We found a significant difference in dispersion of vertebrate communities between stations, largely driven by the high variance at S3 and S5 (betadisper, p&lt; 0.001 Table S</w:t>
      </w:r>
      <w:r w:rsidR="00F702E5" w:rsidRPr="00F15971">
        <w:rPr>
          <w:rFonts w:ascii="Times" w:hAnsi="Times"/>
        </w:rPr>
        <w:t>18</w:t>
      </w:r>
      <w:r w:rsidRPr="00F15971">
        <w:rPr>
          <w:rFonts w:ascii="Times" w:hAnsi="Times"/>
        </w:rPr>
        <w:t>).  We found no difference in dispersion between locations within stations (betadisper, p&gt;0.05 Table S</w:t>
      </w:r>
      <w:r w:rsidR="00F702E5" w:rsidRPr="00F15971">
        <w:rPr>
          <w:rFonts w:ascii="Times" w:hAnsi="Times"/>
        </w:rPr>
        <w:t>18</w:t>
      </w:r>
      <w:r w:rsidRPr="00F15971">
        <w:rPr>
          <w:rFonts w:ascii="Times" w:hAnsi="Times"/>
        </w:rPr>
        <w:t>).</w:t>
      </w:r>
    </w:p>
    <w:p w14:paraId="6F1EFAD9" w14:textId="1CEDF762" w:rsidR="00F702E5" w:rsidRPr="00F15971" w:rsidRDefault="00F702E5" w:rsidP="00D93307">
      <w:pPr>
        <w:rPr>
          <w:rFonts w:ascii="Times" w:hAnsi="Times"/>
        </w:rPr>
      </w:pPr>
      <w:r w:rsidRPr="00F15971">
        <w:rPr>
          <w:rFonts w:ascii="Times" w:hAnsi="Times"/>
        </w:rPr>
        <w:t>eDNA surveys had higher rates of sample coverage and greater rates of species saturation than trawl surveys (Figure S1-5).</w:t>
      </w:r>
    </w:p>
    <w:p w14:paraId="44D13599" w14:textId="16FBA9CA" w:rsidR="00D93307" w:rsidRPr="00F15971" w:rsidRDefault="00352677" w:rsidP="00D93307">
      <w:pPr>
        <w:rPr>
          <w:rFonts w:ascii="Times" w:hAnsi="Times"/>
        </w:rPr>
      </w:pPr>
      <w:r w:rsidRPr="00F15971">
        <w:rPr>
          <w:rFonts w:ascii="Times" w:hAnsi="Times"/>
          <w:noProof/>
        </w:rPr>
        <w:drawing>
          <wp:inline distT="0" distB="0" distL="0" distR="0" wp14:anchorId="77A99BDD" wp14:editId="7CE07825">
            <wp:extent cx="5943600" cy="3962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12E72B" w14:textId="57AAF8AD" w:rsidR="00352677" w:rsidRPr="00F15971" w:rsidRDefault="00352677" w:rsidP="00352677">
      <w:pPr>
        <w:spacing w:after="0" w:line="240" w:lineRule="auto"/>
        <w:rPr>
          <w:rFonts w:ascii="Times" w:hAnsi="Times"/>
          <w:b/>
          <w:bCs/>
          <w:iCs/>
        </w:rPr>
      </w:pPr>
      <w:r w:rsidRPr="00F15971">
        <w:rPr>
          <w:rFonts w:ascii="Times" w:hAnsi="Times"/>
          <w:b/>
          <w:bCs/>
          <w:iCs/>
        </w:rPr>
        <w:t>Figure S1. eDNA and Trawl Survey Port Level Species Rarefaction Curves</w:t>
      </w:r>
    </w:p>
    <w:p w14:paraId="5512EC19" w14:textId="1BD8F1B9" w:rsidR="00352677" w:rsidRPr="00F15971" w:rsidRDefault="00352677" w:rsidP="00352677">
      <w:pPr>
        <w:spacing w:after="0" w:line="240" w:lineRule="auto"/>
        <w:ind w:left="720" w:firstLine="0"/>
        <w:rPr>
          <w:rFonts w:ascii="Times" w:hAnsi="Times"/>
          <w:iCs/>
        </w:rPr>
      </w:pPr>
      <w:r w:rsidRPr="00F15971">
        <w:rPr>
          <w:rFonts w:ascii="Times" w:hAnsi="Times"/>
          <w:iCs/>
        </w:rPr>
        <w:t xml:space="preserve">Species rarefaction curves across sampling stations for trawl surveys (A), eDNA surveys for all observed taxa (B), and eDNA surveys for matching trawl observed taxa. eDNA surveys within a single station (n=12 bottles) captured </w:t>
      </w:r>
      <w:r w:rsidR="00D1121C">
        <w:rPr>
          <w:rFonts w:ascii="Times" w:hAnsi="Times"/>
          <w:iCs/>
        </w:rPr>
        <w:t>over four</w:t>
      </w:r>
      <w:r w:rsidRPr="00F15971">
        <w:rPr>
          <w:rFonts w:ascii="Times" w:hAnsi="Times"/>
          <w:iCs/>
        </w:rPr>
        <w:t xml:space="preserve"> times the diversity than a single trawl survey. Only two stations (n=24 bottles) sampled by eDNA surveys were needed to saturate diversity of species observed by trawl surveys.</w:t>
      </w:r>
    </w:p>
    <w:p w14:paraId="26EA7692" w14:textId="0A9FAF40" w:rsidR="00352677" w:rsidRPr="00F15971" w:rsidRDefault="00352677" w:rsidP="00352677">
      <w:pPr>
        <w:ind w:left="720"/>
        <w:rPr>
          <w:rFonts w:ascii="Times" w:hAnsi="Times"/>
          <w:b/>
          <w:bCs/>
          <w:iCs/>
        </w:rPr>
      </w:pPr>
      <w:r w:rsidRPr="00F15971">
        <w:rPr>
          <w:rFonts w:ascii="Times" w:hAnsi="Times"/>
          <w:b/>
          <w:bCs/>
          <w:iCs/>
          <w:noProof/>
        </w:rPr>
        <w:lastRenderedPageBreak/>
        <w:drawing>
          <wp:inline distT="0" distB="0" distL="0" distR="0" wp14:anchorId="7ED26029" wp14:editId="625C2145">
            <wp:extent cx="5943600" cy="396240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BC51422" w14:textId="106B928C" w:rsidR="00352677" w:rsidRPr="00F15971" w:rsidRDefault="00352677" w:rsidP="00352677">
      <w:pPr>
        <w:spacing w:after="0" w:line="240" w:lineRule="auto"/>
        <w:ind w:left="720"/>
        <w:rPr>
          <w:rFonts w:ascii="Times" w:hAnsi="Times"/>
          <w:b/>
          <w:bCs/>
          <w:iCs/>
        </w:rPr>
      </w:pPr>
      <w:r w:rsidRPr="00F15971">
        <w:rPr>
          <w:rFonts w:ascii="Times" w:hAnsi="Times"/>
          <w:b/>
          <w:bCs/>
          <w:iCs/>
        </w:rPr>
        <w:t>Figure S2. eDNA and Trawl Survey Port Level Sample Coverage Curves</w:t>
      </w:r>
    </w:p>
    <w:p w14:paraId="32FC51D4" w14:textId="7CC62309" w:rsidR="00352677" w:rsidRPr="00F15971" w:rsidRDefault="00352677" w:rsidP="00352677">
      <w:pPr>
        <w:spacing w:after="0" w:line="240" w:lineRule="auto"/>
        <w:ind w:left="1440" w:firstLine="0"/>
        <w:rPr>
          <w:rFonts w:ascii="Times" w:hAnsi="Times"/>
          <w:iCs/>
        </w:rPr>
      </w:pPr>
      <w:r w:rsidRPr="00F15971">
        <w:rPr>
          <w:rFonts w:ascii="Times" w:hAnsi="Times"/>
          <w:iCs/>
        </w:rPr>
        <w:t>Sample coverage curves across sampling stations for trawl surveys (A), eDNA surveys for all observed taxa (B), and eDNA surveys for matching trawl observed taxa. eDNA surveys had higher sample coverage of species detected than trawl surveys, indicating greater taxonomic overlap between replicate bottles than replicate trawls between stations.</w:t>
      </w:r>
    </w:p>
    <w:p w14:paraId="09E1B57E" w14:textId="77777777" w:rsidR="00352677" w:rsidRPr="00F15971" w:rsidRDefault="00352677" w:rsidP="00352677">
      <w:pPr>
        <w:ind w:left="720"/>
        <w:rPr>
          <w:rFonts w:ascii="Times" w:hAnsi="Times"/>
          <w:b/>
          <w:bCs/>
          <w:iCs/>
        </w:rPr>
      </w:pPr>
    </w:p>
    <w:p w14:paraId="0BD38181" w14:textId="33151E3C" w:rsidR="00352677" w:rsidRPr="00F15971" w:rsidRDefault="00352677" w:rsidP="00352677">
      <w:pPr>
        <w:ind w:left="720"/>
        <w:rPr>
          <w:rFonts w:ascii="Times" w:hAnsi="Times"/>
          <w:b/>
          <w:bCs/>
          <w:iCs/>
        </w:rPr>
      </w:pPr>
      <w:r w:rsidRPr="00F15971">
        <w:rPr>
          <w:rFonts w:ascii="Times" w:hAnsi="Times"/>
          <w:b/>
          <w:bCs/>
          <w:iCs/>
          <w:noProof/>
        </w:rPr>
        <w:lastRenderedPageBreak/>
        <w:drawing>
          <wp:inline distT="0" distB="0" distL="0" distR="0" wp14:anchorId="4C35A12A" wp14:editId="5B733ABB">
            <wp:extent cx="5943600" cy="3962400"/>
            <wp:effectExtent l="0" t="0" r="0" b="0"/>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95B2A32" w14:textId="583B1411" w:rsidR="00352677" w:rsidRPr="00F15971" w:rsidRDefault="00352677" w:rsidP="00D1121C">
      <w:pPr>
        <w:spacing w:after="0"/>
        <w:ind w:left="1440" w:firstLine="0"/>
        <w:rPr>
          <w:rFonts w:ascii="Times" w:hAnsi="Times"/>
          <w:b/>
          <w:bCs/>
          <w:iCs/>
        </w:rPr>
      </w:pPr>
      <w:r w:rsidRPr="00F15971">
        <w:rPr>
          <w:rFonts w:ascii="Times" w:hAnsi="Times"/>
          <w:b/>
          <w:bCs/>
          <w:iCs/>
        </w:rPr>
        <w:t>Figure S3. eDNA Survey Station Level Species Rarefaction and Sample Coverage Curves</w:t>
      </w:r>
    </w:p>
    <w:p w14:paraId="1DA9A71C" w14:textId="77777777" w:rsidR="00352677" w:rsidRPr="00F15971" w:rsidRDefault="00352677" w:rsidP="00D1121C">
      <w:pPr>
        <w:spacing w:after="0"/>
        <w:ind w:left="1440" w:firstLine="0"/>
        <w:rPr>
          <w:rFonts w:ascii="Times" w:hAnsi="Times"/>
          <w:iCs/>
        </w:rPr>
      </w:pPr>
      <w:r w:rsidRPr="00F15971">
        <w:rPr>
          <w:rFonts w:ascii="Times" w:hAnsi="Times"/>
          <w:iCs/>
        </w:rPr>
        <w:t>Sample coverage (A) and species rarefaction (B) curves for eDNA surveys at the station level. T</w:t>
      </w:r>
      <w:r w:rsidRPr="005B0180">
        <w:rPr>
          <w:rFonts w:ascii="Times" w:hAnsi="Times"/>
          <w:iCs/>
        </w:rPr>
        <w:t>he average sample coverage estimate across locations within each station was 9</w:t>
      </w:r>
      <w:r w:rsidRPr="00F15971">
        <w:rPr>
          <w:rFonts w:ascii="Times" w:hAnsi="Times"/>
          <w:iCs/>
        </w:rPr>
        <w:t>7.5</w:t>
      </w:r>
      <w:r w:rsidRPr="005B0180">
        <w:rPr>
          <w:rFonts w:ascii="Times" w:hAnsi="Times"/>
          <w:iCs/>
        </w:rPr>
        <w:t>% (</w:t>
      </w:r>
      <w:r w:rsidRPr="00F15971">
        <w:rPr>
          <w:rFonts w:ascii="Times" w:hAnsi="Times"/>
          <w:iCs/>
        </w:rPr>
        <w:t>90</w:t>
      </w:r>
      <w:r w:rsidRPr="005B0180">
        <w:rPr>
          <w:rFonts w:ascii="Times" w:hAnsi="Times"/>
          <w:iCs/>
        </w:rPr>
        <w:t>.</w:t>
      </w:r>
      <w:r w:rsidRPr="00F15971">
        <w:rPr>
          <w:rFonts w:ascii="Times" w:hAnsi="Times"/>
          <w:iCs/>
        </w:rPr>
        <w:t>5</w:t>
      </w:r>
      <w:r w:rsidRPr="005B0180">
        <w:rPr>
          <w:rFonts w:ascii="Times" w:hAnsi="Times"/>
          <w:iCs/>
        </w:rPr>
        <w:t>-</w:t>
      </w:r>
      <w:r w:rsidRPr="00F15971">
        <w:rPr>
          <w:rFonts w:ascii="Times" w:hAnsi="Times"/>
          <w:iCs/>
        </w:rPr>
        <w:t>100</w:t>
      </w:r>
      <w:r w:rsidRPr="005B0180">
        <w:rPr>
          <w:rFonts w:ascii="Times" w:hAnsi="Times"/>
          <w:iCs/>
        </w:rPr>
        <w:t>%, min - max)</w:t>
      </w:r>
      <w:r w:rsidRPr="00F15971">
        <w:rPr>
          <w:rFonts w:ascii="Times" w:hAnsi="Times"/>
          <w:iCs/>
        </w:rPr>
        <w:t xml:space="preserve">. </w:t>
      </w:r>
      <w:r w:rsidRPr="005B0180">
        <w:rPr>
          <w:rFonts w:ascii="Times" w:hAnsi="Times"/>
          <w:iCs/>
        </w:rPr>
        <w:t xml:space="preserve">These results suggest that an average of </w:t>
      </w:r>
      <w:r w:rsidRPr="00F15971">
        <w:rPr>
          <w:rFonts w:ascii="Times" w:hAnsi="Times"/>
          <w:iCs/>
        </w:rPr>
        <w:t>5</w:t>
      </w:r>
      <w:r w:rsidRPr="005B0180">
        <w:rPr>
          <w:rFonts w:ascii="Times" w:hAnsi="Times"/>
          <w:iCs/>
        </w:rPr>
        <w:t xml:space="preserve"> (</w:t>
      </w:r>
      <w:r w:rsidRPr="00F15971">
        <w:rPr>
          <w:rFonts w:ascii="Times" w:hAnsi="Times"/>
          <w:iCs/>
        </w:rPr>
        <w:t>4</w:t>
      </w:r>
      <w:r w:rsidRPr="005B0180">
        <w:rPr>
          <w:rFonts w:ascii="Times" w:hAnsi="Times"/>
          <w:iCs/>
        </w:rPr>
        <w:t>-</w:t>
      </w:r>
      <w:r w:rsidRPr="00F15971">
        <w:rPr>
          <w:rFonts w:ascii="Times" w:hAnsi="Times"/>
          <w:iCs/>
        </w:rPr>
        <w:t>19</w:t>
      </w:r>
      <w:r w:rsidRPr="005B0180">
        <w:rPr>
          <w:rFonts w:ascii="Times" w:hAnsi="Times"/>
          <w:iCs/>
        </w:rPr>
        <w:t>) locations within a station</w:t>
      </w:r>
      <w:r w:rsidRPr="00F15971">
        <w:rPr>
          <w:rFonts w:ascii="Times" w:hAnsi="Times"/>
          <w:iCs/>
        </w:rPr>
        <w:t xml:space="preserve"> </w:t>
      </w:r>
      <w:r w:rsidRPr="005B0180">
        <w:rPr>
          <w:rFonts w:ascii="Times" w:hAnsi="Times"/>
          <w:iCs/>
        </w:rPr>
        <w:t>were needed to saturate diversity</w:t>
      </w:r>
      <w:r w:rsidRPr="00F15971">
        <w:rPr>
          <w:rFonts w:ascii="Times" w:hAnsi="Times"/>
          <w:iCs/>
        </w:rPr>
        <w:t>.</w:t>
      </w:r>
    </w:p>
    <w:p w14:paraId="4C1BE9C2" w14:textId="62D843B0" w:rsidR="00352677" w:rsidRPr="00F15971" w:rsidRDefault="00352677" w:rsidP="00352677">
      <w:pPr>
        <w:spacing w:after="0"/>
        <w:ind w:left="720"/>
        <w:rPr>
          <w:rFonts w:ascii="Times" w:hAnsi="Times"/>
          <w:b/>
          <w:bCs/>
          <w:iCs/>
        </w:rPr>
      </w:pPr>
      <w:r w:rsidRPr="00F15971">
        <w:rPr>
          <w:rFonts w:ascii="Times" w:hAnsi="Times"/>
          <w:b/>
          <w:bCs/>
          <w:iCs/>
          <w:noProof/>
        </w:rPr>
        <w:lastRenderedPageBreak/>
        <w:drawing>
          <wp:inline distT="0" distB="0" distL="0" distR="0" wp14:anchorId="6A953DD0" wp14:editId="0D3ABC4B">
            <wp:extent cx="5943600" cy="39624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374DA9" w14:textId="688E89B5" w:rsidR="00352677" w:rsidRPr="00F15971" w:rsidRDefault="00352677" w:rsidP="00352677">
      <w:pPr>
        <w:ind w:left="720"/>
        <w:rPr>
          <w:rFonts w:ascii="Times" w:hAnsi="Times"/>
          <w:b/>
          <w:bCs/>
          <w:iCs/>
        </w:rPr>
      </w:pPr>
      <w:r w:rsidRPr="00F15971">
        <w:rPr>
          <w:rFonts w:ascii="Times" w:hAnsi="Times"/>
          <w:b/>
          <w:bCs/>
          <w:iCs/>
        </w:rPr>
        <w:t>Figure S4. eDNA Survey Location Level Sample Coverage Curves</w:t>
      </w:r>
    </w:p>
    <w:p w14:paraId="3F45C1D1" w14:textId="1E93C331" w:rsidR="00352677" w:rsidRPr="00F15971" w:rsidRDefault="00352677" w:rsidP="00352677">
      <w:pPr>
        <w:ind w:left="1440" w:firstLine="0"/>
        <w:rPr>
          <w:rFonts w:ascii="Times" w:hAnsi="Times"/>
          <w:b/>
          <w:bCs/>
          <w:iCs/>
        </w:rPr>
      </w:pPr>
      <w:r w:rsidRPr="00F15971">
        <w:rPr>
          <w:rFonts w:ascii="Times" w:hAnsi="Times"/>
          <w:iCs/>
        </w:rPr>
        <w:t>Sample coverage curves for eDNA surveys at the location level with each station plotted separately. T</w:t>
      </w:r>
      <w:r w:rsidRPr="005B0180">
        <w:rPr>
          <w:rFonts w:ascii="Times" w:hAnsi="Times"/>
          <w:iCs/>
        </w:rPr>
        <w:t xml:space="preserve">he average sample coverage estimate across </w:t>
      </w:r>
      <w:r w:rsidRPr="00F15971">
        <w:rPr>
          <w:rFonts w:ascii="Times" w:hAnsi="Times"/>
          <w:iCs/>
        </w:rPr>
        <w:t>bottle replicates</w:t>
      </w:r>
      <w:r w:rsidRPr="005B0180">
        <w:rPr>
          <w:rFonts w:ascii="Times" w:hAnsi="Times"/>
          <w:iCs/>
        </w:rPr>
        <w:t xml:space="preserve"> within each </w:t>
      </w:r>
      <w:r w:rsidRPr="00F15971">
        <w:rPr>
          <w:rFonts w:ascii="Times" w:hAnsi="Times"/>
          <w:iCs/>
        </w:rPr>
        <w:t>location</w:t>
      </w:r>
      <w:r w:rsidRPr="005B0180">
        <w:rPr>
          <w:rFonts w:ascii="Times" w:hAnsi="Times"/>
          <w:iCs/>
        </w:rPr>
        <w:t xml:space="preserve"> was </w:t>
      </w:r>
      <w:r w:rsidRPr="00F15971">
        <w:rPr>
          <w:rFonts w:ascii="Times" w:hAnsi="Times"/>
          <w:iCs/>
        </w:rPr>
        <w:t>94.0</w:t>
      </w:r>
      <w:r w:rsidRPr="005B0180">
        <w:rPr>
          <w:rFonts w:ascii="Times" w:hAnsi="Times"/>
          <w:iCs/>
        </w:rPr>
        <w:t>% (</w:t>
      </w:r>
      <w:r w:rsidRPr="00F15971">
        <w:rPr>
          <w:rFonts w:ascii="Times" w:hAnsi="Times"/>
          <w:iCs/>
        </w:rPr>
        <w:t>82.0</w:t>
      </w:r>
      <w:r w:rsidRPr="005B0180">
        <w:rPr>
          <w:rFonts w:ascii="Times" w:hAnsi="Times"/>
          <w:iCs/>
        </w:rPr>
        <w:t>%-</w:t>
      </w:r>
      <w:r w:rsidRPr="00F15971">
        <w:rPr>
          <w:rFonts w:ascii="Times" w:hAnsi="Times"/>
          <w:iCs/>
        </w:rPr>
        <w:t>100</w:t>
      </w:r>
      <w:r w:rsidRPr="005B0180">
        <w:rPr>
          <w:rFonts w:ascii="Times" w:hAnsi="Times"/>
          <w:iCs/>
        </w:rPr>
        <w:t>%</w:t>
      </w:r>
      <w:r w:rsidRPr="00F15971">
        <w:rPr>
          <w:rFonts w:ascii="Times" w:hAnsi="Times"/>
          <w:iCs/>
        </w:rPr>
        <w:t xml:space="preserve">, </w:t>
      </w:r>
      <w:r w:rsidRPr="005B0180">
        <w:rPr>
          <w:rFonts w:ascii="Times" w:hAnsi="Times"/>
          <w:iCs/>
        </w:rPr>
        <w:t>min - max)</w:t>
      </w:r>
      <w:r w:rsidRPr="00F15971">
        <w:rPr>
          <w:rFonts w:ascii="Times" w:hAnsi="Times"/>
          <w:iCs/>
        </w:rPr>
        <w:t xml:space="preserve">. </w:t>
      </w:r>
    </w:p>
    <w:p w14:paraId="65E3A4A5" w14:textId="296E8028" w:rsidR="00352677" w:rsidRPr="00F15971" w:rsidRDefault="00352677" w:rsidP="00352677">
      <w:pPr>
        <w:ind w:left="720"/>
        <w:rPr>
          <w:rFonts w:ascii="Times" w:hAnsi="Times"/>
          <w:b/>
          <w:bCs/>
          <w:iCs/>
        </w:rPr>
      </w:pPr>
      <w:r w:rsidRPr="00F15971">
        <w:rPr>
          <w:rFonts w:ascii="Times" w:hAnsi="Times"/>
          <w:b/>
          <w:bCs/>
          <w:iCs/>
          <w:noProof/>
        </w:rPr>
        <w:lastRenderedPageBreak/>
        <w:drawing>
          <wp:inline distT="0" distB="0" distL="0" distR="0" wp14:anchorId="3EA95974" wp14:editId="767F3EF8">
            <wp:extent cx="5943600" cy="3962400"/>
            <wp:effectExtent l="0" t="0" r="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93040BB" w14:textId="77777777" w:rsidR="00352677" w:rsidRPr="00F15971" w:rsidRDefault="00352677" w:rsidP="00352677">
      <w:pPr>
        <w:ind w:left="720"/>
        <w:rPr>
          <w:rFonts w:ascii="Times" w:hAnsi="Times"/>
          <w:b/>
          <w:bCs/>
          <w:iCs/>
        </w:rPr>
      </w:pPr>
      <w:r w:rsidRPr="00F15971">
        <w:rPr>
          <w:rFonts w:ascii="Times" w:hAnsi="Times"/>
          <w:b/>
          <w:bCs/>
          <w:iCs/>
        </w:rPr>
        <w:t>Figure S5. eDNA Survey Location Level Species Rarefaction Curves</w:t>
      </w:r>
    </w:p>
    <w:p w14:paraId="5BC6EE96" w14:textId="352EEAAE" w:rsidR="00352677" w:rsidRPr="00F15971" w:rsidRDefault="00352677" w:rsidP="00352677">
      <w:pPr>
        <w:ind w:left="1440" w:firstLine="0"/>
        <w:rPr>
          <w:rFonts w:ascii="Times" w:hAnsi="Times"/>
          <w:b/>
          <w:bCs/>
          <w:iCs/>
        </w:rPr>
      </w:pPr>
      <w:r w:rsidRPr="00F15971">
        <w:rPr>
          <w:rFonts w:ascii="Times" w:hAnsi="Times"/>
          <w:iCs/>
        </w:rPr>
        <w:t xml:space="preserve">Species rarefaction curves for eDNA surveys at the location level with stations plotted separately. </w:t>
      </w:r>
      <w:r w:rsidRPr="005B0180">
        <w:rPr>
          <w:rFonts w:ascii="Times" w:hAnsi="Times"/>
          <w:iCs/>
        </w:rPr>
        <w:t xml:space="preserve">These results suggest that an average of </w:t>
      </w:r>
      <w:r w:rsidRPr="00F15971">
        <w:rPr>
          <w:rFonts w:ascii="Times" w:hAnsi="Times"/>
          <w:iCs/>
        </w:rPr>
        <w:t>7.3</w:t>
      </w:r>
      <w:r w:rsidRPr="005B0180">
        <w:rPr>
          <w:rFonts w:ascii="Times" w:hAnsi="Times"/>
          <w:iCs/>
        </w:rPr>
        <w:t xml:space="preserve"> (</w:t>
      </w:r>
      <w:r w:rsidRPr="00F15971">
        <w:rPr>
          <w:rFonts w:ascii="Times" w:hAnsi="Times"/>
          <w:iCs/>
        </w:rPr>
        <w:t>2</w:t>
      </w:r>
      <w:r w:rsidRPr="005B0180">
        <w:rPr>
          <w:rFonts w:ascii="Times" w:hAnsi="Times"/>
          <w:iCs/>
        </w:rPr>
        <w:t>-</w:t>
      </w:r>
      <w:r w:rsidRPr="00F15971">
        <w:rPr>
          <w:rFonts w:ascii="Times" w:hAnsi="Times"/>
          <w:iCs/>
        </w:rPr>
        <w:t>19</w:t>
      </w:r>
      <w:r w:rsidRPr="005B0180">
        <w:rPr>
          <w:rFonts w:ascii="Times" w:hAnsi="Times"/>
          <w:iCs/>
        </w:rPr>
        <w:t xml:space="preserve">) </w:t>
      </w:r>
      <w:r w:rsidRPr="00F15971">
        <w:rPr>
          <w:rFonts w:ascii="Times" w:hAnsi="Times"/>
          <w:iCs/>
        </w:rPr>
        <w:t>bottles</w:t>
      </w:r>
      <w:r w:rsidRPr="005B0180">
        <w:rPr>
          <w:rFonts w:ascii="Times" w:hAnsi="Times"/>
          <w:iCs/>
        </w:rPr>
        <w:t xml:space="preserve"> within a </w:t>
      </w:r>
      <w:r w:rsidRPr="00F15971">
        <w:rPr>
          <w:rFonts w:ascii="Times" w:hAnsi="Times"/>
          <w:iCs/>
        </w:rPr>
        <w:t xml:space="preserve">location </w:t>
      </w:r>
      <w:r w:rsidRPr="005B0180">
        <w:rPr>
          <w:rFonts w:ascii="Times" w:hAnsi="Times"/>
          <w:iCs/>
        </w:rPr>
        <w:t>were needed to saturate diversity</w:t>
      </w:r>
      <w:r w:rsidRPr="00F15971">
        <w:rPr>
          <w:rFonts w:ascii="Times" w:hAnsi="Times"/>
          <w:iCs/>
        </w:rPr>
        <w:t>.</w:t>
      </w:r>
    </w:p>
    <w:p w14:paraId="2A7D6077" w14:textId="77777777" w:rsidR="00352677" w:rsidRPr="00F15971" w:rsidRDefault="00352677" w:rsidP="00D93307">
      <w:pPr>
        <w:rPr>
          <w:rFonts w:ascii="Times" w:hAnsi="Times"/>
        </w:rPr>
      </w:pPr>
    </w:p>
    <w:p w14:paraId="1C0F4CD0" w14:textId="62E3709E" w:rsidR="00FC0618" w:rsidRPr="00F15971" w:rsidRDefault="00FC0618" w:rsidP="00352677">
      <w:pPr>
        <w:ind w:firstLine="0"/>
        <w:rPr>
          <w:rFonts w:ascii="Times" w:hAnsi="Times"/>
        </w:rPr>
        <w:sectPr w:rsidR="00FC0618" w:rsidRPr="00F15971">
          <w:footerReference w:type="default" r:id="rId17"/>
          <w:pgSz w:w="12240" w:h="15840"/>
          <w:pgMar w:top="1440" w:right="1440" w:bottom="1440" w:left="1440" w:header="720" w:footer="720" w:gutter="0"/>
          <w:pgNumType w:start="1"/>
          <w:cols w:space="720"/>
        </w:sectPr>
      </w:pPr>
    </w:p>
    <w:p w14:paraId="4DA26D90" w14:textId="77777777" w:rsidR="00D93307" w:rsidRPr="00F15971" w:rsidRDefault="00D93307" w:rsidP="00D93307">
      <w:pPr>
        <w:pStyle w:val="Heading1"/>
        <w:rPr>
          <w:rFonts w:ascii="Times" w:hAnsi="Times"/>
        </w:rPr>
      </w:pPr>
      <w:r w:rsidRPr="00F15971">
        <w:rPr>
          <w:rFonts w:ascii="Times" w:hAnsi="Times"/>
        </w:rPr>
        <w:lastRenderedPageBreak/>
        <w:t>S1. APPENDIX III: Biomass Comparisons</w:t>
      </w:r>
    </w:p>
    <w:p w14:paraId="6B52019B" w14:textId="77777777" w:rsidR="00D93307" w:rsidRPr="00F15971" w:rsidRDefault="00D93307" w:rsidP="00D93307">
      <w:pPr>
        <w:pStyle w:val="Heading2"/>
        <w:rPr>
          <w:rFonts w:ascii="Times" w:hAnsi="Times"/>
        </w:rPr>
      </w:pPr>
      <w:bookmarkStart w:id="8" w:name="_44fw4uqbukn3" w:colFirst="0" w:colLast="0"/>
      <w:bookmarkEnd w:id="8"/>
      <w:r w:rsidRPr="00F15971">
        <w:rPr>
          <w:rFonts w:ascii="Times" w:hAnsi="Times"/>
        </w:rPr>
        <w:t>Comparison of eDNA and Trawl Biomass Estimates</w:t>
      </w:r>
    </w:p>
    <w:p w14:paraId="44147E69" w14:textId="5FF3F182" w:rsidR="00D93307" w:rsidRPr="00F15971" w:rsidRDefault="00D93307" w:rsidP="00D1121C">
      <w:pPr>
        <w:ind w:firstLine="0"/>
        <w:rPr>
          <w:rFonts w:ascii="Times" w:hAnsi="Times"/>
        </w:rPr>
      </w:pPr>
      <w:r w:rsidRPr="00F15971">
        <w:rPr>
          <w:rFonts w:ascii="Times" w:hAnsi="Times"/>
        </w:rPr>
        <w:t xml:space="preserve">We compared eDNA index scores of relative abundance to trawl estimated biomass </w:t>
      </w:r>
      <w:r w:rsidR="00D1121C">
        <w:rPr>
          <w:rFonts w:ascii="Times" w:hAnsi="Times"/>
        </w:rPr>
        <w:t xml:space="preserve">and fish counts </w:t>
      </w:r>
      <w:r w:rsidRPr="00F15971">
        <w:rPr>
          <w:rFonts w:ascii="Times" w:hAnsi="Times"/>
        </w:rPr>
        <w:t>for species detected at least three times (n=4) and for Northern Anchovy (</w:t>
      </w:r>
      <w:proofErr w:type="spellStart"/>
      <w:r w:rsidRPr="00F15971">
        <w:rPr>
          <w:rFonts w:ascii="Times" w:hAnsi="Times"/>
          <w:i/>
        </w:rPr>
        <w:t>Engraulis</w:t>
      </w:r>
      <w:proofErr w:type="spellEnd"/>
      <w:r w:rsidRPr="00F15971">
        <w:rPr>
          <w:rFonts w:ascii="Times" w:hAnsi="Times"/>
          <w:i/>
        </w:rPr>
        <w:t xml:space="preserve"> mordax</w:t>
      </w:r>
      <w:r w:rsidRPr="00F15971">
        <w:rPr>
          <w:rFonts w:ascii="Times" w:hAnsi="Times"/>
        </w:rPr>
        <w:t xml:space="preserve">) which was found in every eDNA sample. To investigate the relationship between eDNA index scores and trawl biomass, linear regressions between both metrics were fit in </w:t>
      </w:r>
      <w:r w:rsidRPr="00F15971">
        <w:rPr>
          <w:rFonts w:ascii="Times" w:hAnsi="Times"/>
          <w:i/>
        </w:rPr>
        <w:t>R</w:t>
      </w:r>
      <w:r w:rsidRPr="00F15971">
        <w:rPr>
          <w:rFonts w:ascii="Times" w:hAnsi="Times"/>
        </w:rPr>
        <w:t xml:space="preserve">, and </w:t>
      </w:r>
      <w:r w:rsidRPr="00F15971">
        <w:rPr>
          <w:rFonts w:ascii="Times" w:hAnsi="Times"/>
          <w:i/>
        </w:rPr>
        <w:t>R</w:t>
      </w:r>
      <w:r w:rsidRPr="00F15971">
        <w:rPr>
          <w:rFonts w:ascii="Times" w:hAnsi="Times"/>
          <w:vertAlign w:val="superscript"/>
        </w:rPr>
        <w:t>2</w:t>
      </w:r>
      <w:r w:rsidRPr="00F15971">
        <w:rPr>
          <w:rFonts w:ascii="Times" w:hAnsi="Times"/>
        </w:rPr>
        <w:t xml:space="preserve"> and equations for each fit are reported.</w:t>
      </w:r>
    </w:p>
    <w:p w14:paraId="61425996" w14:textId="14FC7F5D" w:rsidR="00D93307" w:rsidRPr="00F15971" w:rsidRDefault="00D93307" w:rsidP="00D93307">
      <w:pPr>
        <w:rPr>
          <w:rFonts w:ascii="Times" w:hAnsi="Times"/>
        </w:rPr>
      </w:pPr>
      <w:r w:rsidRPr="00F15971">
        <w:rPr>
          <w:rFonts w:ascii="Times" w:hAnsi="Times"/>
        </w:rPr>
        <w:t xml:space="preserve">We found that eDNA index tracked </w:t>
      </w:r>
      <w:r w:rsidR="00D1121C">
        <w:rPr>
          <w:rFonts w:ascii="Times" w:hAnsi="Times"/>
        </w:rPr>
        <w:t>biomass</w:t>
      </w:r>
      <w:r w:rsidRPr="00F15971">
        <w:rPr>
          <w:rFonts w:ascii="Times" w:hAnsi="Times"/>
        </w:rPr>
        <w:t xml:space="preserve"> for three of these species [California lizardfish (</w:t>
      </w:r>
      <w:r w:rsidRPr="00F15971">
        <w:rPr>
          <w:rFonts w:ascii="Times" w:hAnsi="Times"/>
          <w:i/>
        </w:rPr>
        <w:t>Synodus lucioceps</w:t>
      </w:r>
      <w:r w:rsidRPr="00F15971">
        <w:rPr>
          <w:rFonts w:ascii="Times" w:hAnsi="Times"/>
        </w:rPr>
        <w:t>)</w:t>
      </w:r>
      <w:r w:rsidRPr="00F15971">
        <w:rPr>
          <w:rFonts w:ascii="Times" w:hAnsi="Times"/>
          <w:i/>
        </w:rPr>
        <w:t xml:space="preserve">, </w:t>
      </w:r>
      <w:r w:rsidRPr="00F15971">
        <w:rPr>
          <w:rFonts w:ascii="Times" w:hAnsi="Times"/>
        </w:rPr>
        <w:t>California halibut</w:t>
      </w:r>
      <w:r w:rsidRPr="00F15971">
        <w:rPr>
          <w:rFonts w:ascii="Times" w:hAnsi="Times"/>
          <w:i/>
        </w:rPr>
        <w:t xml:space="preserve"> </w:t>
      </w:r>
      <w:r w:rsidRPr="00F15971">
        <w:rPr>
          <w:rFonts w:ascii="Times" w:hAnsi="Times"/>
        </w:rPr>
        <w:t>(</w:t>
      </w:r>
      <w:r w:rsidRPr="00F15971">
        <w:rPr>
          <w:rFonts w:ascii="Times" w:hAnsi="Times"/>
          <w:i/>
        </w:rPr>
        <w:t>Paralichthys californicus</w:t>
      </w:r>
      <w:r w:rsidRPr="00F15971">
        <w:rPr>
          <w:rFonts w:ascii="Times" w:hAnsi="Times"/>
        </w:rPr>
        <w:t>)</w:t>
      </w:r>
      <w:r w:rsidRPr="00F15971">
        <w:rPr>
          <w:rFonts w:ascii="Times" w:hAnsi="Times"/>
          <w:i/>
        </w:rPr>
        <w:t xml:space="preserve">, </w:t>
      </w:r>
      <w:r w:rsidRPr="00F15971">
        <w:rPr>
          <w:rFonts w:ascii="Times" w:hAnsi="Times"/>
        </w:rPr>
        <w:t>and Barred sand bass (</w:t>
      </w:r>
      <w:r w:rsidRPr="00F15971">
        <w:rPr>
          <w:rFonts w:ascii="Times" w:hAnsi="Times"/>
          <w:i/>
        </w:rPr>
        <w:t>Paralabrax nebulifer</w:t>
      </w:r>
      <w:r w:rsidRPr="00F15971">
        <w:rPr>
          <w:rFonts w:ascii="Times" w:hAnsi="Times"/>
        </w:rPr>
        <w:t xml:space="preserve">)] (R2&gt;0.28), but did not track two species (White croaker </w:t>
      </w:r>
      <w:proofErr w:type="spellStart"/>
      <w:r w:rsidRPr="00F15971">
        <w:rPr>
          <w:rFonts w:ascii="Times" w:hAnsi="Times"/>
          <w:i/>
        </w:rPr>
        <w:t>Genyonemus</w:t>
      </w:r>
      <w:proofErr w:type="spellEnd"/>
      <w:r w:rsidRPr="00F15971">
        <w:rPr>
          <w:rFonts w:ascii="Times" w:hAnsi="Times"/>
          <w:i/>
        </w:rPr>
        <w:t xml:space="preserve"> </w:t>
      </w:r>
      <w:proofErr w:type="spellStart"/>
      <w:r w:rsidRPr="00F15971">
        <w:rPr>
          <w:rFonts w:ascii="Times" w:hAnsi="Times"/>
          <w:i/>
        </w:rPr>
        <w:t>lineatus</w:t>
      </w:r>
      <w:proofErr w:type="spellEnd"/>
      <w:r w:rsidRPr="00F15971">
        <w:rPr>
          <w:rFonts w:ascii="Times" w:hAnsi="Times"/>
          <w:i/>
        </w:rPr>
        <w:t xml:space="preserve"> </w:t>
      </w:r>
      <w:r w:rsidRPr="00F15971">
        <w:rPr>
          <w:rFonts w:ascii="Times" w:hAnsi="Times"/>
        </w:rPr>
        <w:t xml:space="preserve">and </w:t>
      </w:r>
      <w:r w:rsidRPr="00F15971">
        <w:rPr>
          <w:rFonts w:ascii="Times" w:hAnsi="Times"/>
          <w:i/>
        </w:rPr>
        <w:t>E. mordax</w:t>
      </w:r>
      <w:r w:rsidRPr="00F15971">
        <w:rPr>
          <w:rFonts w:ascii="Times" w:hAnsi="Times"/>
        </w:rPr>
        <w:t>) (Figure</w:t>
      </w:r>
      <w:r w:rsidR="00CD2254" w:rsidRPr="00F15971">
        <w:rPr>
          <w:rFonts w:ascii="Times" w:hAnsi="Times"/>
        </w:rPr>
        <w:t>s S6-7</w:t>
      </w:r>
      <w:r w:rsidRPr="00F15971">
        <w:rPr>
          <w:rFonts w:ascii="Times" w:hAnsi="Times"/>
        </w:rPr>
        <w:t xml:space="preserve">). The poor biomass correlation observed in </w:t>
      </w:r>
      <w:r w:rsidRPr="00F15971">
        <w:rPr>
          <w:rFonts w:ascii="Times" w:hAnsi="Times"/>
          <w:i/>
        </w:rPr>
        <w:t>G. </w:t>
      </w:r>
      <w:proofErr w:type="spellStart"/>
      <w:r w:rsidRPr="00F15971">
        <w:rPr>
          <w:rFonts w:ascii="Times" w:hAnsi="Times"/>
          <w:i/>
        </w:rPr>
        <w:t>lineatus</w:t>
      </w:r>
      <w:proofErr w:type="spellEnd"/>
      <w:r w:rsidRPr="00F15971">
        <w:rPr>
          <w:rFonts w:ascii="Times" w:hAnsi="Times"/>
        </w:rPr>
        <w:t xml:space="preserve"> was driven by one strong eDNA detection in which the trawl failed to catch any of the schooling White croaker. Likewise, eDNA detected </w:t>
      </w:r>
      <w:r w:rsidRPr="00F15971">
        <w:rPr>
          <w:rFonts w:ascii="Times" w:hAnsi="Times"/>
          <w:i/>
        </w:rPr>
        <w:t>E. mordax</w:t>
      </w:r>
      <w:r w:rsidRPr="00F15971">
        <w:rPr>
          <w:rFonts w:ascii="Times" w:hAnsi="Times"/>
        </w:rPr>
        <w:t xml:space="preserve"> (also a schooling species) at every site, while trawls only collected 198 individuals at one site and 2 individuals at another. These results likely reflect the difficulty that a small number of trawls would have in sampling schooling (highly under-dispersed) species. </w:t>
      </w:r>
    </w:p>
    <w:p w14:paraId="4973A85B" w14:textId="77777777" w:rsidR="00D93307" w:rsidRPr="00F15971" w:rsidRDefault="00D93307" w:rsidP="00D93307">
      <w:pPr>
        <w:rPr>
          <w:rFonts w:ascii="Times" w:hAnsi="Times"/>
        </w:rPr>
      </w:pPr>
    </w:p>
    <w:p w14:paraId="750E953B" w14:textId="50EC0D6C" w:rsidR="00D93307" w:rsidRPr="00F15971" w:rsidRDefault="00CD2254" w:rsidP="00D93307">
      <w:pPr>
        <w:widowControl w:val="0"/>
        <w:rPr>
          <w:rFonts w:ascii="Times" w:hAnsi="Times"/>
        </w:rPr>
      </w:pPr>
      <w:r w:rsidRPr="00F15971">
        <w:rPr>
          <w:rFonts w:ascii="Times" w:hAnsi="Times"/>
          <w:noProof/>
        </w:rPr>
        <w:lastRenderedPageBreak/>
        <w:drawing>
          <wp:inline distT="0" distB="0" distL="0" distR="0" wp14:anchorId="0ACBC560" wp14:editId="2C02147B">
            <wp:extent cx="5943600" cy="2971800"/>
            <wp:effectExtent l="0" t="0" r="0" b="0"/>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628ED2" w14:textId="230DD579" w:rsidR="00CD2254" w:rsidRPr="00F15971" w:rsidRDefault="00D93307" w:rsidP="00CD2254">
      <w:pPr>
        <w:spacing w:after="0"/>
        <w:rPr>
          <w:rFonts w:ascii="Times" w:hAnsi="Times"/>
          <w:b/>
        </w:rPr>
      </w:pPr>
      <w:r w:rsidRPr="00F15971">
        <w:rPr>
          <w:rFonts w:ascii="Times" w:hAnsi="Times"/>
          <w:b/>
        </w:rPr>
        <w:t>Figure S</w:t>
      </w:r>
      <w:r w:rsidR="00FC0618" w:rsidRPr="00F15971">
        <w:rPr>
          <w:rFonts w:ascii="Times" w:hAnsi="Times"/>
          <w:b/>
        </w:rPr>
        <w:t>6</w:t>
      </w:r>
      <w:r w:rsidRPr="00F15971">
        <w:rPr>
          <w:rFonts w:ascii="Times" w:hAnsi="Times"/>
          <w:b/>
        </w:rPr>
        <w:t>. eDNA</w:t>
      </w:r>
      <w:r w:rsidR="00CD2254" w:rsidRPr="00F15971">
        <w:rPr>
          <w:rFonts w:ascii="Times" w:hAnsi="Times"/>
          <w:b/>
        </w:rPr>
        <w:t xml:space="preserve"> Index vs.</w:t>
      </w:r>
      <w:r w:rsidRPr="00F15971">
        <w:rPr>
          <w:rFonts w:ascii="Times" w:hAnsi="Times"/>
          <w:b/>
        </w:rPr>
        <w:t xml:space="preserve"> Trawl </w:t>
      </w:r>
      <w:r w:rsidR="00CD2254" w:rsidRPr="00F15971">
        <w:rPr>
          <w:rFonts w:ascii="Times" w:hAnsi="Times"/>
          <w:b/>
        </w:rPr>
        <w:t>Biomass (kg)</w:t>
      </w:r>
    </w:p>
    <w:p w14:paraId="64C34BDC" w14:textId="67D2579D" w:rsidR="00CD2254" w:rsidRPr="00F15971" w:rsidRDefault="00CD2254" w:rsidP="00CD2254">
      <w:pPr>
        <w:ind w:left="720" w:firstLine="0"/>
        <w:rPr>
          <w:rFonts w:ascii="Times" w:hAnsi="Times"/>
          <w:bCs/>
        </w:rPr>
      </w:pPr>
      <w:r w:rsidRPr="00F15971">
        <w:rPr>
          <w:rFonts w:ascii="Times" w:hAnsi="Times"/>
          <w:bCs/>
        </w:rPr>
        <w:t xml:space="preserve">eDNA index tracked biomass for three of the five species with sufficient data points to be analyzed. We note that such correlations between eDNA metabarcoding results and visual observations are fraught with challenges as detailed in the Discussion section. </w:t>
      </w:r>
    </w:p>
    <w:p w14:paraId="4B7FE108" w14:textId="59EE2086" w:rsidR="00D93307" w:rsidRPr="00F15971" w:rsidRDefault="00CD2254" w:rsidP="00D93307">
      <w:pPr>
        <w:rPr>
          <w:rFonts w:ascii="Times" w:hAnsi="Times"/>
          <w:b/>
        </w:rPr>
      </w:pPr>
      <w:r w:rsidRPr="00F15971">
        <w:rPr>
          <w:rFonts w:ascii="Times" w:hAnsi="Times"/>
          <w:b/>
          <w:noProof/>
        </w:rPr>
        <w:drawing>
          <wp:inline distT="0" distB="0" distL="0" distR="0" wp14:anchorId="152DA5DC" wp14:editId="09F011F9">
            <wp:extent cx="5943600" cy="2971800"/>
            <wp:effectExtent l="0" t="0" r="0" b="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8939E6" w14:textId="2D0F62F5" w:rsidR="00CD2254" w:rsidRPr="00F15971" w:rsidRDefault="00CD2254" w:rsidP="00CD2254">
      <w:pPr>
        <w:spacing w:after="0"/>
        <w:rPr>
          <w:rFonts w:ascii="Times" w:hAnsi="Times"/>
          <w:b/>
        </w:rPr>
      </w:pPr>
      <w:r w:rsidRPr="00F15971">
        <w:rPr>
          <w:rFonts w:ascii="Times" w:hAnsi="Times"/>
          <w:b/>
        </w:rPr>
        <w:t>Figure S7. eDNA Index vs. Trawl Abundance (counts)</w:t>
      </w:r>
    </w:p>
    <w:p w14:paraId="03E8DFA1" w14:textId="0CF45C85" w:rsidR="00D93307" w:rsidRPr="00F15971" w:rsidRDefault="00CD2254" w:rsidP="00CD2254">
      <w:pPr>
        <w:spacing w:after="0"/>
        <w:ind w:left="720" w:firstLine="0"/>
        <w:rPr>
          <w:rFonts w:ascii="Times" w:hAnsi="Times"/>
          <w:bCs/>
        </w:rPr>
      </w:pPr>
      <w:r w:rsidRPr="00F15971">
        <w:rPr>
          <w:rFonts w:ascii="Times" w:hAnsi="Times"/>
          <w:bCs/>
        </w:rPr>
        <w:lastRenderedPageBreak/>
        <w:t xml:space="preserve">eDNA index tracked biomass for three of the five species with sufficient data points to be analyzed. We note that such correlations between eDNA metabarcoding results and visual observations are fraught with challenges as detailed in the Discussion section. </w:t>
      </w:r>
    </w:p>
    <w:p w14:paraId="158E0F4B" w14:textId="77777777" w:rsidR="00CD2254" w:rsidRPr="00F15971" w:rsidRDefault="00CD2254" w:rsidP="00CD2254">
      <w:pPr>
        <w:spacing w:after="0"/>
        <w:ind w:left="720" w:firstLine="0"/>
        <w:rPr>
          <w:rFonts w:ascii="Times" w:hAnsi="Times"/>
          <w:bCs/>
        </w:rPr>
      </w:pPr>
    </w:p>
    <w:p w14:paraId="17D7D04C" w14:textId="0CFBA9E3" w:rsidR="00D93307" w:rsidRPr="00F15971" w:rsidRDefault="00D93307" w:rsidP="00D93307">
      <w:pPr>
        <w:rPr>
          <w:rFonts w:ascii="Times" w:hAnsi="Times"/>
        </w:rPr>
      </w:pPr>
      <w:r w:rsidRPr="00F15971">
        <w:rPr>
          <w:rFonts w:ascii="Times" w:hAnsi="Times"/>
        </w:rPr>
        <w:t xml:space="preserve">These results suggest an imperfect relationship between eDNA and </w:t>
      </w:r>
      <w:r w:rsidR="00D1121C">
        <w:rPr>
          <w:rFonts w:ascii="Times" w:hAnsi="Times"/>
        </w:rPr>
        <w:t>trawl-derived</w:t>
      </w:r>
      <w:r w:rsidRPr="00F15971">
        <w:rPr>
          <w:rFonts w:ascii="Times" w:hAnsi="Times"/>
        </w:rPr>
        <w:t xml:space="preserve"> estimates of biomass likely driven by the variability between repeated trawl tows (Shelton et al. 2019). In our case study, eDNA methods far more consistently detected species observed by trawls (Figure 5), suggesting that intra-site variability of eDNA methods may have been lower. However, correlations between methods conducted here only have seven corresponding data points, making any comparison limited at best.</w:t>
      </w:r>
    </w:p>
    <w:p w14:paraId="3DEDD040" w14:textId="77777777" w:rsidR="00705F3E" w:rsidRPr="00F15971" w:rsidRDefault="00705F3E">
      <w:pPr>
        <w:rPr>
          <w:rFonts w:ascii="Times" w:hAnsi="Times"/>
        </w:rPr>
      </w:pPr>
    </w:p>
    <w:sectPr w:rsidR="00705F3E" w:rsidRPr="00F1597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AE3EB" w14:textId="77777777" w:rsidR="006C068A" w:rsidRDefault="006C068A">
      <w:pPr>
        <w:spacing w:after="0" w:line="240" w:lineRule="auto"/>
      </w:pPr>
      <w:r>
        <w:separator/>
      </w:r>
    </w:p>
  </w:endnote>
  <w:endnote w:type="continuationSeparator" w:id="0">
    <w:p w14:paraId="211C6E73" w14:textId="77777777" w:rsidR="006C068A" w:rsidRDefault="006C0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4F83" w14:textId="77777777" w:rsidR="00AF7CB8" w:rsidRDefault="00FA758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7BA5F" w14:textId="77777777" w:rsidR="006C068A" w:rsidRDefault="006C068A">
      <w:pPr>
        <w:spacing w:after="0" w:line="240" w:lineRule="auto"/>
      </w:pPr>
      <w:r>
        <w:separator/>
      </w:r>
    </w:p>
  </w:footnote>
  <w:footnote w:type="continuationSeparator" w:id="0">
    <w:p w14:paraId="0831217E" w14:textId="77777777" w:rsidR="006C068A" w:rsidRDefault="006C0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3FD6"/>
    <w:multiLevelType w:val="hybridMultilevel"/>
    <w:tmpl w:val="F7F4C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D34748"/>
    <w:multiLevelType w:val="hybridMultilevel"/>
    <w:tmpl w:val="18C8F7E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0173448">
    <w:abstractNumId w:val="0"/>
  </w:num>
  <w:num w:numId="2" w16cid:durableId="1402870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307"/>
    <w:rsid w:val="00352677"/>
    <w:rsid w:val="003A1513"/>
    <w:rsid w:val="003F1E24"/>
    <w:rsid w:val="006C068A"/>
    <w:rsid w:val="00705F3E"/>
    <w:rsid w:val="00A356E2"/>
    <w:rsid w:val="00AF2630"/>
    <w:rsid w:val="00B16415"/>
    <w:rsid w:val="00CD2254"/>
    <w:rsid w:val="00D1121C"/>
    <w:rsid w:val="00D93307"/>
    <w:rsid w:val="00F15971"/>
    <w:rsid w:val="00F702E5"/>
    <w:rsid w:val="00FA7585"/>
    <w:rsid w:val="00FC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0BD2"/>
  <w15:chartTrackingRefBased/>
  <w15:docId w15:val="{87CDDE91-43B3-C04D-BBEE-F3579A48F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307"/>
    <w:pPr>
      <w:spacing w:after="120" w:line="480" w:lineRule="auto"/>
      <w:ind w:firstLine="720"/>
    </w:pPr>
    <w:rPr>
      <w:rFonts w:ascii="Times New Roman" w:eastAsia="Times New Roman" w:hAnsi="Times New Roman" w:cs="Times New Roman"/>
      <w:sz w:val="22"/>
      <w:szCs w:val="22"/>
      <w:lang w:val="en"/>
    </w:rPr>
  </w:style>
  <w:style w:type="paragraph" w:styleId="Heading1">
    <w:name w:val="heading 1"/>
    <w:basedOn w:val="Normal"/>
    <w:next w:val="Normal"/>
    <w:link w:val="Heading1Char"/>
    <w:uiPriority w:val="9"/>
    <w:qFormat/>
    <w:rsid w:val="00D93307"/>
    <w:pPr>
      <w:keepNext/>
      <w:keepLines/>
      <w:pageBreakBefore/>
      <w:spacing w:before="480"/>
      <w:ind w:firstLine="0"/>
      <w:outlineLvl w:val="0"/>
    </w:pPr>
    <w:rPr>
      <w:i/>
      <w:sz w:val="40"/>
      <w:szCs w:val="40"/>
    </w:rPr>
  </w:style>
  <w:style w:type="paragraph" w:styleId="Heading2">
    <w:name w:val="heading 2"/>
    <w:basedOn w:val="Normal"/>
    <w:next w:val="Normal"/>
    <w:link w:val="Heading2Char"/>
    <w:uiPriority w:val="9"/>
    <w:unhideWhenUsed/>
    <w:qFormat/>
    <w:rsid w:val="00D93307"/>
    <w:pPr>
      <w:keepNext/>
      <w:keepLines/>
      <w:spacing w:before="360" w:after="0"/>
      <w:ind w:firstLine="0"/>
      <w:outlineLvl w:val="1"/>
    </w:pPr>
    <w:rPr>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307"/>
    <w:rPr>
      <w:rFonts w:ascii="Times New Roman" w:eastAsia="Times New Roman" w:hAnsi="Times New Roman" w:cs="Times New Roman"/>
      <w:i/>
      <w:sz w:val="40"/>
      <w:szCs w:val="40"/>
      <w:lang w:val="en"/>
    </w:rPr>
  </w:style>
  <w:style w:type="character" w:customStyle="1" w:styleId="Heading2Char">
    <w:name w:val="Heading 2 Char"/>
    <w:basedOn w:val="DefaultParagraphFont"/>
    <w:link w:val="Heading2"/>
    <w:uiPriority w:val="9"/>
    <w:rsid w:val="00D93307"/>
    <w:rPr>
      <w:rFonts w:ascii="Times New Roman" w:eastAsia="Times New Roman" w:hAnsi="Times New Roman" w:cs="Times New Roman"/>
      <w:i/>
      <w:sz w:val="28"/>
      <w:szCs w:val="28"/>
      <w:lang w:val="en"/>
    </w:rPr>
  </w:style>
  <w:style w:type="paragraph" w:styleId="ListParagraph">
    <w:name w:val="List Paragraph"/>
    <w:basedOn w:val="Normal"/>
    <w:uiPriority w:val="34"/>
    <w:qFormat/>
    <w:rsid w:val="00F702E5"/>
    <w:pPr>
      <w:ind w:left="720"/>
      <w:contextualSpacing/>
    </w:pPr>
  </w:style>
  <w:style w:type="paragraph" w:customStyle="1" w:styleId="Normal1">
    <w:name w:val="Normal1"/>
    <w:rsid w:val="00F15971"/>
    <w:pPr>
      <w:spacing w:line="276" w:lineRule="auto"/>
      <w:contextualSpacing/>
    </w:pPr>
    <w:rPr>
      <w:rFonts w:ascii="Arial" w:eastAsia="Arial" w:hAnsi="Arial" w:cs="Arial"/>
      <w:sz w:val="22"/>
      <w:szCs w:val="22"/>
    </w:rPr>
  </w:style>
  <w:style w:type="table" w:styleId="TableGrid">
    <w:name w:val="Table Grid"/>
    <w:basedOn w:val="TableNormal"/>
    <w:rsid w:val="00F15971"/>
    <w:pPr>
      <w:contextualSpacing/>
    </w:pPr>
    <w:rPr>
      <w:rFonts w:ascii="Arial" w:eastAsia="Arial" w:hAnsi="Arial"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F159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193">
      <w:bodyDiv w:val="1"/>
      <w:marLeft w:val="0"/>
      <w:marRight w:val="0"/>
      <w:marTop w:val="0"/>
      <w:marBottom w:val="0"/>
      <w:divBdr>
        <w:top w:val="none" w:sz="0" w:space="0" w:color="auto"/>
        <w:left w:val="none" w:sz="0" w:space="0" w:color="auto"/>
        <w:bottom w:val="none" w:sz="0" w:space="0" w:color="auto"/>
        <w:right w:val="none" w:sz="0" w:space="0" w:color="auto"/>
      </w:divBdr>
    </w:div>
    <w:div w:id="137920468">
      <w:bodyDiv w:val="1"/>
      <w:marLeft w:val="0"/>
      <w:marRight w:val="0"/>
      <w:marTop w:val="0"/>
      <w:marBottom w:val="0"/>
      <w:divBdr>
        <w:top w:val="none" w:sz="0" w:space="0" w:color="auto"/>
        <w:left w:val="none" w:sz="0" w:space="0" w:color="auto"/>
        <w:bottom w:val="none" w:sz="0" w:space="0" w:color="auto"/>
        <w:right w:val="none" w:sz="0" w:space="0" w:color="auto"/>
      </w:divBdr>
    </w:div>
    <w:div w:id="301808745">
      <w:bodyDiv w:val="1"/>
      <w:marLeft w:val="0"/>
      <w:marRight w:val="0"/>
      <w:marTop w:val="0"/>
      <w:marBottom w:val="0"/>
      <w:divBdr>
        <w:top w:val="none" w:sz="0" w:space="0" w:color="auto"/>
        <w:left w:val="none" w:sz="0" w:space="0" w:color="auto"/>
        <w:bottom w:val="none" w:sz="0" w:space="0" w:color="auto"/>
        <w:right w:val="none" w:sz="0" w:space="0" w:color="auto"/>
      </w:divBdr>
    </w:div>
    <w:div w:id="659848349">
      <w:bodyDiv w:val="1"/>
      <w:marLeft w:val="0"/>
      <w:marRight w:val="0"/>
      <w:marTop w:val="0"/>
      <w:marBottom w:val="0"/>
      <w:divBdr>
        <w:top w:val="none" w:sz="0" w:space="0" w:color="auto"/>
        <w:left w:val="none" w:sz="0" w:space="0" w:color="auto"/>
        <w:bottom w:val="none" w:sz="0" w:space="0" w:color="auto"/>
        <w:right w:val="none" w:sz="0" w:space="0" w:color="auto"/>
      </w:divBdr>
    </w:div>
    <w:div w:id="972292126">
      <w:bodyDiv w:val="1"/>
      <w:marLeft w:val="0"/>
      <w:marRight w:val="0"/>
      <w:marTop w:val="0"/>
      <w:marBottom w:val="0"/>
      <w:divBdr>
        <w:top w:val="none" w:sz="0" w:space="0" w:color="auto"/>
        <w:left w:val="none" w:sz="0" w:space="0" w:color="auto"/>
        <w:bottom w:val="none" w:sz="0" w:space="0" w:color="auto"/>
        <w:right w:val="none" w:sz="0" w:space="0" w:color="auto"/>
      </w:divBdr>
    </w:div>
    <w:div w:id="1025596437">
      <w:bodyDiv w:val="1"/>
      <w:marLeft w:val="0"/>
      <w:marRight w:val="0"/>
      <w:marTop w:val="0"/>
      <w:marBottom w:val="0"/>
      <w:divBdr>
        <w:top w:val="none" w:sz="0" w:space="0" w:color="auto"/>
        <w:left w:val="none" w:sz="0" w:space="0" w:color="auto"/>
        <w:bottom w:val="none" w:sz="0" w:space="0" w:color="auto"/>
        <w:right w:val="none" w:sz="0" w:space="0" w:color="auto"/>
      </w:divBdr>
    </w:div>
    <w:div w:id="1040859431">
      <w:bodyDiv w:val="1"/>
      <w:marLeft w:val="0"/>
      <w:marRight w:val="0"/>
      <w:marTop w:val="0"/>
      <w:marBottom w:val="0"/>
      <w:divBdr>
        <w:top w:val="none" w:sz="0" w:space="0" w:color="auto"/>
        <w:left w:val="none" w:sz="0" w:space="0" w:color="auto"/>
        <w:bottom w:val="none" w:sz="0" w:space="0" w:color="auto"/>
        <w:right w:val="none" w:sz="0" w:space="0" w:color="auto"/>
      </w:divBdr>
    </w:div>
    <w:div w:id="1056509236">
      <w:bodyDiv w:val="1"/>
      <w:marLeft w:val="0"/>
      <w:marRight w:val="0"/>
      <w:marTop w:val="0"/>
      <w:marBottom w:val="0"/>
      <w:divBdr>
        <w:top w:val="none" w:sz="0" w:space="0" w:color="auto"/>
        <w:left w:val="none" w:sz="0" w:space="0" w:color="auto"/>
        <w:bottom w:val="none" w:sz="0" w:space="0" w:color="auto"/>
        <w:right w:val="none" w:sz="0" w:space="0" w:color="auto"/>
      </w:divBdr>
    </w:div>
    <w:div w:id="1148746539">
      <w:bodyDiv w:val="1"/>
      <w:marLeft w:val="0"/>
      <w:marRight w:val="0"/>
      <w:marTop w:val="0"/>
      <w:marBottom w:val="0"/>
      <w:divBdr>
        <w:top w:val="none" w:sz="0" w:space="0" w:color="auto"/>
        <w:left w:val="none" w:sz="0" w:space="0" w:color="auto"/>
        <w:bottom w:val="none" w:sz="0" w:space="0" w:color="auto"/>
        <w:right w:val="none" w:sz="0" w:space="0" w:color="auto"/>
      </w:divBdr>
    </w:div>
    <w:div w:id="1164277392">
      <w:bodyDiv w:val="1"/>
      <w:marLeft w:val="0"/>
      <w:marRight w:val="0"/>
      <w:marTop w:val="0"/>
      <w:marBottom w:val="0"/>
      <w:divBdr>
        <w:top w:val="none" w:sz="0" w:space="0" w:color="auto"/>
        <w:left w:val="none" w:sz="0" w:space="0" w:color="auto"/>
        <w:bottom w:val="none" w:sz="0" w:space="0" w:color="auto"/>
        <w:right w:val="none" w:sz="0" w:space="0" w:color="auto"/>
      </w:divBdr>
    </w:div>
    <w:div w:id="1215893741">
      <w:bodyDiv w:val="1"/>
      <w:marLeft w:val="0"/>
      <w:marRight w:val="0"/>
      <w:marTop w:val="0"/>
      <w:marBottom w:val="0"/>
      <w:divBdr>
        <w:top w:val="none" w:sz="0" w:space="0" w:color="auto"/>
        <w:left w:val="none" w:sz="0" w:space="0" w:color="auto"/>
        <w:bottom w:val="none" w:sz="0" w:space="0" w:color="auto"/>
        <w:right w:val="none" w:sz="0" w:space="0" w:color="auto"/>
      </w:divBdr>
    </w:div>
    <w:div w:id="1236162844">
      <w:bodyDiv w:val="1"/>
      <w:marLeft w:val="0"/>
      <w:marRight w:val="0"/>
      <w:marTop w:val="0"/>
      <w:marBottom w:val="0"/>
      <w:divBdr>
        <w:top w:val="none" w:sz="0" w:space="0" w:color="auto"/>
        <w:left w:val="none" w:sz="0" w:space="0" w:color="auto"/>
        <w:bottom w:val="none" w:sz="0" w:space="0" w:color="auto"/>
        <w:right w:val="none" w:sz="0" w:space="0" w:color="auto"/>
      </w:divBdr>
    </w:div>
    <w:div w:id="1418942673">
      <w:bodyDiv w:val="1"/>
      <w:marLeft w:val="0"/>
      <w:marRight w:val="0"/>
      <w:marTop w:val="0"/>
      <w:marBottom w:val="0"/>
      <w:divBdr>
        <w:top w:val="none" w:sz="0" w:space="0" w:color="auto"/>
        <w:left w:val="none" w:sz="0" w:space="0" w:color="auto"/>
        <w:bottom w:val="none" w:sz="0" w:space="0" w:color="auto"/>
        <w:right w:val="none" w:sz="0" w:space="0" w:color="auto"/>
      </w:divBdr>
    </w:div>
    <w:div w:id="1586038187">
      <w:bodyDiv w:val="1"/>
      <w:marLeft w:val="0"/>
      <w:marRight w:val="0"/>
      <w:marTop w:val="0"/>
      <w:marBottom w:val="0"/>
      <w:divBdr>
        <w:top w:val="none" w:sz="0" w:space="0" w:color="auto"/>
        <w:left w:val="none" w:sz="0" w:space="0" w:color="auto"/>
        <w:bottom w:val="none" w:sz="0" w:space="0" w:color="auto"/>
        <w:right w:val="none" w:sz="0" w:space="0" w:color="auto"/>
      </w:divBdr>
    </w:div>
    <w:div w:id="1651212248">
      <w:bodyDiv w:val="1"/>
      <w:marLeft w:val="0"/>
      <w:marRight w:val="0"/>
      <w:marTop w:val="0"/>
      <w:marBottom w:val="0"/>
      <w:divBdr>
        <w:top w:val="none" w:sz="0" w:space="0" w:color="auto"/>
        <w:left w:val="none" w:sz="0" w:space="0" w:color="auto"/>
        <w:bottom w:val="none" w:sz="0" w:space="0" w:color="auto"/>
        <w:right w:val="none" w:sz="0" w:space="0" w:color="auto"/>
      </w:divBdr>
    </w:div>
    <w:div w:id="1692341584">
      <w:bodyDiv w:val="1"/>
      <w:marLeft w:val="0"/>
      <w:marRight w:val="0"/>
      <w:marTop w:val="0"/>
      <w:marBottom w:val="0"/>
      <w:divBdr>
        <w:top w:val="none" w:sz="0" w:space="0" w:color="auto"/>
        <w:left w:val="none" w:sz="0" w:space="0" w:color="auto"/>
        <w:bottom w:val="none" w:sz="0" w:space="0" w:color="auto"/>
        <w:right w:val="none" w:sz="0" w:space="0" w:color="auto"/>
      </w:divBdr>
    </w:div>
    <w:div w:id="2000764633">
      <w:bodyDiv w:val="1"/>
      <w:marLeft w:val="0"/>
      <w:marRight w:val="0"/>
      <w:marTop w:val="0"/>
      <w:marBottom w:val="0"/>
      <w:divBdr>
        <w:top w:val="none" w:sz="0" w:space="0" w:color="auto"/>
        <w:left w:val="none" w:sz="0" w:space="0" w:color="auto"/>
        <w:bottom w:val="none" w:sz="0" w:space="0" w:color="auto"/>
        <w:right w:val="none" w:sz="0" w:space="0" w:color="auto"/>
      </w:divBdr>
    </w:div>
    <w:div w:id="206892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erj.com/about/author-instructions"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erj.com/about/author-instruction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peerj.com/about/author-instruction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peerj.com/about/author-instruction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46DB9-3607-9E40-88B9-695C553E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24232</Words>
  <Characters>138124</Characters>
  <Application>Microsoft Office Word</Application>
  <DocSecurity>0</DocSecurity>
  <Lines>1151</Lines>
  <Paragraphs>324</Paragraphs>
  <ScaleCrop>false</ScaleCrop>
  <Company/>
  <LinksUpToDate>false</LinksUpToDate>
  <CharactersWithSpaces>162032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Gold</dc:creator>
  <cp:keywords/>
  <dc:description/>
  <cp:lastModifiedBy>Zachary Gold</cp:lastModifiedBy>
  <cp:revision>3</cp:revision>
  <dcterms:created xsi:type="dcterms:W3CDTF">2022-06-20T05:20:00Z</dcterms:created>
  <dcterms:modified xsi:type="dcterms:W3CDTF">2022-06-21T21:21:00Z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http://www.zotero.org/styles/conservation-genetics-resources</vt:lpwstr>
  </property>
  <property fmtid="{D5CDD505-2E9C-101B-9397-08002B2CF9AE}" pid="5" name="Mendeley Recent Style Name 1_1">
    <vt:lpwstr>Conservation Genetics Resources</vt:lpwstr>
  </property>
  <property fmtid="{D5CDD505-2E9C-101B-9397-08002B2CF9AE}" pid="6" name="Mendeley Recent Style Id 2_1">
    <vt:lpwstr>http://www.zotero.org/styles/ecology</vt:lpwstr>
  </property>
  <property fmtid="{D5CDD505-2E9C-101B-9397-08002B2CF9AE}" pid="7" name="Mendeley Recent Style Name 2_1">
    <vt:lpwstr>Ecology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http://www.zotero.org/styles/plos-one</vt:lpwstr>
  </property>
  <property fmtid="{D5CDD505-2E9C-101B-9397-08002B2CF9AE}" pid="13" name="Mendeley Recent Style Name 5_1">
    <vt:lpwstr>PLOS ONE</vt:lpwstr>
  </property>
  <property fmtid="{D5CDD505-2E9C-101B-9397-08002B2CF9AE}" pid="14" name="Mendeley Recent Style Id 6_1">
    <vt:lpwstr>http://www.zotero.org/styles/peerj</vt:lpwstr>
  </property>
  <property fmtid="{D5CDD505-2E9C-101B-9397-08002B2CF9AE}" pid="15" name="Mendeley Recent Style Name 6_1">
    <vt:lpwstr>PeerJ</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36705857-f911-3d59-87c6-44a470f113d8</vt:lpwstr>
  </property>
  <property fmtid="{D5CDD505-2E9C-101B-9397-08002B2CF9AE}" pid="24" name="Mendeley Citation Style_1">
    <vt:lpwstr>http://www.zotero.org/styles/peerj</vt:lpwstr>
  </property>
</Properties>
</file>