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blood miRNA-sequencing data are deposited in the NCBI Sequence Read Archive database</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under the accession number </w:t>
      </w:r>
      <w:r>
        <w:rPr>
          <w:rFonts w:hint="default" w:ascii="Times New Roman" w:hAnsi="Times New Roman" w:cs="Times New Roman"/>
          <w:color w:val="000000" w:themeColor="text1"/>
          <w:sz w:val="24"/>
          <w:szCs w:val="24"/>
          <w:lang w:val="en-US" w:eastAsia="zh-CN"/>
          <w14:textFill>
            <w14:solidFill>
              <w14:schemeClr w14:val="tx1"/>
            </w14:solidFill>
          </w14:textFill>
        </w:rPr>
        <w:t>SRX9254510-</w:t>
      </w:r>
      <w:r>
        <w:rPr>
          <w:rFonts w:hint="default" w:ascii="Times New Roman" w:hAnsi="Times New Roman" w:cs="Times New Roman"/>
          <w:color w:val="000000" w:themeColor="text1"/>
          <w:sz w:val="24"/>
          <w:szCs w:val="24"/>
          <w14:textFill>
            <w14:solidFill>
              <w14:schemeClr w14:val="tx1"/>
            </w14:solidFill>
          </w14:textFill>
        </w:rPr>
        <w:t>SRX9254519</w:t>
      </w:r>
      <w:r>
        <w:rPr>
          <w:rFonts w:hint="default"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In this study, </w:t>
      </w:r>
      <w:r>
        <w:rPr>
          <w:rFonts w:hint="default" w:ascii="Times New Roman" w:hAnsi="Times New Roman" w:cs="Times New Roman"/>
          <w:color w:val="000000" w:themeColor="text1"/>
          <w:sz w:val="24"/>
          <w:szCs w:val="24"/>
          <w:lang w:val="en-US" w:eastAsia="zh-CN"/>
          <w14:textFill>
            <w14:solidFill>
              <w14:schemeClr w14:val="tx1"/>
            </w14:solidFill>
          </w14:textFill>
        </w:rPr>
        <w:t>the number of biological replicates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of the </w:t>
      </w:r>
      <w:r>
        <w:rPr>
          <w:rFonts w:hint="default" w:ascii="Times New Roman" w:hAnsi="Times New Roman" w:cs="Times New Roman"/>
          <w:color w:val="000000" w:themeColor="text1"/>
          <w:sz w:val="24"/>
          <w:szCs w:val="24"/>
          <w14:textFill>
            <w14:solidFill>
              <w14:schemeClr w14:val="tx1"/>
            </w14:solidFill>
          </w14:textFill>
        </w:rPr>
        <w:t>miRNA-sequencing</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was shown in line 113 and 133. However, just like any other studies (Jie et al., 2021; </w:t>
      </w:r>
      <w:r>
        <w:rPr>
          <w:rFonts w:hint="default" w:ascii="Times New Roman" w:hAnsi="Times New Roman" w:cs="Times New Roman"/>
          <w:color w:val="000000" w:themeColor="text1"/>
          <w:sz w:val="24"/>
          <w:szCs w:val="24"/>
          <w:lang w:val="en-US" w:eastAsia="zh-CN"/>
          <w14:textFill>
            <w14:solidFill>
              <w14:schemeClr w14:val="tx1"/>
            </w14:solidFill>
          </w14:textFill>
        </w:rPr>
        <w:t>Slota</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et al., 2019), it is failure to present the</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sequencing depth</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Because the read levels of each miRNA were different, and the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sequencing depth of current sequencing platforms exceeds </w:t>
      </w:r>
      <w:r>
        <w:rPr>
          <w:rFonts w:hint="eastAsia" w:ascii="Times New Roman" w:hAnsi="Times New Roman" w:cs="Times New Roman"/>
          <w:color w:val="000000" w:themeColor="text1"/>
          <w:sz w:val="24"/>
          <w:szCs w:val="24"/>
          <w:lang w:val="en-US" w:eastAsia="zh-CN"/>
          <w14:textFill>
            <w14:solidFill>
              <w14:schemeClr w14:val="tx1"/>
            </w14:solidFill>
          </w14:textFill>
        </w:rPr>
        <w:t>that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is necessary to quantify miRNAs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Vigneault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et al., 2012). Besides, the raw reads and clean reads of each FMD blood sample were shown in </w:t>
      </w:r>
      <w:bookmarkStart w:id="0" w:name="_GoBack"/>
      <w:bookmarkEnd w:id="0"/>
      <w:r>
        <w:rPr>
          <w:rFonts w:hint="eastAsia" w:ascii="Times New Roman" w:hAnsi="Times New Roman" w:cs="Times New Roman"/>
          <w:color w:val="000000" w:themeColor="text1"/>
          <w:sz w:val="24"/>
          <w:szCs w:val="24"/>
          <w:lang w:val="en-US" w:eastAsia="zh-CN"/>
          <w14:textFill>
            <w14:solidFill>
              <w14:schemeClr w14:val="tx1"/>
            </w14:solidFill>
          </w14:textFill>
        </w:rPr>
        <w:t>Table S4 (</w:t>
      </w:r>
      <w:r>
        <w:rPr>
          <w:rFonts w:hint="default" w:ascii="Times New Roman" w:hAnsi="Times New Roman" w:cs="Times New Roman"/>
          <w:color w:val="000000" w:themeColor="text1"/>
          <w:sz w:val="24"/>
          <w:szCs w:val="24"/>
          <w:lang w:val="en-US" w:eastAsia="zh-CN"/>
          <w14:textFill>
            <w14:solidFill>
              <w14:schemeClr w14:val="tx1"/>
            </w14:solidFill>
          </w14:textFill>
        </w:rPr>
        <w:t>&gt;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23 </w:t>
      </w:r>
      <w:r>
        <w:rPr>
          <w:rFonts w:hint="default" w:ascii="Times New Roman" w:hAnsi="Times New Roman" w:cs="Times New Roman"/>
          <w:color w:val="000000" w:themeColor="text1"/>
          <w:sz w:val="24"/>
          <w:szCs w:val="24"/>
          <w:lang w:val="en-US" w:eastAsia="zh-CN"/>
          <w14:textFill>
            <w14:solidFill>
              <w14:schemeClr w14:val="tx1"/>
            </w14:solidFill>
          </w14:textFill>
        </w:rPr>
        <w:t>million</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reads were sequenced for each sample</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eastAsia="zh-CN"/>
          <w14:textFill>
            <w14:solidFill>
              <w14:schemeClr w14:val="tx1"/>
            </w14:solidFill>
          </w14:textFill>
        </w:rPr>
      </w:pPr>
    </w:p>
    <w:p>
      <w:pPr>
        <w:spacing w:line="360" w:lineRule="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Jie H</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Xu Z, Gao J, Li F, Chen Y, Zeng D,</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et al</w:t>
      </w:r>
      <w:r>
        <w:rPr>
          <w:rFonts w:hint="default" w:ascii="Times New Roman" w:hAnsi="Times New Roman" w:cs="Times New Roman"/>
          <w:color w:val="000000" w:themeColor="text1"/>
          <w:sz w:val="24"/>
          <w:szCs w:val="24"/>
          <w:lang w:val="en-US" w:eastAsia="zh-CN"/>
          <w14:textFill>
            <w14:solidFill>
              <w14:schemeClr w14:val="tx1"/>
            </w14:solidFill>
          </w14:textFill>
        </w:rPr>
        <w:t>. 2021. Differential expression profiles of microRNAs in musk gland of unmated and mated forest musk deer (</w:t>
      </w:r>
      <w:r>
        <w:rPr>
          <w:rFonts w:hint="default" w:ascii="Times New Roman" w:hAnsi="Times New Roman" w:cs="Times New Roman"/>
          <w:i/>
          <w:iCs/>
          <w:color w:val="000000" w:themeColor="text1"/>
          <w:sz w:val="24"/>
          <w:szCs w:val="24"/>
          <w:lang w:val="en-US" w:eastAsia="zh-CN"/>
          <w14:textFill>
            <w14:solidFill>
              <w14:schemeClr w14:val="tx1"/>
            </w14:solidFill>
          </w14:textFill>
        </w:rPr>
        <w:t>Moschus berezovskii</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i/>
          <w:iCs/>
          <w:color w:val="000000" w:themeColor="text1"/>
          <w:sz w:val="24"/>
          <w:szCs w:val="24"/>
          <w:lang w:val="en-US" w:eastAsia="zh-CN"/>
          <w14:textFill>
            <w14:solidFill>
              <w14:schemeClr w14:val="tx1"/>
            </w14:solidFill>
          </w14:textFill>
        </w:rPr>
        <w:t>PeerJ</w:t>
      </w:r>
      <w:r>
        <w:rPr>
          <w:rFonts w:hint="default" w:ascii="Times New Roman" w:hAnsi="Times New Roman" w:cs="Times New Roman"/>
          <w:color w:val="000000" w:themeColor="text1"/>
          <w:sz w:val="24"/>
          <w:szCs w:val="24"/>
          <w:lang w:val="en-US" w:eastAsia="zh-CN"/>
          <w14:textFill>
            <w14:solidFill>
              <w14:schemeClr w14:val="tx1"/>
            </w14:solidFill>
          </w14:textFill>
        </w:rPr>
        <w:t>, 9</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e12710. </w:t>
      </w:r>
      <w:r>
        <w:rPr>
          <w:rFonts w:hint="eastAsia" w:ascii="Times New Roman" w:hAnsi="Times New Roman" w:cs="Times New Roman"/>
          <w:color w:val="000000" w:themeColor="text1"/>
          <w:sz w:val="24"/>
          <w:szCs w:val="24"/>
          <w:lang w:val="en-US" w:eastAsia="zh-CN"/>
          <w14:textFill>
            <w14:solidFill>
              <w14:schemeClr w14:val="tx1"/>
            </w14:solidFill>
          </w14:textFill>
        </w:rPr>
        <w:t>DOI:</w:t>
      </w:r>
      <w:r>
        <w:rPr>
          <w:rFonts w:hint="default" w:ascii="Times New Roman" w:hAnsi="Times New Roman" w:cs="Times New Roman"/>
          <w:color w:val="000000" w:themeColor="text1"/>
          <w:sz w:val="24"/>
          <w:szCs w:val="24"/>
          <w:lang w:val="en-US" w:eastAsia="zh-CN"/>
          <w14:textFill>
            <w14:solidFill>
              <w14:schemeClr w14:val="tx1"/>
            </w14:solidFill>
          </w14:textFill>
        </w:rPr>
        <w:t>10.7717/peerj.12710</w:t>
      </w:r>
      <w:r>
        <w:rPr>
          <w:rFonts w:hint="eastAsia" w:ascii="Times New Roman" w:hAnsi="Times New Roman" w:cs="Times New Roman"/>
          <w:color w:val="000000" w:themeColor="text1"/>
          <w:sz w:val="24"/>
          <w:szCs w:val="24"/>
          <w:lang w:val="en-US" w:eastAsia="zh-CN"/>
          <w14:textFill>
            <w14:solidFill>
              <w14:schemeClr w14:val="tx1"/>
            </w14:solidFill>
          </w14:textFill>
        </w:rPr>
        <w:t>.</w:t>
      </w:r>
    </w:p>
    <w:p>
      <w:pPr>
        <w:spacing w:line="360" w:lineRule="auto"/>
        <w:rPr>
          <w:rFonts w:hint="eastAsia" w:ascii="Times New Roman" w:hAnsi="Times New Roman"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Slota JA, Medina SJ, Klassen M, Gorski D, Mesa C.M, Robertson C, et al. 2019. Identification of circulating microRNA signatures as potential biomarkers in the serum of elk infected with chronic wasting disease. </w:t>
      </w:r>
      <w:r>
        <w:rPr>
          <w:rFonts w:hint="default" w:ascii="Times New Roman" w:hAnsi="Times New Roman" w:cs="Times New Roman"/>
          <w:i/>
          <w:iCs/>
          <w:color w:val="000000" w:themeColor="text1"/>
          <w:sz w:val="24"/>
          <w:szCs w:val="24"/>
          <w:lang w:val="en-US" w:eastAsia="zh-CN"/>
          <w14:textFill>
            <w14:solidFill>
              <w14:schemeClr w14:val="tx1"/>
            </w14:solidFill>
          </w14:textFill>
        </w:rPr>
        <w:t>Scientific Reports</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9:19705.DOI:10.1038/s41598-019-56249-6.</w:t>
      </w:r>
    </w:p>
    <w:p>
      <w:pPr>
        <w:spacing w:line="360" w:lineRule="auto"/>
      </w:pPr>
      <w:r>
        <w:rPr>
          <w:rFonts w:hint="default" w:ascii="Times New Roman" w:hAnsi="Times New Roman" w:cs="Times New Roman"/>
          <w:color w:val="000000" w:themeColor="text1"/>
          <w:sz w:val="24"/>
          <w:szCs w:val="24"/>
          <w:lang w:val="en-US" w:eastAsia="zh-CN"/>
          <w14:textFill>
            <w14:solidFill>
              <w14:schemeClr w14:val="tx1"/>
            </w14:solidFill>
          </w14:textFill>
        </w:rPr>
        <w:t xml:space="preserve">Vigneault F, Ter-Ovanesyan D, Alon S, Eminaga S, C Christodoulou D, Seidman JG, </w:t>
      </w:r>
      <w:r>
        <w:rPr>
          <w:rFonts w:hint="eastAsia" w:ascii="Times New Roman" w:hAnsi="Times New Roman" w:cs="Times New Roman"/>
          <w:color w:val="000000" w:themeColor="text1"/>
          <w:sz w:val="24"/>
          <w:szCs w:val="24"/>
          <w:lang w:val="en-US" w:eastAsia="zh-CN"/>
          <w14:textFill>
            <w14:solidFill>
              <w14:schemeClr w14:val="tx1"/>
            </w14:solidFill>
          </w14:textFill>
        </w:rPr>
        <w:t>et al</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2012. </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High-throughput multiplex sequencing of miRNA. </w:t>
      </w:r>
      <w:r>
        <w:rPr>
          <w:rFonts w:hint="default" w:ascii="Times New Roman" w:hAnsi="Times New Roman" w:cs="Times New Roman"/>
          <w:i/>
          <w:iCs/>
          <w:color w:val="000000" w:themeColor="text1"/>
          <w:sz w:val="24"/>
          <w:szCs w:val="24"/>
          <w:lang w:val="en-US" w:eastAsia="zh-CN"/>
          <w14:textFill>
            <w14:solidFill>
              <w14:schemeClr w14:val="tx1"/>
            </w14:solidFill>
          </w14:textFill>
        </w:rPr>
        <w:t>Curr Protoc Hum Genet</w:t>
      </w:r>
      <w:r>
        <w:rPr>
          <w:rFonts w:hint="default" w:ascii="Times New Roman" w:hAnsi="Times New Roman" w:cs="Times New Roman"/>
          <w:color w:val="000000" w:themeColor="text1"/>
          <w:sz w:val="24"/>
          <w:szCs w:val="24"/>
          <w:lang w:val="en-US"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 xml:space="preserve"> </w:t>
      </w:r>
      <w:r>
        <w:rPr>
          <w:rFonts w:hint="default" w:ascii="Times New Roman" w:hAnsi="Times New Roman" w:cs="Times New Roman"/>
          <w:color w:val="000000" w:themeColor="text1"/>
          <w:sz w:val="24"/>
          <w:szCs w:val="24"/>
          <w:lang w:val="en-US" w:eastAsia="zh-CN"/>
          <w14:textFill>
            <w14:solidFill>
              <w14:schemeClr w14:val="tx1"/>
            </w14:solidFill>
          </w14:textFill>
        </w:rPr>
        <w:t>11</w:t>
      </w:r>
      <w:r>
        <w:rPr>
          <w:rFonts w:hint="eastAsia" w:ascii="Times New Roman" w:hAnsi="Times New Roman" w:cs="Times New Roman"/>
          <w:color w:val="000000" w:themeColor="text1"/>
          <w:sz w:val="24"/>
          <w:szCs w:val="24"/>
          <w:lang w:val="en-US" w:eastAsia="zh-CN"/>
          <w14:textFill>
            <w14:solidFill>
              <w14:schemeClr w14:val="tx1"/>
            </w14:solidFill>
          </w14:textFill>
        </w:rPr>
        <w:t>:</w:t>
      </w:r>
      <w:r>
        <w:rPr>
          <w:rFonts w:hint="default" w:ascii="Times New Roman" w:hAnsi="Times New Roman" w:cs="Times New Roman"/>
          <w:color w:val="000000" w:themeColor="text1"/>
          <w:sz w:val="24"/>
          <w:szCs w:val="24"/>
          <w:lang w:val="en-US" w:eastAsia="zh-CN"/>
          <w14:textFill>
            <w14:solidFill>
              <w14:schemeClr w14:val="tx1"/>
            </w14:solidFill>
          </w14:textFill>
        </w:rPr>
        <w:t xml:space="preserve">1-10. </w:t>
      </w:r>
      <w:r>
        <w:rPr>
          <w:rFonts w:hint="eastAsia" w:ascii="Times New Roman" w:hAnsi="Times New Roman" w:cs="Times New Roman"/>
          <w:color w:val="000000" w:themeColor="text1"/>
          <w:sz w:val="24"/>
          <w:szCs w:val="24"/>
          <w:lang w:val="en-US" w:eastAsia="zh-CN"/>
          <w14:textFill>
            <w14:solidFill>
              <w14:schemeClr w14:val="tx1"/>
            </w14:solidFill>
          </w14:textFill>
        </w:rPr>
        <w:t>DOI</w:t>
      </w:r>
      <w:r>
        <w:rPr>
          <w:rFonts w:hint="default" w:ascii="Times New Roman" w:hAnsi="Times New Roman" w:cs="Times New Roman"/>
          <w:color w:val="000000" w:themeColor="text1"/>
          <w:sz w:val="24"/>
          <w:szCs w:val="24"/>
          <w:lang w:val="en-US" w:eastAsia="zh-CN"/>
          <w14:textFill>
            <w14:solidFill>
              <w14:schemeClr w14:val="tx1"/>
            </w14:solidFill>
          </w14:textFill>
        </w:rPr>
        <w:t>:10.1002/0471142905.hg1112s73.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auto"/>
    <w:pitch w:val="default"/>
    <w:sig w:usb0="00000000" w:usb1="00000000" w:usb2="00000000" w:usb3="00000000" w:csb0="00000001" w:csb1="00000000"/>
  </w:font>
  <w:font w:name="BlinkMacSystemFont">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83A03"/>
    <w:rsid w:val="4D500A3B"/>
    <w:rsid w:val="5C7708BD"/>
    <w:rsid w:val="624B60B2"/>
    <w:rsid w:val="703A51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2022-06-05T15:11:43Z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