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A4" w:rsidRPr="00374CDF" w:rsidRDefault="00A340A4" w:rsidP="009F57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CDF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374CDF" w:rsidRPr="00374CD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520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4CDF">
        <w:rPr>
          <w:rFonts w:ascii="Times New Roman" w:hAnsi="Times New Roman" w:cs="Times New Roman"/>
          <w:b/>
          <w:bCs/>
          <w:sz w:val="24"/>
          <w:szCs w:val="24"/>
        </w:rPr>
        <w:t>. Detailed information of</w:t>
      </w:r>
      <w:r w:rsidR="00A86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CDF">
        <w:rPr>
          <w:rFonts w:ascii="Times New Roman" w:hAnsi="Times New Roman" w:cs="Times New Roman"/>
          <w:b/>
          <w:bCs/>
          <w:sz w:val="24"/>
          <w:szCs w:val="24"/>
        </w:rPr>
        <w:t>docking parameters</w:t>
      </w:r>
    </w:p>
    <w:tbl>
      <w:tblPr>
        <w:tblStyle w:val="a7"/>
        <w:tblW w:w="864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357"/>
        <w:gridCol w:w="1331"/>
        <w:gridCol w:w="2538"/>
        <w:gridCol w:w="2271"/>
      </w:tblGrid>
      <w:tr w:rsidR="00A340A4" w:rsidRPr="00C611FB" w:rsidTr="002221EF">
        <w:trPr>
          <w:jc w:val="center"/>
        </w:trPr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Gene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611FB">
              <w:rPr>
                <w:rFonts w:ascii="Times New Roman" w:hAnsi="Times New Roman" w:cs="Times New Roman"/>
                <w:szCs w:val="21"/>
              </w:rPr>
              <w:t>Uniprot</w:t>
            </w:r>
            <w:proofErr w:type="spellEnd"/>
            <w:r w:rsidRPr="00C611FB">
              <w:rPr>
                <w:rFonts w:ascii="Times New Roman" w:hAnsi="Times New Roman" w:cs="Times New Roman"/>
                <w:szCs w:val="21"/>
              </w:rPr>
              <w:t xml:space="preserve"> ID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PDB code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Docking site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Docking coordinate</w:t>
            </w:r>
          </w:p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(X, Y, Z) Å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  <w:tcBorders>
              <w:top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30042">
              <w:rPr>
                <w:rFonts w:ascii="Times New Roman" w:hAnsi="Times New Roman" w:cs="Times New Roman"/>
                <w:szCs w:val="21"/>
              </w:rPr>
              <w:t>IL6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P05231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340A4" w:rsidRPr="00C611FB" w:rsidRDefault="00A340A4" w:rsidP="00374CDF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1ALU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GLU42, ASN61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[1]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5.392, -30.536, 3.504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30042">
              <w:rPr>
                <w:rFonts w:ascii="Times New Roman" w:hAnsi="Times New Roman" w:cs="Times New Roman"/>
                <w:szCs w:val="21"/>
              </w:rPr>
              <w:t>VEGFA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P15692</w:t>
            </w:r>
          </w:p>
        </w:tc>
        <w:tc>
          <w:tcPr>
            <w:tcW w:w="1331" w:type="dxa"/>
          </w:tcPr>
          <w:p w:rsidR="00A340A4" w:rsidRPr="00C611FB" w:rsidRDefault="003A2F75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BJI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Active cavity</w:t>
            </w:r>
          </w:p>
        </w:tc>
        <w:tc>
          <w:tcPr>
            <w:tcW w:w="2271" w:type="dxa"/>
          </w:tcPr>
          <w:p w:rsidR="00A340A4" w:rsidRPr="00C611FB" w:rsidRDefault="00FF05AB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F05AB">
              <w:rPr>
                <w:rFonts w:ascii="Times New Roman" w:hAnsi="Times New Roman" w:cs="Times New Roman"/>
                <w:szCs w:val="21"/>
              </w:rPr>
              <w:t>36.05</w:t>
            </w:r>
            <w:r>
              <w:rPr>
                <w:rFonts w:ascii="Times New Roman" w:hAnsi="Times New Roman" w:cs="Times New Roman"/>
                <w:szCs w:val="21"/>
              </w:rPr>
              <w:t>9,</w:t>
            </w:r>
            <w:r w:rsidRPr="00FF05AB">
              <w:rPr>
                <w:rFonts w:ascii="Times New Roman" w:hAnsi="Times New Roman" w:cs="Times New Roman"/>
                <w:szCs w:val="21"/>
              </w:rPr>
              <w:t xml:space="preserve"> -28.8</w:t>
            </w:r>
            <w:r>
              <w:rPr>
                <w:rFonts w:ascii="Times New Roman" w:hAnsi="Times New Roman" w:cs="Times New Roman"/>
                <w:szCs w:val="21"/>
              </w:rPr>
              <w:t>90,</w:t>
            </w:r>
            <w:r w:rsidRPr="00FF05AB">
              <w:rPr>
                <w:rFonts w:ascii="Times New Roman" w:hAnsi="Times New Roman" w:cs="Times New Roman"/>
                <w:szCs w:val="21"/>
              </w:rPr>
              <w:t xml:space="preserve"> 0.000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ESR1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P03372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1ERE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ARG394, GLY521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[2]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6.151, 53.525, 131.421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HIF1A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Q1</w:t>
            </w:r>
            <w:bookmarkStart w:id="0" w:name="_GoBack"/>
            <w:bookmarkEnd w:id="0"/>
            <w:r w:rsidRPr="00C611FB">
              <w:rPr>
                <w:rFonts w:ascii="Times New Roman" w:hAnsi="Times New Roman" w:cs="Times New Roman"/>
                <w:szCs w:val="21"/>
              </w:rPr>
              <w:t>6665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3KCX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HIS279</w:t>
            </w:r>
            <w:r w:rsidRPr="00C611FB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C611FB">
              <w:rPr>
                <w:rFonts w:ascii="Times New Roman" w:hAnsi="Times New Roman" w:cs="Times New Roman"/>
                <w:szCs w:val="21"/>
              </w:rPr>
              <w:t xml:space="preserve"> ILE281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-21.331,25.461,9.364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30042">
              <w:rPr>
                <w:rFonts w:ascii="Times New Roman" w:hAnsi="Times New Roman" w:cs="Times New Roman"/>
                <w:szCs w:val="21"/>
              </w:rPr>
              <w:t>MMP9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P14780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4HMA</w:t>
            </w:r>
          </w:p>
        </w:tc>
        <w:tc>
          <w:tcPr>
            <w:tcW w:w="2538" w:type="dxa"/>
          </w:tcPr>
          <w:p w:rsidR="00A340A4" w:rsidRPr="00C611FB" w:rsidRDefault="00FF0B45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TYR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>179, L</w:t>
            </w:r>
            <w:r>
              <w:rPr>
                <w:rFonts w:ascii="Times New Roman" w:hAnsi="Times New Roman" w:cs="Times New Roman"/>
                <w:szCs w:val="21"/>
              </w:rPr>
              <w:t>EU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>187</w:t>
            </w:r>
            <w:r w:rsidR="00A340A4" w:rsidRPr="00C611FB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 xml:space="preserve"> A</w:t>
            </w:r>
            <w:r>
              <w:rPr>
                <w:rFonts w:ascii="Times New Roman" w:hAnsi="Times New Roman" w:cs="Times New Roman"/>
                <w:szCs w:val="21"/>
              </w:rPr>
              <w:t>LA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>191</w:t>
            </w:r>
            <w:r w:rsidR="00A340A4" w:rsidRPr="00C611FB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 xml:space="preserve"> P</w:t>
            </w:r>
            <w:r>
              <w:rPr>
                <w:rFonts w:ascii="Times New Roman" w:hAnsi="Times New Roman" w:cs="Times New Roman"/>
                <w:szCs w:val="21"/>
              </w:rPr>
              <w:t>HE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>192</w:t>
            </w:r>
            <w:r w:rsidR="00A340A4" w:rsidRPr="00C611FB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 xml:space="preserve"> H</w:t>
            </w:r>
            <w:r>
              <w:rPr>
                <w:rFonts w:ascii="Times New Roman" w:hAnsi="Times New Roman" w:cs="Times New Roman"/>
                <w:szCs w:val="21"/>
              </w:rPr>
              <w:t>IS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>230</w:t>
            </w:r>
            <w:r w:rsidR="00A340A4" w:rsidRPr="00C611FB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 xml:space="preserve"> L</w:t>
            </w:r>
            <w:r>
              <w:rPr>
                <w:rFonts w:ascii="Times New Roman" w:hAnsi="Times New Roman" w:cs="Times New Roman"/>
                <w:szCs w:val="21"/>
              </w:rPr>
              <w:t>EU</w:t>
            </w:r>
            <w:r w:rsidR="00A340A4" w:rsidRPr="00C611FB">
              <w:rPr>
                <w:rFonts w:ascii="Times New Roman" w:hAnsi="Times New Roman" w:cs="Times New Roman"/>
                <w:szCs w:val="21"/>
              </w:rPr>
              <w:t>234</w:t>
            </w:r>
            <w:r w:rsidR="00A340A4" w:rsidRPr="00C611FB">
              <w:rPr>
                <w:rFonts w:ascii="Times New Roman" w:hAnsi="Times New Roman" w:cs="Times New Roman"/>
                <w:noProof/>
                <w:szCs w:val="21"/>
              </w:rPr>
              <w:t>[3]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7.967, 13.951, -2.996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APP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P05067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5BUO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Active cavity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13.864, 23.025, 13.986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FGF1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P05230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1AFC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 xml:space="preserve">ASN18, LYS112, LYS113, LYS118, ARG122, GLN127 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[4]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20.736, 18.465, 10.283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IL2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P60568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3QB1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ARG38, VAL69, LYS76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[5]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16.202, 20.076, -9.631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LGALS3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P17931 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1KJL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 xml:space="preserve">ASN174, GLU184, ARG160, ALA146 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[6]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-0.914, -3.938, -2.862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130042" w:rsidRDefault="00A340A4" w:rsidP="00374C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SLC5A1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P13866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2XQ2</w:t>
            </w:r>
            <w:r w:rsidRPr="00C611FB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LEU74, SER77, TYR290, ASP294, GLN295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[7]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 xml:space="preserve">-1.864, -31.824, </w:t>
            </w:r>
          </w:p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-52.181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F3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P13726 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2HFT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Active cavity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35.135, 42.671, 41.832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30042">
              <w:rPr>
                <w:rFonts w:ascii="Times New Roman" w:hAnsi="Times New Roman" w:cs="Times New Roman"/>
                <w:szCs w:val="21"/>
              </w:rPr>
              <w:t>ALDH1B1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P30837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5I13</w:t>
            </w:r>
            <w:r w:rsidRPr="00C611FB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Active cavity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92.116, 43.166, 41.290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CES2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O00748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5A7G</w:t>
            </w:r>
            <w:r w:rsidRPr="00C611FB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SER228, GLY347, GLU103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[8]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91.169, 88.498, 24.784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P4HB</w:t>
            </w:r>
          </w:p>
        </w:tc>
        <w:tc>
          <w:tcPr>
            <w:tcW w:w="1357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P07237</w:t>
            </w: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4EKZ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 xml:space="preserve">TRP396, GLY398 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[9]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-11.447, -47.531, 3.629</w:t>
            </w:r>
          </w:p>
        </w:tc>
      </w:tr>
      <w:tr w:rsidR="00A340A4" w:rsidRPr="00C611FB" w:rsidTr="002221EF">
        <w:trPr>
          <w:jc w:val="center"/>
        </w:trPr>
        <w:tc>
          <w:tcPr>
            <w:tcW w:w="1150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 w:hint="eastAsia"/>
                <w:szCs w:val="21"/>
              </w:rPr>
              <w:t>HSP</w:t>
            </w:r>
            <w:r w:rsidRPr="00C611FB">
              <w:rPr>
                <w:rFonts w:ascii="Times New Roman" w:hAnsi="Times New Roman" w:cs="Times New Roman"/>
                <w:szCs w:val="21"/>
              </w:rPr>
              <w:t>A5</w:t>
            </w:r>
          </w:p>
        </w:tc>
        <w:tc>
          <w:tcPr>
            <w:tcW w:w="13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4"/>
            </w:tblGrid>
            <w:tr w:rsidR="00A340A4" w:rsidRPr="00C611FB" w:rsidTr="006B3A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40A4" w:rsidRPr="00C611FB" w:rsidRDefault="00A340A4" w:rsidP="00374CDF">
                  <w:pPr>
                    <w:widowControl/>
                    <w:spacing w:line="276" w:lineRule="auto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0A4" w:rsidRPr="00C611FB" w:rsidRDefault="00A340A4" w:rsidP="00374CDF">
                  <w:pPr>
                    <w:widowControl/>
                    <w:spacing w:before="100" w:beforeAutospacing="1" w:after="100" w:afterAutospacing="1" w:line="276" w:lineRule="auto"/>
                    <w:jc w:val="center"/>
                    <w:outlineLvl w:val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611FB">
                    <w:rPr>
                      <w:rFonts w:ascii="Times New Roman" w:hAnsi="Times New Roman" w:cs="Times New Roman"/>
                      <w:szCs w:val="21"/>
                    </w:rPr>
                    <w:t xml:space="preserve"> P11021</w:t>
                  </w:r>
                </w:p>
              </w:tc>
            </w:tr>
          </w:tbl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1" w:type="dxa"/>
          </w:tcPr>
          <w:p w:rsidR="00A340A4" w:rsidRPr="00C611FB" w:rsidRDefault="00A340A4" w:rsidP="00374CD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C611FB">
              <w:rPr>
                <w:rFonts w:ascii="Times New Roman" w:hAnsi="Times New Roman" w:cs="Times New Roman"/>
                <w:szCs w:val="21"/>
              </w:rPr>
              <w:t>LDL</w:t>
            </w:r>
          </w:p>
        </w:tc>
        <w:tc>
          <w:tcPr>
            <w:tcW w:w="2538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 xml:space="preserve">ARG367, GLY364, TYR39, ILE61 </w:t>
            </w:r>
            <w:r w:rsidRPr="00C611FB">
              <w:rPr>
                <w:rFonts w:ascii="Times New Roman" w:hAnsi="Times New Roman" w:cs="Times New Roman"/>
                <w:noProof/>
                <w:szCs w:val="21"/>
              </w:rPr>
              <w:t>[10]</w:t>
            </w:r>
          </w:p>
        </w:tc>
        <w:tc>
          <w:tcPr>
            <w:tcW w:w="2271" w:type="dxa"/>
          </w:tcPr>
          <w:p w:rsidR="00A340A4" w:rsidRPr="00C611FB" w:rsidRDefault="00A340A4" w:rsidP="00374CD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19.150, -7.243, 1.555</w:t>
            </w:r>
          </w:p>
        </w:tc>
      </w:tr>
      <w:tr w:rsidR="002221EF" w:rsidRPr="00213B28" w:rsidTr="002221EF">
        <w:trPr>
          <w:jc w:val="center"/>
        </w:trPr>
        <w:tc>
          <w:tcPr>
            <w:tcW w:w="1150" w:type="dxa"/>
            <w:tcBorders>
              <w:bottom w:val="single" w:sz="12" w:space="0" w:color="auto"/>
            </w:tcBorders>
          </w:tcPr>
          <w:p w:rsidR="002221EF" w:rsidRPr="00C611FB" w:rsidRDefault="002221EF" w:rsidP="002221E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30042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130042">
              <w:rPr>
                <w:rFonts w:ascii="Times New Roman" w:hAnsi="Times New Roman" w:cs="Times New Roman"/>
                <w:szCs w:val="21"/>
              </w:rPr>
              <w:t>ELA</w:t>
            </w: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2221EF" w:rsidRPr="00C611FB" w:rsidRDefault="002221EF" w:rsidP="002221E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Q04206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2221EF" w:rsidRPr="00C611FB" w:rsidRDefault="002221EF" w:rsidP="002221EF">
            <w:pPr>
              <w:widowControl/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1NFI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2221EF" w:rsidRPr="00C611FB" w:rsidRDefault="002221EF" w:rsidP="002221E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611FB">
              <w:rPr>
                <w:rFonts w:ascii="Times New Roman" w:hAnsi="Times New Roman" w:cs="Times New Roman"/>
                <w:szCs w:val="21"/>
              </w:rPr>
              <w:t>Active cavity</w:t>
            </w:r>
          </w:p>
        </w:tc>
        <w:tc>
          <w:tcPr>
            <w:tcW w:w="2271" w:type="dxa"/>
            <w:tcBorders>
              <w:bottom w:val="single" w:sz="12" w:space="0" w:color="auto"/>
            </w:tcBorders>
          </w:tcPr>
          <w:p w:rsidR="002221EF" w:rsidRPr="0039603A" w:rsidRDefault="007735EC" w:rsidP="002221EF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735EC">
              <w:rPr>
                <w:rFonts w:ascii="Times New Roman" w:hAnsi="Times New Roman" w:cs="Times New Roman"/>
                <w:szCs w:val="21"/>
              </w:rPr>
              <w:t>-5.80</w:t>
            </w:r>
            <w:r>
              <w:rPr>
                <w:rFonts w:ascii="Times New Roman" w:hAnsi="Times New Roman" w:cs="Times New Roman"/>
                <w:szCs w:val="21"/>
              </w:rPr>
              <w:t>8,</w:t>
            </w:r>
            <w:r w:rsidRPr="007735EC">
              <w:rPr>
                <w:rFonts w:ascii="Times New Roman" w:hAnsi="Times New Roman" w:cs="Times New Roman"/>
                <w:szCs w:val="21"/>
              </w:rPr>
              <w:t xml:space="preserve"> 95.00</w:t>
            </w:r>
            <w:r>
              <w:rPr>
                <w:rFonts w:ascii="Times New Roman" w:hAnsi="Times New Roman" w:cs="Times New Roman"/>
                <w:szCs w:val="21"/>
              </w:rPr>
              <w:t>5,</w:t>
            </w:r>
            <w:r w:rsidRPr="007735EC">
              <w:rPr>
                <w:rFonts w:ascii="Times New Roman" w:hAnsi="Times New Roman" w:cs="Times New Roman"/>
                <w:szCs w:val="21"/>
              </w:rPr>
              <w:t xml:space="preserve"> 90.89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</w:tbl>
    <w:p w:rsidR="00A340A4" w:rsidRDefault="00A340A4" w:rsidP="00593D69">
      <w:pPr>
        <w:spacing w:after="2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#The structure was constructed by homology modeling</w:t>
      </w:r>
    </w:p>
    <w:p w:rsidR="00A340A4" w:rsidRPr="00307AD9" w:rsidRDefault="00A340A4" w:rsidP="00B02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AD9"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Pr="00307AD9">
        <w:rPr>
          <w:rFonts w:ascii="Times New Roman" w:hAnsi="Times New Roman" w:cs="Times New Roman"/>
          <w:b/>
          <w:bCs/>
          <w:sz w:val="24"/>
          <w:szCs w:val="24"/>
        </w:rPr>
        <w:t>eferences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1</w:t>
      </w:r>
      <w:r w:rsidR="00777C2C">
        <w:rPr>
          <w:rFonts w:ascii="Times New Roman" w:hAnsi="Times New Roman" w:cs="Times New Roman" w:hint="eastAsia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Prathap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L, Jayaraman S, Roy A, et al. Molecular docking analysis of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stachydrine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sakuranetin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with IL-6 and TNF-α in the context of inflammation. Bioinformation. (2021); 17: 363-368.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2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Lu Q, Cai Z, Fu J, et al. Molecular docking and molecular dynamics studies on the interactions of hydroxylated polybrominated diphenyl ethers to estrogen receptor alpha.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Ecotoxicol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Environ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>. (2014); 101: 83-89.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3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Mukund V,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Saddala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MS,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Farran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B, et al. Molecular docking studies of angiogenesis target protein HIF-1α and genistein in breast cancer. Gene. (2019); 701: 169-172.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X, Wang H, Wu R, et al. The Active Compounds of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Yixin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Ningshen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Tablet and Their Potential Action Mechanism in Treating Coronary Heart Disease- A Network Pharmacology and Proteomics Approach.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Based Complement Alternat Med. (2020); 2020: 4912395.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5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Wang W, Zhang Y, Luo J, et al. Virtual Screening Technique Used to Estimate the Mechanism of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Adhatoda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vasica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Nees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for the Treatment of Rheumatoid Arthritis Based on Network Pharmacology and Molecular Docking.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Based Complement Alternat Med. (2020); 2020: 5872980.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6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Jayakody RS,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Wijewardhane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Herath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C, et al.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Bergenin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>: a computationally proven promising scaffold for novel galectin-3 inhibitors. J Mol Model. (2018); 24: 302.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7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Wang L, Liu M, Yin F, et al.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Trilobatin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>, a Novel SGLT1/2 Inhibitor, Selectively Induces the Proliferation of Human Hepatoblastoma Cells. Molecules. (2019); 24.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8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Song YQ, He RJ, Pu D, et al. Discovery and Characterization of the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Biflavones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 xml:space="preserve"> From Ginkgo biloba as Highly Specific and Potent Inhibitors Against Human Carboxylesterase 2. Front </w:t>
      </w:r>
      <w:proofErr w:type="spellStart"/>
      <w:r w:rsidRPr="00A340A4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A340A4">
        <w:rPr>
          <w:rFonts w:ascii="Times New Roman" w:hAnsi="Times New Roman" w:cs="Times New Roman"/>
          <w:sz w:val="24"/>
          <w:szCs w:val="24"/>
        </w:rPr>
        <w:t>. (2021); 12: 655659.</w:t>
      </w:r>
    </w:p>
    <w:p w:rsidR="00A340A4" w:rsidRPr="00A340A4" w:rsidRDefault="00A340A4" w:rsidP="00777C2C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9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Kung PH, Hsieh PW, Lin YT, et al. HPW-RX40 prevents human platelet activation by attenuating cell surface protein disulfide isomerases. Redox Biol. (2017); 13: 266-277.</w:t>
      </w:r>
    </w:p>
    <w:p w:rsidR="00A340A4" w:rsidRPr="00A340A4" w:rsidRDefault="00A340A4" w:rsidP="00777C2C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A340A4">
        <w:rPr>
          <w:rFonts w:ascii="Times New Roman" w:hAnsi="Times New Roman" w:cs="Times New Roman"/>
          <w:sz w:val="24"/>
          <w:szCs w:val="24"/>
        </w:rPr>
        <w:t>10</w:t>
      </w:r>
      <w:r w:rsidR="00777C2C">
        <w:rPr>
          <w:rFonts w:ascii="Times New Roman" w:hAnsi="Times New Roman" w:cs="Times New Roman"/>
          <w:sz w:val="24"/>
          <w:szCs w:val="24"/>
        </w:rPr>
        <w:t>.</w:t>
      </w:r>
      <w:r w:rsidRPr="00A340A4">
        <w:rPr>
          <w:rFonts w:ascii="Times New Roman" w:hAnsi="Times New Roman" w:cs="Times New Roman"/>
          <w:sz w:val="24"/>
          <w:szCs w:val="24"/>
        </w:rPr>
        <w:t xml:space="preserve"> Bhattacharjee R, Devi A and Mishra S. Molecular docking and molecular dynamics studies reveal structural basis of inhibition and selectivity of inhibitors EGCG and OSU-03012 toward glucose regulated protein-78 (GRP78) overexpressed in glioblastoma. J Mol Model. (2015); 21: 272.</w:t>
      </w:r>
    </w:p>
    <w:sectPr w:rsidR="00A340A4" w:rsidRPr="00A340A4" w:rsidSect="00B1092C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9B2" w:rsidRDefault="00CE79B2" w:rsidP="00374CDF">
      <w:r>
        <w:separator/>
      </w:r>
    </w:p>
  </w:endnote>
  <w:endnote w:type="continuationSeparator" w:id="0">
    <w:p w:rsidR="00CE79B2" w:rsidRDefault="00CE79B2" w:rsidP="0037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9B2" w:rsidRDefault="00CE79B2" w:rsidP="00374CDF">
      <w:r>
        <w:separator/>
      </w:r>
    </w:p>
  </w:footnote>
  <w:footnote w:type="continuationSeparator" w:id="0">
    <w:p w:rsidR="00CE79B2" w:rsidRDefault="00CE79B2" w:rsidP="0037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F1B40"/>
    <w:multiLevelType w:val="hybridMultilevel"/>
    <w:tmpl w:val="7BBA13DC"/>
    <w:lvl w:ilvl="0" w:tplc="FBBAAAFE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A340A4"/>
    <w:rsid w:val="00130042"/>
    <w:rsid w:val="001303C3"/>
    <w:rsid w:val="001A332B"/>
    <w:rsid w:val="001D210C"/>
    <w:rsid w:val="002221EF"/>
    <w:rsid w:val="002B6336"/>
    <w:rsid w:val="00307AD9"/>
    <w:rsid w:val="00374CDF"/>
    <w:rsid w:val="00377B82"/>
    <w:rsid w:val="003A2F75"/>
    <w:rsid w:val="00452E78"/>
    <w:rsid w:val="0070732B"/>
    <w:rsid w:val="00715F5D"/>
    <w:rsid w:val="00721A4D"/>
    <w:rsid w:val="007735EC"/>
    <w:rsid w:val="00777C2C"/>
    <w:rsid w:val="007A62CA"/>
    <w:rsid w:val="009739DE"/>
    <w:rsid w:val="009F5359"/>
    <w:rsid w:val="00A340A4"/>
    <w:rsid w:val="00A86378"/>
    <w:rsid w:val="00AA6C3F"/>
    <w:rsid w:val="00B1092C"/>
    <w:rsid w:val="00C5209B"/>
    <w:rsid w:val="00CE79B2"/>
    <w:rsid w:val="00E16827"/>
    <w:rsid w:val="00FF05AB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DE03B"/>
  <w15:chartTrackingRefBased/>
  <w15:docId w15:val="{CD3A6C8C-1D39-4CB5-BE1B-58DB0DE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A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340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A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A3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0A4"/>
    <w:rPr>
      <w:sz w:val="18"/>
      <w:szCs w:val="18"/>
    </w:rPr>
  </w:style>
  <w:style w:type="table" w:styleId="a7">
    <w:name w:val="Table Grid"/>
    <w:basedOn w:val="a1"/>
    <w:uiPriority w:val="39"/>
    <w:rsid w:val="00A3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340A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40A4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A340A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A340A4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A340A4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340A4"/>
    <w:rPr>
      <w:rFonts w:ascii="等线" w:eastAsia="等线" w:hAnsi="等线"/>
      <w:noProof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9739D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739DE"/>
    <w:rPr>
      <w:sz w:val="18"/>
      <w:szCs w:val="18"/>
    </w:rPr>
  </w:style>
  <w:style w:type="character" w:styleId="ac">
    <w:name w:val="Strong"/>
    <w:basedOn w:val="a0"/>
    <w:uiPriority w:val="22"/>
    <w:qFormat/>
    <w:rsid w:val="007A6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2109853ycw30001@student.must.edu.mo</dc:creator>
  <cp:keywords/>
  <dc:description/>
  <cp:lastModifiedBy>YangR</cp:lastModifiedBy>
  <cp:revision>22</cp:revision>
  <dcterms:created xsi:type="dcterms:W3CDTF">2022-01-17T08:15:00Z</dcterms:created>
  <dcterms:modified xsi:type="dcterms:W3CDTF">2022-04-26T10:38:00Z</dcterms:modified>
</cp:coreProperties>
</file>