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E302" w14:textId="0E5E6BB0" w:rsidR="00005DF9" w:rsidRDefault="00005DF9" w:rsidP="00005DF9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05DF9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005DF9">
        <w:rPr>
          <w:rFonts w:ascii="Times New Roman" w:eastAsia="宋体" w:hAnsi="Times New Roman" w:cs="Times New Roman"/>
          <w:sz w:val="24"/>
          <w:szCs w:val="24"/>
        </w:rPr>
        <w:t xml:space="preserve">able 5. Binding free energy </w:t>
      </w:r>
      <w:r>
        <w:rPr>
          <w:rFonts w:ascii="Times New Roman" w:eastAsia="宋体" w:hAnsi="Times New Roman" w:cs="Times New Roman"/>
          <w:sz w:val="24"/>
          <w:szCs w:val="24"/>
        </w:rPr>
        <w:t xml:space="preserve">and energy components </w:t>
      </w:r>
      <w:r w:rsidR="00D37F09">
        <w:rPr>
          <w:rFonts w:ascii="Times New Roman" w:eastAsia="宋体" w:hAnsi="Times New Roman" w:cs="Times New Roman"/>
          <w:sz w:val="24"/>
          <w:szCs w:val="24"/>
        </w:rPr>
        <w:t>calculated by MM/GBSA</w:t>
      </w:r>
      <w:r>
        <w:rPr>
          <w:rFonts w:ascii="Times New Roman" w:eastAsia="宋体" w:hAnsi="Times New Roman" w:cs="Times New Roman"/>
          <w:sz w:val="24"/>
          <w:szCs w:val="24"/>
        </w:rPr>
        <w:t xml:space="preserve"> (kcal/mol)</w:t>
      </w:r>
    </w:p>
    <w:tbl>
      <w:tblPr>
        <w:tblStyle w:val="a9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1853"/>
        <w:gridCol w:w="1813"/>
        <w:gridCol w:w="1843"/>
        <w:gridCol w:w="1559"/>
      </w:tblGrid>
      <w:tr w:rsidR="00D37F09" w:rsidRPr="00E1677D" w14:paraId="7E481EF7" w14:textId="77777777" w:rsidTr="00CF3485">
        <w:tc>
          <w:tcPr>
            <w:tcW w:w="1154" w:type="dxa"/>
            <w:tcBorders>
              <w:top w:val="single" w:sz="12" w:space="0" w:color="auto"/>
              <w:bottom w:val="single" w:sz="4" w:space="0" w:color="auto"/>
            </w:tcBorders>
          </w:tcPr>
          <w:p w14:paraId="53FA9BC2" w14:textId="5462BEE4" w:rsidR="00005DF9" w:rsidRPr="00E1677D" w:rsidRDefault="00005DF9" w:rsidP="003E3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</w:tcBorders>
          </w:tcPr>
          <w:p w14:paraId="50364DD2" w14:textId="52CEDDA6" w:rsidR="00005DF9" w:rsidRPr="00F671D6" w:rsidRDefault="00005DF9" w:rsidP="00C72F7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D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</w:t>
            </w:r>
            <w:r w:rsidRPr="00F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4" w:space="0" w:color="auto"/>
            </w:tcBorders>
          </w:tcPr>
          <w:p w14:paraId="4E546427" w14:textId="5D21596C" w:rsidR="00005DF9" w:rsidRPr="00F671D6" w:rsidRDefault="00005DF9" w:rsidP="00C72F7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D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I</w:t>
            </w:r>
            <w:r w:rsidRPr="00F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L-6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16931778" w14:textId="6F1C85E5" w:rsidR="00005DF9" w:rsidRPr="00F671D6" w:rsidRDefault="00005DF9" w:rsidP="00C72F7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D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V</w:t>
            </w:r>
            <w:r w:rsidRPr="00F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EGFA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3F80E44" w14:textId="2436AE13" w:rsidR="00005DF9" w:rsidRPr="00F671D6" w:rsidRDefault="00005DF9" w:rsidP="00C72F7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D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</w:t>
            </w:r>
            <w:r w:rsidRPr="00F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MP9</w:t>
            </w:r>
          </w:p>
        </w:tc>
      </w:tr>
      <w:tr w:rsidR="00BC51E9" w:rsidRPr="00E1677D" w14:paraId="357339F3" w14:textId="77777777" w:rsidTr="00D25A64">
        <w:tc>
          <w:tcPr>
            <w:tcW w:w="1154" w:type="dxa"/>
          </w:tcPr>
          <w:p w14:paraId="2FD8E8E3" w14:textId="6378539F" w:rsidR="00BC51E9" w:rsidRPr="00CF3485" w:rsidRDefault="00BC51E9" w:rsidP="00BC51E9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∆</w:t>
            </w:r>
            <w:proofErr w:type="spellStart"/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</w:t>
            </w: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bscript"/>
              </w:rPr>
              <w:t>vdW</w:t>
            </w:r>
            <w:proofErr w:type="spellEnd"/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14:paraId="2F6B0962" w14:textId="56702FED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eastAsia="宋体" w:hAnsi="Times New Roman" w:cs="Times New Roman"/>
                <w:sz w:val="24"/>
                <w:szCs w:val="24"/>
              </w:rPr>
              <w:t>-34.79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72F79">
              <w:rPr>
                <w:rFonts w:ascii="Times New Roman" w:eastAsia="宋体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2.30</w:t>
            </w:r>
          </w:p>
        </w:tc>
        <w:tc>
          <w:tcPr>
            <w:tcW w:w="1813" w:type="dxa"/>
          </w:tcPr>
          <w:p w14:paraId="3853C1EE" w14:textId="651A8334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-48.91±1.84</w:t>
            </w:r>
          </w:p>
        </w:tc>
        <w:tc>
          <w:tcPr>
            <w:tcW w:w="1843" w:type="dxa"/>
          </w:tcPr>
          <w:p w14:paraId="00438C53" w14:textId="613DB113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-29.84±1.45</w:t>
            </w:r>
          </w:p>
        </w:tc>
        <w:tc>
          <w:tcPr>
            <w:tcW w:w="1559" w:type="dxa"/>
          </w:tcPr>
          <w:p w14:paraId="3A6AFCDB" w14:textId="0FB9DDCF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-41.13±2.47</w:t>
            </w:r>
          </w:p>
        </w:tc>
      </w:tr>
      <w:tr w:rsidR="00BC51E9" w:rsidRPr="00E1677D" w14:paraId="368AE45E" w14:textId="77777777" w:rsidTr="00D25A64">
        <w:tc>
          <w:tcPr>
            <w:tcW w:w="1154" w:type="dxa"/>
          </w:tcPr>
          <w:p w14:paraId="2082DFB8" w14:textId="76594E58" w:rsidR="00BC51E9" w:rsidRPr="00CF3485" w:rsidRDefault="00BC51E9" w:rsidP="00BC51E9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∆</w:t>
            </w:r>
            <w:proofErr w:type="spellStart"/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</w:t>
            </w: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bscript"/>
              </w:rPr>
              <w:t>elec</w:t>
            </w:r>
            <w:proofErr w:type="spellEnd"/>
          </w:p>
        </w:tc>
        <w:tc>
          <w:tcPr>
            <w:tcW w:w="1853" w:type="dxa"/>
          </w:tcPr>
          <w:p w14:paraId="57CD5169" w14:textId="28EB83E5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eastAsia="宋体" w:hAnsi="Times New Roman" w:cs="Times New Roman"/>
                <w:sz w:val="24"/>
                <w:szCs w:val="24"/>
              </w:rPr>
              <w:t>-11.59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72F79">
              <w:rPr>
                <w:rFonts w:ascii="Times New Roman" w:eastAsia="宋体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6.18</w:t>
            </w:r>
          </w:p>
        </w:tc>
        <w:tc>
          <w:tcPr>
            <w:tcW w:w="1813" w:type="dxa"/>
          </w:tcPr>
          <w:p w14:paraId="7AB9127E" w14:textId="45283F54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-13.89±1.82</w:t>
            </w:r>
          </w:p>
        </w:tc>
        <w:tc>
          <w:tcPr>
            <w:tcW w:w="1843" w:type="dxa"/>
          </w:tcPr>
          <w:p w14:paraId="29075473" w14:textId="16BF20A3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-46.99±7.56</w:t>
            </w:r>
          </w:p>
        </w:tc>
        <w:tc>
          <w:tcPr>
            <w:tcW w:w="1559" w:type="dxa"/>
          </w:tcPr>
          <w:p w14:paraId="193F902E" w14:textId="687EFBD4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-11.77±6.01</w:t>
            </w:r>
          </w:p>
        </w:tc>
      </w:tr>
      <w:tr w:rsidR="00BC51E9" w:rsidRPr="00E1677D" w14:paraId="37D86D0E" w14:textId="77777777" w:rsidTr="00D25A64">
        <w:tc>
          <w:tcPr>
            <w:tcW w:w="1154" w:type="dxa"/>
            <w:tcBorders>
              <w:bottom w:val="nil"/>
            </w:tcBorders>
          </w:tcPr>
          <w:p w14:paraId="0967B1B5" w14:textId="594B86D4" w:rsidR="00BC51E9" w:rsidRPr="00CF3485" w:rsidRDefault="00BC51E9" w:rsidP="00BC51E9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∆G</w:t>
            </w: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bscript"/>
              </w:rPr>
              <w:t>GB</w:t>
            </w:r>
          </w:p>
        </w:tc>
        <w:tc>
          <w:tcPr>
            <w:tcW w:w="1853" w:type="dxa"/>
            <w:tcBorders>
              <w:bottom w:val="nil"/>
            </w:tcBorders>
          </w:tcPr>
          <w:p w14:paraId="6A193223" w14:textId="6E2FB823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eastAsia="宋体" w:hAnsi="Times New Roman" w:cs="Times New Roman"/>
                <w:sz w:val="24"/>
                <w:szCs w:val="24"/>
              </w:rPr>
              <w:t>27.40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72F79">
              <w:rPr>
                <w:rFonts w:ascii="Times New Roman" w:eastAsia="宋体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5.81</w:t>
            </w:r>
          </w:p>
        </w:tc>
        <w:tc>
          <w:tcPr>
            <w:tcW w:w="1813" w:type="dxa"/>
            <w:tcBorders>
              <w:bottom w:val="nil"/>
            </w:tcBorders>
          </w:tcPr>
          <w:p w14:paraId="63A54A32" w14:textId="34124066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32.05±1.40</w:t>
            </w:r>
          </w:p>
        </w:tc>
        <w:tc>
          <w:tcPr>
            <w:tcW w:w="1843" w:type="dxa"/>
            <w:tcBorders>
              <w:bottom w:val="nil"/>
            </w:tcBorders>
          </w:tcPr>
          <w:p w14:paraId="571C4611" w14:textId="3D53D4EC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61.36±7.71</w:t>
            </w:r>
          </w:p>
        </w:tc>
        <w:tc>
          <w:tcPr>
            <w:tcW w:w="1559" w:type="dxa"/>
            <w:tcBorders>
              <w:bottom w:val="nil"/>
            </w:tcBorders>
          </w:tcPr>
          <w:p w14:paraId="72B8D536" w14:textId="6A8FE59B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33.98±5.63</w:t>
            </w:r>
          </w:p>
        </w:tc>
      </w:tr>
      <w:tr w:rsidR="00BC51E9" w:rsidRPr="00E1677D" w14:paraId="344E2264" w14:textId="77777777" w:rsidTr="00D25A64">
        <w:tc>
          <w:tcPr>
            <w:tcW w:w="1154" w:type="dxa"/>
            <w:tcBorders>
              <w:top w:val="nil"/>
              <w:bottom w:val="nil"/>
            </w:tcBorders>
          </w:tcPr>
          <w:p w14:paraId="04DC966B" w14:textId="00D1EBD4" w:rsidR="00BC51E9" w:rsidRPr="00CF3485" w:rsidRDefault="00BC51E9" w:rsidP="00BC51E9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∆G</w:t>
            </w: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bscript"/>
              </w:rPr>
              <w:t>SA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D8342AB" w14:textId="37B80FA6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eastAsia="宋体" w:hAnsi="Times New Roman" w:cs="Times New Roman"/>
                <w:sz w:val="24"/>
                <w:szCs w:val="24"/>
              </w:rPr>
              <w:t>-4.09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72F79">
              <w:rPr>
                <w:rFonts w:ascii="Times New Roman" w:eastAsia="宋体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0.22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4FA14BA6" w14:textId="3B3D5C73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-6.96±</w:t>
            </w:r>
            <w:bookmarkStart w:id="0" w:name="_GoBack"/>
            <w:bookmarkEnd w:id="0"/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DFFB9D" w14:textId="541C350E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-5.08±0.17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C4ADD9" w14:textId="2D68533C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-5.44±0.32</w:t>
            </w:r>
          </w:p>
        </w:tc>
      </w:tr>
      <w:tr w:rsidR="00BC51E9" w:rsidRPr="00E1677D" w14:paraId="6041B8FD" w14:textId="77777777" w:rsidTr="00D25A64">
        <w:tc>
          <w:tcPr>
            <w:tcW w:w="1154" w:type="dxa"/>
            <w:tcBorders>
              <w:bottom w:val="single" w:sz="12" w:space="0" w:color="auto"/>
            </w:tcBorders>
          </w:tcPr>
          <w:p w14:paraId="3435051E" w14:textId="154C079F" w:rsidR="00BC51E9" w:rsidRPr="00CF3485" w:rsidRDefault="00BC51E9" w:rsidP="00BC51E9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∆</w:t>
            </w:r>
            <w:proofErr w:type="spellStart"/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G</w:t>
            </w:r>
            <w:r w:rsidRPr="00CF34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bscript"/>
              </w:rPr>
              <w:t>bind</w:t>
            </w:r>
            <w:proofErr w:type="spellEnd"/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71120DF0" w14:textId="2B3D33BD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eastAsia="宋体" w:hAnsi="Times New Roman" w:cs="Times New Roman"/>
                <w:sz w:val="24"/>
                <w:szCs w:val="24"/>
              </w:rPr>
              <w:t>-23.06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C72F79">
              <w:rPr>
                <w:rFonts w:ascii="Times New Roman" w:eastAsia="宋体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1.69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5CAD994F" w14:textId="3C1087FC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-37.71±2.66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ADF65E9" w14:textId="592C3353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-20.55±1.39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75558F0" w14:textId="164DFC2B" w:rsidR="00BC51E9" w:rsidRPr="00CD1E43" w:rsidRDefault="00BC51E9" w:rsidP="00BC51E9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1E43">
              <w:rPr>
                <w:rFonts w:ascii="Times New Roman" w:eastAsia="宋体" w:hAnsi="Times New Roman" w:cs="Times New Roman"/>
                <w:sz w:val="24"/>
                <w:szCs w:val="24"/>
              </w:rPr>
              <w:t>-24.36±1.37</w:t>
            </w:r>
          </w:p>
        </w:tc>
      </w:tr>
    </w:tbl>
    <w:p w14:paraId="245197C3" w14:textId="0E53E887" w:rsidR="00005DF9" w:rsidRPr="00F671D6" w:rsidRDefault="00CF3485">
      <w:pPr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</w:pP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∆</w:t>
      </w:r>
      <w:proofErr w:type="spellStart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vdW</w:t>
      </w:r>
      <w:proofErr w:type="spellEnd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: van der Waals energy</w:t>
      </w:r>
    </w:p>
    <w:p w14:paraId="6D803572" w14:textId="6F43B73A" w:rsidR="00CF3485" w:rsidRPr="00F671D6" w:rsidRDefault="00CF3485">
      <w:pPr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</w:pP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∆</w:t>
      </w:r>
      <w:proofErr w:type="spellStart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elec</w:t>
      </w:r>
      <w:proofErr w:type="spellEnd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: </w:t>
      </w:r>
      <w:r w:rsidR="00F671D6"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electrostatic energy</w:t>
      </w:r>
    </w:p>
    <w:p w14:paraId="73E4B62B" w14:textId="1C4FA486" w:rsidR="00CF3485" w:rsidRPr="00F671D6" w:rsidRDefault="00CF3485">
      <w:pPr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</w:pP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∆G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GB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:</w:t>
      </w:r>
      <w:r w:rsidR="00F671D6"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electrostatic contribution to the solvation</w:t>
      </w:r>
    </w:p>
    <w:p w14:paraId="5159F1B8" w14:textId="4D7D428E" w:rsidR="00CF3485" w:rsidRPr="00F671D6" w:rsidRDefault="00CF3485">
      <w:pPr>
        <w:rPr>
          <w:rFonts w:ascii="Times New Roman" w:eastAsia="宋体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∆G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SA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:</w:t>
      </w:r>
      <w:r w:rsidR="00F671D6"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non-polar contribution to the solvation</w:t>
      </w:r>
    </w:p>
    <w:p w14:paraId="1AA1C857" w14:textId="7F292270" w:rsidR="00CF3485" w:rsidRPr="00F671D6" w:rsidRDefault="00CF3485">
      <w:pPr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∆</w:t>
      </w:r>
      <w:proofErr w:type="spellStart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G</w:t>
      </w:r>
      <w:r w:rsidRPr="00F671D6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bind</w:t>
      </w:r>
      <w:proofErr w:type="spellEnd"/>
      <w:r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>:</w:t>
      </w:r>
      <w:r w:rsidR="00F671D6" w:rsidRPr="00F671D6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binding free energy</w:t>
      </w:r>
    </w:p>
    <w:sectPr w:rsidR="00CF3485" w:rsidRPr="00F6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9F0D" w14:textId="77777777" w:rsidR="005715A5" w:rsidRDefault="005715A5" w:rsidP="00005DF9">
      <w:r>
        <w:separator/>
      </w:r>
    </w:p>
  </w:endnote>
  <w:endnote w:type="continuationSeparator" w:id="0">
    <w:p w14:paraId="386A35B2" w14:textId="77777777" w:rsidR="005715A5" w:rsidRDefault="005715A5" w:rsidP="0000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02F0" w14:textId="77777777" w:rsidR="005715A5" w:rsidRDefault="005715A5" w:rsidP="00005DF9">
      <w:r>
        <w:separator/>
      </w:r>
    </w:p>
  </w:footnote>
  <w:footnote w:type="continuationSeparator" w:id="0">
    <w:p w14:paraId="0CF80D54" w14:textId="77777777" w:rsidR="005715A5" w:rsidRDefault="005715A5" w:rsidP="0000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AD"/>
    <w:rsid w:val="00005DF9"/>
    <w:rsid w:val="00067829"/>
    <w:rsid w:val="001E0B8D"/>
    <w:rsid w:val="002C0B31"/>
    <w:rsid w:val="002E3E2C"/>
    <w:rsid w:val="004D7095"/>
    <w:rsid w:val="005715A5"/>
    <w:rsid w:val="00681CD5"/>
    <w:rsid w:val="00B235C8"/>
    <w:rsid w:val="00B66E1B"/>
    <w:rsid w:val="00B72EAD"/>
    <w:rsid w:val="00BC51E9"/>
    <w:rsid w:val="00C72F79"/>
    <w:rsid w:val="00CA71BF"/>
    <w:rsid w:val="00CD1E43"/>
    <w:rsid w:val="00CF3485"/>
    <w:rsid w:val="00D37F09"/>
    <w:rsid w:val="00F42036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7E875"/>
  <w14:defaultImageDpi w14:val="32767"/>
  <w15:chartTrackingRefBased/>
  <w15:docId w15:val="{AA9225ED-DD35-403E-9C05-E1343A1B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D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5D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5DF9"/>
    <w:rPr>
      <w:sz w:val="18"/>
      <w:szCs w:val="18"/>
    </w:rPr>
  </w:style>
  <w:style w:type="table" w:styleId="a9">
    <w:name w:val="Table Grid"/>
    <w:basedOn w:val="a1"/>
    <w:uiPriority w:val="39"/>
    <w:rsid w:val="0000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kword">
    <w:name w:val="breakword"/>
    <w:basedOn w:val="a0"/>
    <w:rsid w:val="00005DF9"/>
  </w:style>
  <w:style w:type="character" w:styleId="aa">
    <w:name w:val="Placeholder Text"/>
    <w:basedOn w:val="a0"/>
    <w:uiPriority w:val="99"/>
    <w:semiHidden/>
    <w:rsid w:val="00D37F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8</cp:revision>
  <dcterms:created xsi:type="dcterms:W3CDTF">2022-04-27T01:00:00Z</dcterms:created>
  <dcterms:modified xsi:type="dcterms:W3CDTF">2022-06-02T01:53:00Z</dcterms:modified>
</cp:coreProperties>
</file>