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FA30C" w14:textId="42305BBF" w:rsidR="00592229" w:rsidRDefault="00592229" w:rsidP="00473CDE">
      <w:pPr>
        <w:spacing w:line="360" w:lineRule="auto"/>
        <w:ind w:left="720" w:hanging="720"/>
        <w:jc w:val="center"/>
        <w:rPr>
          <w:rFonts w:ascii="Arial" w:hAnsi="Arial" w:cs="Arial"/>
          <w:noProof w:val="0"/>
        </w:rPr>
      </w:pPr>
      <w:bookmarkStart w:id="0" w:name="_GoBack"/>
      <w:bookmarkEnd w:id="0"/>
      <w:r>
        <w:rPr>
          <w:rFonts w:ascii="Arial" w:hAnsi="Arial" w:cs="Arial"/>
          <w:noProof w:val="0"/>
        </w:rPr>
        <w:t>SUPPLEMENTAL MATERIAL</w:t>
      </w:r>
    </w:p>
    <w:p w14:paraId="0168F730" w14:textId="77777777" w:rsidR="00592229" w:rsidRPr="00152D27" w:rsidRDefault="00592229" w:rsidP="00592229">
      <w:pPr>
        <w:spacing w:line="360" w:lineRule="auto"/>
        <w:rPr>
          <w:rFonts w:ascii="Arial" w:hAnsi="Arial" w:cs="Arial"/>
          <w:b/>
          <w:noProof w:val="0"/>
          <w:sz w:val="28"/>
          <w:szCs w:val="28"/>
        </w:rPr>
      </w:pPr>
      <w:r w:rsidRPr="00152D27">
        <w:rPr>
          <w:rFonts w:ascii="Arial" w:hAnsi="Arial" w:cs="Arial"/>
          <w:b/>
          <w:noProof w:val="0"/>
          <w:sz w:val="28"/>
          <w:szCs w:val="28"/>
        </w:rPr>
        <w:t>A decade of invertebrate recruitment at Santa Catalina Island, California</w:t>
      </w:r>
    </w:p>
    <w:p w14:paraId="32DFA319" w14:textId="77777777" w:rsidR="00592229" w:rsidRPr="00152D27" w:rsidRDefault="00592229" w:rsidP="00592229">
      <w:pPr>
        <w:spacing w:line="360" w:lineRule="auto"/>
        <w:rPr>
          <w:rFonts w:ascii="Arial" w:hAnsi="Arial" w:cs="Arial"/>
          <w:noProof w:val="0"/>
        </w:rPr>
      </w:pPr>
    </w:p>
    <w:p w14:paraId="4880D02F" w14:textId="1D9D000C" w:rsidR="00592229" w:rsidRDefault="00592229" w:rsidP="00592229">
      <w:pPr>
        <w:spacing w:line="360" w:lineRule="auto"/>
        <w:rPr>
          <w:rFonts w:ascii="Arial" w:hAnsi="Arial" w:cs="Arial"/>
          <w:noProof w:val="0"/>
          <w:szCs w:val="24"/>
          <w:vertAlign w:val="superscript"/>
        </w:rPr>
      </w:pPr>
      <w:r w:rsidRPr="00152D27">
        <w:rPr>
          <w:rFonts w:ascii="Arial" w:hAnsi="Arial" w:cs="Arial"/>
          <w:noProof w:val="0"/>
        </w:rPr>
        <w:t>Peter J. Edmunds</w:t>
      </w:r>
      <w:r>
        <w:rPr>
          <w:rFonts w:ascii="Arial" w:hAnsi="Arial" w:cs="Arial"/>
          <w:noProof w:val="0"/>
        </w:rPr>
        <w:t>, Jessica Clayton</w:t>
      </w:r>
    </w:p>
    <w:p w14:paraId="0D4DE4C4" w14:textId="77777777" w:rsidR="00592229" w:rsidRDefault="00592229" w:rsidP="00592229">
      <w:pPr>
        <w:spacing w:line="360" w:lineRule="auto"/>
        <w:rPr>
          <w:rFonts w:ascii="Arial" w:hAnsi="Arial" w:cs="Arial"/>
          <w:noProof w:val="0"/>
          <w:szCs w:val="24"/>
          <w:vertAlign w:val="superscript"/>
        </w:rPr>
      </w:pPr>
    </w:p>
    <w:p w14:paraId="15815728" w14:textId="6AD6D1F5" w:rsidR="00592229" w:rsidRPr="00473CDE" w:rsidRDefault="00592229" w:rsidP="00592229">
      <w:pPr>
        <w:spacing w:line="360" w:lineRule="auto"/>
        <w:rPr>
          <w:rFonts w:ascii="Arial" w:hAnsi="Arial" w:cs="Arial"/>
          <w:i/>
          <w:noProof w:val="0"/>
        </w:rPr>
      </w:pPr>
      <w:r w:rsidRPr="00473CDE">
        <w:rPr>
          <w:rFonts w:ascii="Arial" w:hAnsi="Arial" w:cs="Arial"/>
          <w:i/>
          <w:noProof w:val="0"/>
        </w:rPr>
        <w:t>Deployment configurations</w:t>
      </w:r>
    </w:p>
    <w:p w14:paraId="16CB2390" w14:textId="3BBDD374" w:rsidR="00484818" w:rsidRDefault="00592229" w:rsidP="00592229">
      <w:pPr>
        <w:spacing w:line="360" w:lineRule="auto"/>
        <w:rPr>
          <w:rFonts w:ascii="Arial" w:hAnsi="Arial" w:cs="Arial"/>
          <w:noProof w:val="0"/>
        </w:rPr>
      </w:pPr>
      <w:r>
        <w:rPr>
          <w:rFonts w:ascii="Arial" w:hAnsi="Arial" w:cs="Arial"/>
          <w:noProof w:val="0"/>
        </w:rPr>
        <w:t>Logistical constraints in the field resulted in the tiles being suspended at a fixed depth off a floating dock for three immersion years (2016-2018), beginning on 16 January 2016 and ending on 20 Februar</w:t>
      </w:r>
      <w:r w:rsidR="00484818">
        <w:rPr>
          <w:rFonts w:ascii="Arial" w:hAnsi="Arial" w:cs="Arial"/>
          <w:noProof w:val="0"/>
        </w:rPr>
        <w:t>y 2019, and off a fixed (non-</w:t>
      </w:r>
      <w:r>
        <w:rPr>
          <w:rFonts w:ascii="Arial" w:hAnsi="Arial" w:cs="Arial"/>
          <w:noProof w:val="0"/>
        </w:rPr>
        <w:t xml:space="preserve">floating dock) for seven </w:t>
      </w:r>
      <w:r w:rsidR="00103784">
        <w:rPr>
          <w:rFonts w:ascii="Arial" w:hAnsi="Arial" w:cs="Arial"/>
          <w:noProof w:val="0"/>
        </w:rPr>
        <w:t xml:space="preserve">immersion </w:t>
      </w:r>
      <w:r>
        <w:rPr>
          <w:rFonts w:ascii="Arial" w:hAnsi="Arial" w:cs="Arial"/>
          <w:noProof w:val="0"/>
        </w:rPr>
        <w:t>years. When suspended off the fixed dock, the depth of t</w:t>
      </w:r>
      <w:r w:rsidR="00103784">
        <w:rPr>
          <w:rFonts w:ascii="Arial" w:hAnsi="Arial" w:cs="Arial"/>
          <w:noProof w:val="0"/>
        </w:rPr>
        <w:t>he tiles slightly varied with ti</w:t>
      </w:r>
      <w:r>
        <w:rPr>
          <w:rFonts w:ascii="Arial" w:hAnsi="Arial" w:cs="Arial"/>
          <w:noProof w:val="0"/>
        </w:rPr>
        <w:t>dal variation in seawater depth. Preliminary analyses of the fouling communities (averaged among tiles within each year) between these two periods revealed no difference between configurations for solitary taxa (t = 0.075, df = 8, P = 0.942), encrusting taxa (t = 1.595, df = 8, P = 0.149), or arborescent taxa (t = 1.393, df = 8, P = 0.201).</w:t>
      </w:r>
    </w:p>
    <w:p w14:paraId="5A2A3593" w14:textId="77777777" w:rsidR="00CC107B" w:rsidRDefault="00CC107B" w:rsidP="00592229">
      <w:pPr>
        <w:spacing w:line="360" w:lineRule="auto"/>
        <w:rPr>
          <w:rFonts w:ascii="Arial" w:hAnsi="Arial" w:cs="Arial"/>
          <w:noProof w:val="0"/>
        </w:rPr>
      </w:pPr>
    </w:p>
    <w:p w14:paraId="203A0891" w14:textId="3DEDE21C" w:rsidR="002C329A" w:rsidRPr="00943F7E" w:rsidRDefault="002C329A" w:rsidP="002C329A">
      <w:pPr>
        <w:spacing w:line="360" w:lineRule="auto"/>
        <w:rPr>
          <w:rFonts w:ascii="Arial" w:hAnsi="Arial" w:cs="Arial"/>
          <w:i/>
          <w:noProof w:val="0"/>
        </w:rPr>
      </w:pPr>
      <w:r w:rsidRPr="00943F7E">
        <w:rPr>
          <w:rFonts w:ascii="Arial" w:hAnsi="Arial" w:cs="Arial"/>
          <w:i/>
          <w:noProof w:val="0"/>
        </w:rPr>
        <w:t>2) Immersion times</w:t>
      </w:r>
      <w:r>
        <w:rPr>
          <w:rFonts w:ascii="Arial" w:hAnsi="Arial" w:cs="Arial"/>
          <w:i/>
          <w:noProof w:val="0"/>
        </w:rPr>
        <w:t xml:space="preserve"> and temperature</w:t>
      </w:r>
    </w:p>
    <w:p w14:paraId="6D676163" w14:textId="27FF91FE" w:rsidR="002C329A" w:rsidRDefault="002C329A" w:rsidP="002C329A">
      <w:pPr>
        <w:spacing w:line="360" w:lineRule="auto"/>
        <w:rPr>
          <w:rFonts w:ascii="Arial" w:hAnsi="Arial" w:cs="Arial"/>
          <w:noProof w:val="0"/>
        </w:rPr>
      </w:pPr>
      <w:r>
        <w:rPr>
          <w:rFonts w:ascii="Arial" w:hAnsi="Arial" w:cs="Arial"/>
          <w:noProof w:val="0"/>
        </w:rPr>
        <w:t xml:space="preserve">Logistical constraints prevented identical immersion times for the tiles, either in terms of absolute duration underwater (ranging from 321-419 days), and the start and end times of the immersions (Fig. S1). Tests of association between mean abundances (by sampling) for the three functional groups of fouling organisms and immersion time did not reveal significant effects (r ≤ 0.244, df = 8, P ≥ 0.478) (Fig. S2). Seawater temperature (averaged over 13 years) increased throughout the majority of each Immersion period (Fig. </w:t>
      </w:r>
      <w:r w:rsidR="002E140E">
        <w:rPr>
          <w:rFonts w:ascii="Arial" w:hAnsi="Arial" w:cs="Arial"/>
          <w:noProof w:val="0"/>
        </w:rPr>
        <w:t>S1).</w:t>
      </w:r>
    </w:p>
    <w:p w14:paraId="1A6B3F5D" w14:textId="3A21D797" w:rsidR="002C329A" w:rsidRDefault="002C329A" w:rsidP="00473CDE">
      <w:pPr>
        <w:spacing w:line="360" w:lineRule="auto"/>
        <w:jc w:val="center"/>
        <w:rPr>
          <w:rFonts w:ascii="Arial" w:hAnsi="Arial" w:cs="Arial"/>
          <w:noProof w:val="0"/>
        </w:rPr>
      </w:pPr>
      <w:r w:rsidRPr="00473CDE">
        <w:rPr>
          <w:rFonts w:ascii="Arial" w:hAnsi="Arial" w:cs="Arial"/>
        </w:rPr>
        <w:drawing>
          <wp:inline distT="0" distB="0" distL="0" distR="0" wp14:anchorId="3F5891E0" wp14:editId="7E62904A">
            <wp:extent cx="4219986" cy="448373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M_Fig. S1_Sampling Scheme copy.png"/>
                    <pic:cNvPicPr/>
                  </pic:nvPicPr>
                  <pic:blipFill>
                    <a:blip r:embed="rId7">
                      <a:extLst>
                        <a:ext uri="{28A0092B-C50C-407E-A947-70E740481C1C}">
                          <a14:useLocalDpi xmlns:a14="http://schemas.microsoft.com/office/drawing/2010/main" val="0"/>
                        </a:ext>
                      </a:extLst>
                    </a:blip>
                    <a:stretch>
                      <a:fillRect/>
                    </a:stretch>
                  </pic:blipFill>
                  <pic:spPr>
                    <a:xfrm>
                      <a:off x="0" y="0"/>
                      <a:ext cx="4219986" cy="4483735"/>
                    </a:xfrm>
                    <a:prstGeom prst="rect">
                      <a:avLst/>
                    </a:prstGeom>
                  </pic:spPr>
                </pic:pic>
              </a:graphicData>
            </a:graphic>
          </wp:inline>
        </w:drawing>
      </w:r>
    </w:p>
    <w:p w14:paraId="499F956A" w14:textId="543C90FE" w:rsidR="002C329A" w:rsidRDefault="002C329A" w:rsidP="00473CDE">
      <w:pPr>
        <w:spacing w:line="360" w:lineRule="auto"/>
        <w:rPr>
          <w:rFonts w:ascii="Arial" w:hAnsi="Arial" w:cs="Arial"/>
          <w:noProof w:val="0"/>
        </w:rPr>
      </w:pPr>
      <w:r w:rsidRPr="00152D27">
        <w:rPr>
          <w:rFonts w:ascii="Arial" w:hAnsi="Arial" w:cs="Arial"/>
          <w:noProof w:val="0"/>
        </w:rPr>
        <w:t xml:space="preserve">Fig. </w:t>
      </w:r>
      <w:r>
        <w:rPr>
          <w:rFonts w:ascii="Arial" w:hAnsi="Arial" w:cs="Arial"/>
          <w:noProof w:val="0"/>
        </w:rPr>
        <w:t>S1</w:t>
      </w:r>
      <w:r w:rsidRPr="00152D27">
        <w:rPr>
          <w:rFonts w:ascii="Arial" w:hAnsi="Arial" w:cs="Arial"/>
          <w:noProof w:val="0"/>
        </w:rPr>
        <w:t xml:space="preserve">. </w:t>
      </w:r>
      <w:r w:rsidRPr="00F13A4C">
        <w:rPr>
          <w:rFonts w:ascii="Arial" w:hAnsi="Arial" w:cs="Arial"/>
          <w:b/>
          <w:noProof w:val="0"/>
        </w:rPr>
        <w:t xml:space="preserve">Seawater temperature (A) and sampling scheme (B). </w:t>
      </w:r>
      <w:r w:rsidRPr="00152D27">
        <w:rPr>
          <w:rFonts w:ascii="Arial" w:hAnsi="Arial" w:cs="Arial"/>
          <w:noProof w:val="0"/>
        </w:rPr>
        <w:t>Temperature shows mean daily records for NOAA buoy 46222 with red belt showing 95% confidence interval. Sampling scheme shows relationship of immersion year to calendar year. For some years, tiles were immersed prior to the start of the immersion year (negative days) and sometimes were retrieved early the following year.</w:t>
      </w:r>
    </w:p>
    <w:p w14:paraId="06CC0CEF" w14:textId="002F4A08" w:rsidR="002E6A92" w:rsidRDefault="002E6A92">
      <w:pPr>
        <w:rPr>
          <w:rFonts w:ascii="Arial" w:hAnsi="Arial" w:cs="Arial"/>
          <w:noProof w:val="0"/>
        </w:rPr>
      </w:pPr>
      <w:r>
        <w:rPr>
          <w:rFonts w:ascii="Arial" w:hAnsi="Arial" w:cs="Arial"/>
          <w:noProof w:val="0"/>
        </w:rPr>
        <w:br w:type="page"/>
      </w:r>
    </w:p>
    <w:p w14:paraId="3137C1F0" w14:textId="42CB99C0" w:rsidR="002E6A92" w:rsidRPr="00152D27" w:rsidRDefault="002E6A92" w:rsidP="00473CDE">
      <w:pPr>
        <w:spacing w:line="360" w:lineRule="auto"/>
        <w:rPr>
          <w:rFonts w:ascii="Arial" w:hAnsi="Arial" w:cs="Arial"/>
          <w:noProof w:val="0"/>
        </w:rPr>
      </w:pPr>
      <w:r w:rsidRPr="00473CDE">
        <w:rPr>
          <w:rFonts w:ascii="Arial" w:hAnsi="Arial" w:cs="Arial"/>
        </w:rPr>
        <mc:AlternateContent>
          <mc:Choice Requires="wps">
            <w:drawing>
              <wp:anchor distT="0" distB="0" distL="114300" distR="114300" simplePos="0" relativeHeight="251659264" behindDoc="0" locked="0" layoutInCell="1" allowOverlap="1" wp14:anchorId="17D6309F" wp14:editId="0F13FD63">
                <wp:simplePos x="0" y="0"/>
                <wp:positionH relativeFrom="margin">
                  <wp:posOffset>0</wp:posOffset>
                </wp:positionH>
                <wp:positionV relativeFrom="margin">
                  <wp:posOffset>0</wp:posOffset>
                </wp:positionV>
                <wp:extent cx="5943600" cy="384746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384746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9974B9" w14:textId="77777777" w:rsidR="0004558A" w:rsidRDefault="0004558A" w:rsidP="00473CDE">
                            <w:pPr>
                              <w:jc w:val="center"/>
                            </w:pPr>
                            <w:r>
                              <w:drawing>
                                <wp:inline distT="0" distB="0" distL="0" distR="0" wp14:anchorId="670DF2FB" wp14:editId="1D2F8344">
                                  <wp:extent cx="1318895" cy="3223260"/>
                                  <wp:effectExtent l="0" t="0" r="190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M Fig. 1.png"/>
                                          <pic:cNvPicPr/>
                                        </pic:nvPicPr>
                                        <pic:blipFill>
                                          <a:blip r:embed="rId8">
                                            <a:extLst>
                                              <a:ext uri="{28A0092B-C50C-407E-A947-70E740481C1C}">
                                                <a14:useLocalDpi xmlns:a14="http://schemas.microsoft.com/office/drawing/2010/main" val="0"/>
                                              </a:ext>
                                            </a:extLst>
                                          </a:blip>
                                          <a:stretch>
                                            <a:fillRect/>
                                          </a:stretch>
                                        </pic:blipFill>
                                        <pic:spPr>
                                          <a:xfrm>
                                            <a:off x="0" y="0"/>
                                            <a:ext cx="1318895" cy="3223260"/>
                                          </a:xfrm>
                                          <a:prstGeom prst="rect">
                                            <a:avLst/>
                                          </a:prstGeom>
                                        </pic:spPr>
                                      </pic:pic>
                                    </a:graphicData>
                                  </a:graphic>
                                </wp:inline>
                              </w:drawing>
                            </w:r>
                          </w:p>
                          <w:p w14:paraId="331FD3D2" w14:textId="691154F7" w:rsidR="0004558A" w:rsidRPr="00473CDE" w:rsidRDefault="0004558A" w:rsidP="002E6A92">
                            <w:pPr>
                              <w:rPr>
                                <w:rFonts w:ascii="Arial" w:hAnsi="Arial" w:cs="Arial"/>
                              </w:rPr>
                            </w:pPr>
                            <w:r w:rsidRPr="00473CDE">
                              <w:rPr>
                                <w:rFonts w:ascii="Arial" w:hAnsi="Arial" w:cs="Arial"/>
                              </w:rPr>
                              <w:t>Fig. S</w:t>
                            </w:r>
                            <w:r w:rsidR="00CC4069">
                              <w:rPr>
                                <w:rFonts w:ascii="Arial" w:hAnsi="Arial" w:cs="Arial"/>
                              </w:rPr>
                              <w:t>2</w:t>
                            </w:r>
                            <w:r w:rsidRPr="00473CDE">
                              <w:rPr>
                                <w:rFonts w:ascii="Arial" w:hAnsi="Arial" w:cs="Arial"/>
                              </w:rPr>
                              <w:t xml:space="preserve">. Scatterplots showing relationships between the abundance of fouling organisms in three funtional groups (pooled among taxa) as a function of time immersion time (Fig. </w:t>
                            </w:r>
                            <w:r w:rsidR="00CC4069">
                              <w:rPr>
                                <w:rFonts w:ascii="Arial" w:hAnsi="Arial" w:cs="Arial"/>
                              </w:rPr>
                              <w:t>S</w:t>
                            </w:r>
                            <w:r w:rsidRPr="00473CDE">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468pt;height:30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" filled="f" stroked="f">
                <v:textbox>
                  <w:txbxContent>
                    <w:p w14:paraId="6D9974B9" w14:textId="77777777" w:rsidR="0004558A" w:rsidRDefault="0004558A" w:rsidP="00473CDE">
                      <w:pPr>
                        <w:jc w:val="center"/>
                      </w:pPr>
                      <w:r>
                        <w:drawing>
                          <wp:inline distT="0" distB="0" distL="0" distR="0" wp14:anchorId="670DF2FB" wp14:editId="1D2F8344">
                            <wp:extent cx="1318895" cy="3223260"/>
                            <wp:effectExtent l="0" t="0" r="190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M Fig. 1.png"/>
                                    <pic:cNvPicPr/>
                                  </pic:nvPicPr>
                                  <pic:blipFill>
                                    <a:blip r:embed="rId8">
                                      <a:extLst>
                                        <a:ext uri="{28A0092B-C50C-407E-A947-70E740481C1C}">
                                          <a14:useLocalDpi xmlns:a14="http://schemas.microsoft.com/office/drawing/2010/main" val="0"/>
                                        </a:ext>
                                      </a:extLst>
                                    </a:blip>
                                    <a:stretch>
                                      <a:fillRect/>
                                    </a:stretch>
                                  </pic:blipFill>
                                  <pic:spPr>
                                    <a:xfrm>
                                      <a:off x="0" y="0"/>
                                      <a:ext cx="1318895" cy="3223260"/>
                                    </a:xfrm>
                                    <a:prstGeom prst="rect">
                                      <a:avLst/>
                                    </a:prstGeom>
                                  </pic:spPr>
                                </pic:pic>
                              </a:graphicData>
                            </a:graphic>
                          </wp:inline>
                        </w:drawing>
                      </w:r>
                    </w:p>
                    <w:p w14:paraId="331FD3D2" w14:textId="691154F7" w:rsidR="0004558A" w:rsidRPr="00473CDE" w:rsidRDefault="0004558A" w:rsidP="002E6A92">
                      <w:pPr>
                        <w:rPr>
                          <w:rFonts w:ascii="Arial" w:hAnsi="Arial" w:cs="Arial"/>
                        </w:rPr>
                      </w:pPr>
                      <w:r w:rsidRPr="00473CDE">
                        <w:rPr>
                          <w:rFonts w:ascii="Arial" w:hAnsi="Arial" w:cs="Arial"/>
                        </w:rPr>
                        <w:t>Fig. S</w:t>
                      </w:r>
                      <w:r w:rsidR="00CC4069">
                        <w:rPr>
                          <w:rFonts w:ascii="Arial" w:hAnsi="Arial" w:cs="Arial"/>
                        </w:rPr>
                        <w:t>2</w:t>
                      </w:r>
                      <w:r w:rsidRPr="00473CDE">
                        <w:rPr>
                          <w:rFonts w:ascii="Arial" w:hAnsi="Arial" w:cs="Arial"/>
                        </w:rPr>
                        <w:t xml:space="preserve">. Scatterplots showing relationships between the abundance of fouling organisms in three funtional groups (pooled among taxa) as a function of time immersion time (Fig. </w:t>
                      </w:r>
                      <w:r w:rsidR="00CC4069">
                        <w:rPr>
                          <w:rFonts w:ascii="Arial" w:hAnsi="Arial" w:cs="Arial"/>
                        </w:rPr>
                        <w:t>S</w:t>
                      </w:r>
                      <w:r w:rsidRPr="00473CDE">
                        <w:rPr>
                          <w:rFonts w:ascii="Arial" w:hAnsi="Arial" w:cs="Arial"/>
                        </w:rPr>
                        <w:t>1).</w:t>
                      </w:r>
                    </w:p>
                  </w:txbxContent>
                </v:textbox>
                <w10:wrap type="square" anchorx="margin" anchory="margin"/>
              </v:shape>
            </w:pict>
          </mc:Fallback>
        </mc:AlternateContent>
      </w:r>
    </w:p>
    <w:p w14:paraId="28DD2092" w14:textId="77777777" w:rsidR="002E6A92" w:rsidRDefault="002E6A92" w:rsidP="00592229">
      <w:pPr>
        <w:spacing w:line="360" w:lineRule="auto"/>
        <w:rPr>
          <w:rFonts w:ascii="Arial" w:hAnsi="Arial" w:cs="Arial"/>
          <w:noProof w:val="0"/>
        </w:rPr>
        <w:sectPr w:rsidR="002E6A92" w:rsidSect="00F2641F">
          <w:headerReference w:type="default" r:id="rId9"/>
          <w:footerReference w:type="default" r:id="rId10"/>
          <w:pgSz w:w="12240" w:h="15840"/>
          <w:pgMar w:top="1440" w:right="1440" w:bottom="1440" w:left="1440" w:header="720" w:footer="720" w:gutter="0"/>
          <w:lnNumType w:countBy="1" w:restart="continuous"/>
          <w:cols w:space="720"/>
        </w:sectPr>
      </w:pPr>
    </w:p>
    <w:p w14:paraId="557059E6" w14:textId="47530629" w:rsidR="00484818" w:rsidRDefault="002E6A92" w:rsidP="00592229">
      <w:pPr>
        <w:spacing w:line="360" w:lineRule="auto"/>
        <w:rPr>
          <w:rFonts w:ascii="Arial" w:hAnsi="Arial" w:cs="Arial"/>
          <w:noProof w:val="0"/>
        </w:rPr>
      </w:pPr>
      <w:r w:rsidRPr="00473CDE">
        <w:rPr>
          <w:rFonts w:ascii="Arial" w:hAnsi="Arial" w:cs="Arial"/>
          <w:b/>
          <w:noProof w:val="0"/>
        </w:rPr>
        <w:t>Table S1. Summary of descriptive statistics for daily seawater temperature from 2010 to 2021.</w:t>
      </w:r>
      <w:r>
        <w:rPr>
          <w:rFonts w:ascii="Arial" w:hAnsi="Arial" w:cs="Arial"/>
          <w:noProof w:val="0"/>
        </w:rPr>
        <w:t xml:space="preserve"> </w:t>
      </w:r>
      <w:r w:rsidR="00FE252D">
        <w:rPr>
          <w:rFonts w:ascii="Arial" w:hAnsi="Arial" w:cs="Arial"/>
          <w:noProof w:val="0"/>
        </w:rPr>
        <w:t>Values for mean, standard error (SE), maximum (Max) and minimum (Min) are reported for immersion years (as in Fig. S1) with a variable number of days (No. days (N)) determined by the timing of tile deployment and recovery. The 10</w:t>
      </w:r>
      <w:r w:rsidR="00FE252D" w:rsidRPr="00473CDE">
        <w:rPr>
          <w:rFonts w:ascii="Arial" w:hAnsi="Arial" w:cs="Arial"/>
          <w:noProof w:val="0"/>
          <w:vertAlign w:val="superscript"/>
        </w:rPr>
        <w:t>th</w:t>
      </w:r>
      <w:r w:rsidR="00FE252D">
        <w:rPr>
          <w:rFonts w:ascii="Arial" w:hAnsi="Arial" w:cs="Arial"/>
          <w:noProof w:val="0"/>
        </w:rPr>
        <w:t xml:space="preserve"> and 90</w:t>
      </w:r>
      <w:r w:rsidR="00FE252D" w:rsidRPr="00473CDE">
        <w:rPr>
          <w:rFonts w:ascii="Arial" w:hAnsi="Arial" w:cs="Arial"/>
          <w:noProof w:val="0"/>
          <w:vertAlign w:val="superscript"/>
        </w:rPr>
        <w:t>th</w:t>
      </w:r>
      <w:r w:rsidR="00FE252D">
        <w:rPr>
          <w:rFonts w:ascii="Arial" w:hAnsi="Arial" w:cs="Arial"/>
          <w:noProof w:val="0"/>
        </w:rPr>
        <w:t xml:space="preserve"> percentile were defined across the whole study (14.59°C and 21.13°C, respectively) and the number of days in these tails as well as the onset of the extreme periods are reported for the main calendar year of immersion (Fig. S1).</w:t>
      </w:r>
      <w:r w:rsidR="003B6021">
        <w:rPr>
          <w:rFonts w:ascii="Arial" w:hAnsi="Arial" w:cs="Arial"/>
          <w:noProof w:val="0"/>
        </w:rPr>
        <w:t xml:space="preserve"> n/a = not applicable as extreme days (as defined here) did not occur in these years, or were rare and scattered throughout the year.</w:t>
      </w:r>
    </w:p>
    <w:p w14:paraId="31D132FE" w14:textId="77777777" w:rsidR="00FE252D" w:rsidRDefault="00FE252D" w:rsidP="00592229">
      <w:pPr>
        <w:spacing w:line="360" w:lineRule="auto"/>
        <w:rPr>
          <w:rFonts w:ascii="Arial" w:hAnsi="Arial" w:cs="Arial"/>
          <w:noProof w:val="0"/>
        </w:rPr>
      </w:pPr>
    </w:p>
    <w:tbl>
      <w:tblPr>
        <w:tblStyle w:val="TableGrid"/>
        <w:tblW w:w="1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114"/>
        <w:gridCol w:w="1107"/>
        <w:gridCol w:w="1103"/>
        <w:gridCol w:w="1103"/>
        <w:gridCol w:w="1103"/>
        <w:gridCol w:w="1170"/>
        <w:gridCol w:w="1296"/>
        <w:gridCol w:w="1296"/>
        <w:gridCol w:w="1296"/>
      </w:tblGrid>
      <w:tr w:rsidR="00FE252D" w:rsidRPr="00FE252D" w14:paraId="4F5A3F7F" w14:textId="2B7A4AD2" w:rsidTr="00473CDE">
        <w:tc>
          <w:tcPr>
            <w:tcW w:w="1320" w:type="dxa"/>
            <w:tcBorders>
              <w:bottom w:val="single" w:sz="4" w:space="0" w:color="auto"/>
            </w:tcBorders>
          </w:tcPr>
          <w:p w14:paraId="192DC7B6" w14:textId="657C16CA" w:rsidR="00FE252D" w:rsidRPr="00473CDE" w:rsidRDefault="00FE252D" w:rsidP="00473CDE">
            <w:pPr>
              <w:jc w:val="center"/>
              <w:rPr>
                <w:rFonts w:ascii="Arial" w:hAnsi="Arial" w:cs="Arial"/>
                <w:noProof w:val="0"/>
                <w:sz w:val="22"/>
                <w:szCs w:val="22"/>
              </w:rPr>
            </w:pPr>
            <w:r w:rsidRPr="00473CDE">
              <w:rPr>
                <w:rFonts w:ascii="Arial" w:hAnsi="Arial" w:cs="Arial"/>
                <w:noProof w:val="0"/>
                <w:sz w:val="22"/>
                <w:szCs w:val="22"/>
              </w:rPr>
              <w:t>Immersion Year</w:t>
            </w:r>
          </w:p>
        </w:tc>
        <w:tc>
          <w:tcPr>
            <w:tcW w:w="1114" w:type="dxa"/>
            <w:tcBorders>
              <w:bottom w:val="single" w:sz="4" w:space="0" w:color="auto"/>
            </w:tcBorders>
          </w:tcPr>
          <w:p w14:paraId="0C535DEC" w14:textId="1C130D80" w:rsidR="00FE252D" w:rsidRPr="00473CDE" w:rsidRDefault="00FE252D" w:rsidP="00473CDE">
            <w:pPr>
              <w:jc w:val="center"/>
              <w:rPr>
                <w:rFonts w:ascii="Arial" w:hAnsi="Arial" w:cs="Arial"/>
                <w:noProof w:val="0"/>
                <w:sz w:val="22"/>
                <w:szCs w:val="22"/>
              </w:rPr>
            </w:pPr>
            <w:r w:rsidRPr="00473CDE">
              <w:rPr>
                <w:rFonts w:ascii="Arial" w:hAnsi="Arial" w:cs="Arial"/>
                <w:noProof w:val="0"/>
                <w:sz w:val="22"/>
                <w:szCs w:val="22"/>
              </w:rPr>
              <w:t>No. days (N)</w:t>
            </w:r>
          </w:p>
        </w:tc>
        <w:tc>
          <w:tcPr>
            <w:tcW w:w="1107" w:type="dxa"/>
            <w:tcBorders>
              <w:bottom w:val="single" w:sz="4" w:space="0" w:color="auto"/>
            </w:tcBorders>
          </w:tcPr>
          <w:p w14:paraId="17B625A7" w14:textId="3AA72C3C" w:rsidR="00FE252D" w:rsidRPr="00FE252D" w:rsidRDefault="00FE252D" w:rsidP="00473CDE">
            <w:pPr>
              <w:jc w:val="center"/>
              <w:rPr>
                <w:rFonts w:ascii="Arial" w:hAnsi="Arial" w:cs="Arial"/>
                <w:noProof w:val="0"/>
                <w:sz w:val="22"/>
                <w:szCs w:val="22"/>
              </w:rPr>
            </w:pPr>
            <w:r>
              <w:rPr>
                <w:rFonts w:ascii="Arial" w:hAnsi="Arial" w:cs="Arial"/>
                <w:noProof w:val="0"/>
                <w:sz w:val="22"/>
                <w:szCs w:val="22"/>
              </w:rPr>
              <w:t>Mean (°C)</w:t>
            </w:r>
          </w:p>
        </w:tc>
        <w:tc>
          <w:tcPr>
            <w:tcW w:w="1103" w:type="dxa"/>
            <w:tcBorders>
              <w:bottom w:val="single" w:sz="4" w:space="0" w:color="auto"/>
            </w:tcBorders>
          </w:tcPr>
          <w:p w14:paraId="7546E12D" w14:textId="1CF9015E" w:rsidR="00FE252D" w:rsidRPr="00473CDE" w:rsidRDefault="00FE252D" w:rsidP="00473CDE">
            <w:pPr>
              <w:jc w:val="center"/>
              <w:rPr>
                <w:rFonts w:ascii="Arial" w:hAnsi="Arial" w:cs="Arial"/>
                <w:noProof w:val="0"/>
                <w:sz w:val="22"/>
                <w:szCs w:val="22"/>
              </w:rPr>
            </w:pPr>
            <w:r w:rsidRPr="00473CDE">
              <w:rPr>
                <w:rFonts w:ascii="Arial" w:hAnsi="Arial" w:cs="Arial"/>
                <w:noProof w:val="0"/>
                <w:sz w:val="22"/>
                <w:szCs w:val="22"/>
              </w:rPr>
              <w:t>SE (°C)</w:t>
            </w:r>
          </w:p>
        </w:tc>
        <w:tc>
          <w:tcPr>
            <w:tcW w:w="1103" w:type="dxa"/>
            <w:tcBorders>
              <w:bottom w:val="single" w:sz="4" w:space="0" w:color="auto"/>
            </w:tcBorders>
          </w:tcPr>
          <w:p w14:paraId="3B396F43" w14:textId="153C600B" w:rsidR="00FE252D" w:rsidRPr="00473CDE" w:rsidRDefault="00FE252D" w:rsidP="00473CDE">
            <w:pPr>
              <w:jc w:val="center"/>
              <w:rPr>
                <w:rFonts w:ascii="Arial" w:hAnsi="Arial" w:cs="Arial"/>
                <w:noProof w:val="0"/>
                <w:sz w:val="22"/>
                <w:szCs w:val="22"/>
              </w:rPr>
            </w:pPr>
            <w:r w:rsidRPr="00473CDE">
              <w:rPr>
                <w:rFonts w:ascii="Arial" w:hAnsi="Arial" w:cs="Arial"/>
                <w:noProof w:val="0"/>
                <w:sz w:val="22"/>
                <w:szCs w:val="22"/>
              </w:rPr>
              <w:t>Max (°C)</w:t>
            </w:r>
          </w:p>
        </w:tc>
        <w:tc>
          <w:tcPr>
            <w:tcW w:w="1103" w:type="dxa"/>
            <w:tcBorders>
              <w:bottom w:val="single" w:sz="4" w:space="0" w:color="auto"/>
            </w:tcBorders>
          </w:tcPr>
          <w:p w14:paraId="256E372E" w14:textId="5F557894" w:rsidR="00FE252D" w:rsidRPr="00473CDE" w:rsidRDefault="00FE252D" w:rsidP="00473CDE">
            <w:pPr>
              <w:jc w:val="center"/>
              <w:rPr>
                <w:rFonts w:ascii="Arial" w:hAnsi="Arial" w:cs="Arial"/>
                <w:noProof w:val="0"/>
                <w:sz w:val="22"/>
                <w:szCs w:val="22"/>
              </w:rPr>
            </w:pPr>
            <w:r w:rsidRPr="00473CDE">
              <w:rPr>
                <w:rFonts w:ascii="Arial" w:hAnsi="Arial" w:cs="Arial"/>
                <w:noProof w:val="0"/>
                <w:sz w:val="22"/>
                <w:szCs w:val="22"/>
              </w:rPr>
              <w:t>Min (°C)</w:t>
            </w:r>
          </w:p>
        </w:tc>
        <w:tc>
          <w:tcPr>
            <w:tcW w:w="1170" w:type="dxa"/>
            <w:tcBorders>
              <w:bottom w:val="single" w:sz="4" w:space="0" w:color="auto"/>
            </w:tcBorders>
          </w:tcPr>
          <w:p w14:paraId="79E16254" w14:textId="7AF7DD70" w:rsidR="00FE252D" w:rsidRPr="00FE252D" w:rsidRDefault="00FE252D" w:rsidP="00473CDE">
            <w:pPr>
              <w:jc w:val="center"/>
              <w:rPr>
                <w:rFonts w:ascii="Arial" w:hAnsi="Arial" w:cs="Arial"/>
                <w:noProof w:val="0"/>
                <w:sz w:val="22"/>
                <w:szCs w:val="22"/>
              </w:rPr>
            </w:pPr>
            <w:r w:rsidRPr="00943F7E">
              <w:rPr>
                <w:rFonts w:ascii="Arial" w:hAnsi="Arial" w:cs="Arial"/>
                <w:noProof w:val="0"/>
                <w:sz w:val="22"/>
                <w:szCs w:val="22"/>
              </w:rPr>
              <w:t xml:space="preserve">Days </w:t>
            </w:r>
            <w:r w:rsidR="00663925">
              <w:rPr>
                <w:rFonts w:ascii="Arial" w:hAnsi="Arial" w:cs="Arial"/>
                <w:noProof w:val="0"/>
                <w:sz w:val="22"/>
                <w:szCs w:val="22"/>
              </w:rPr>
              <w:t xml:space="preserve">  </w:t>
            </w:r>
            <w:r w:rsidRPr="00943F7E">
              <w:rPr>
                <w:rFonts w:ascii="Arial" w:hAnsi="Arial" w:cs="Arial"/>
                <w:noProof w:val="0"/>
                <w:sz w:val="22"/>
                <w:szCs w:val="22"/>
              </w:rPr>
              <w:t>&lt; 10</w:t>
            </w:r>
            <w:r w:rsidRPr="00943F7E">
              <w:rPr>
                <w:rFonts w:ascii="Arial" w:hAnsi="Arial" w:cs="Arial"/>
                <w:noProof w:val="0"/>
                <w:sz w:val="22"/>
                <w:szCs w:val="22"/>
                <w:vertAlign w:val="superscript"/>
              </w:rPr>
              <w:t>th</w:t>
            </w:r>
            <w:r w:rsidRPr="00943F7E">
              <w:rPr>
                <w:rFonts w:ascii="Arial" w:hAnsi="Arial" w:cs="Arial"/>
                <w:noProof w:val="0"/>
                <w:sz w:val="22"/>
                <w:szCs w:val="22"/>
              </w:rPr>
              <w:t xml:space="preserve"> percentile</w:t>
            </w:r>
          </w:p>
        </w:tc>
        <w:tc>
          <w:tcPr>
            <w:tcW w:w="1296" w:type="dxa"/>
            <w:tcBorders>
              <w:bottom w:val="single" w:sz="4" w:space="0" w:color="auto"/>
            </w:tcBorders>
          </w:tcPr>
          <w:p w14:paraId="1047B163" w14:textId="0BFE9578" w:rsidR="00FE252D" w:rsidRPr="00473CDE" w:rsidRDefault="00FE252D" w:rsidP="00473CDE">
            <w:pPr>
              <w:jc w:val="center"/>
              <w:rPr>
                <w:rFonts w:ascii="Arial" w:hAnsi="Arial" w:cs="Arial"/>
                <w:noProof w:val="0"/>
                <w:sz w:val="22"/>
                <w:szCs w:val="22"/>
              </w:rPr>
            </w:pPr>
            <w:r w:rsidRPr="00473CDE">
              <w:rPr>
                <w:rFonts w:ascii="Arial" w:hAnsi="Arial" w:cs="Arial"/>
                <w:noProof w:val="0"/>
                <w:sz w:val="22"/>
                <w:szCs w:val="22"/>
              </w:rPr>
              <w:t xml:space="preserve">Days </w:t>
            </w:r>
            <w:r w:rsidR="00663925">
              <w:rPr>
                <w:rFonts w:ascii="Arial" w:hAnsi="Arial" w:cs="Arial"/>
                <w:noProof w:val="0"/>
                <w:sz w:val="22"/>
                <w:szCs w:val="22"/>
              </w:rPr>
              <w:t xml:space="preserve">    </w:t>
            </w:r>
            <w:r w:rsidRPr="00473CDE">
              <w:rPr>
                <w:rFonts w:ascii="Arial" w:hAnsi="Arial" w:cs="Arial"/>
                <w:noProof w:val="0"/>
                <w:sz w:val="22"/>
                <w:szCs w:val="22"/>
              </w:rPr>
              <w:t>&gt; 90</w:t>
            </w:r>
            <w:r w:rsidRPr="00473CDE">
              <w:rPr>
                <w:rFonts w:ascii="Arial" w:hAnsi="Arial" w:cs="Arial"/>
                <w:noProof w:val="0"/>
                <w:sz w:val="22"/>
                <w:szCs w:val="22"/>
                <w:vertAlign w:val="superscript"/>
              </w:rPr>
              <w:t>th</w:t>
            </w:r>
            <w:r w:rsidRPr="00473CDE">
              <w:rPr>
                <w:rFonts w:ascii="Arial" w:hAnsi="Arial" w:cs="Arial"/>
                <w:noProof w:val="0"/>
                <w:sz w:val="22"/>
                <w:szCs w:val="22"/>
              </w:rPr>
              <w:t xml:space="preserve"> percentile</w:t>
            </w:r>
          </w:p>
        </w:tc>
        <w:tc>
          <w:tcPr>
            <w:tcW w:w="1296" w:type="dxa"/>
            <w:tcBorders>
              <w:bottom w:val="single" w:sz="4" w:space="0" w:color="auto"/>
            </w:tcBorders>
          </w:tcPr>
          <w:p w14:paraId="624B458A" w14:textId="00194EFB" w:rsidR="00FE252D" w:rsidRPr="00FE252D" w:rsidRDefault="00FE252D" w:rsidP="00473CDE">
            <w:pPr>
              <w:jc w:val="center"/>
              <w:rPr>
                <w:rFonts w:ascii="Arial" w:hAnsi="Arial" w:cs="Arial"/>
                <w:noProof w:val="0"/>
                <w:sz w:val="22"/>
                <w:szCs w:val="22"/>
              </w:rPr>
            </w:pPr>
            <w:r w:rsidRPr="00943F7E">
              <w:rPr>
                <w:rFonts w:ascii="Arial" w:hAnsi="Arial" w:cs="Arial"/>
                <w:noProof w:val="0"/>
                <w:sz w:val="22"/>
                <w:szCs w:val="22"/>
              </w:rPr>
              <w:t xml:space="preserve">Day of onset of </w:t>
            </w:r>
            <w:r w:rsidR="00663925">
              <w:rPr>
                <w:rFonts w:ascii="Arial" w:hAnsi="Arial" w:cs="Arial"/>
                <w:noProof w:val="0"/>
                <w:sz w:val="22"/>
                <w:szCs w:val="22"/>
              </w:rPr>
              <w:t xml:space="preserve"> </w:t>
            </w:r>
            <w:r w:rsidRPr="00943F7E">
              <w:rPr>
                <w:rFonts w:ascii="Arial" w:hAnsi="Arial" w:cs="Arial"/>
                <w:noProof w:val="0"/>
                <w:sz w:val="22"/>
                <w:szCs w:val="22"/>
              </w:rPr>
              <w:t>&lt; 10</w:t>
            </w:r>
            <w:r w:rsidRPr="00943F7E">
              <w:rPr>
                <w:rFonts w:ascii="Arial" w:hAnsi="Arial" w:cs="Arial"/>
                <w:noProof w:val="0"/>
                <w:sz w:val="22"/>
                <w:szCs w:val="22"/>
                <w:vertAlign w:val="superscript"/>
              </w:rPr>
              <w:t>th</w:t>
            </w:r>
            <w:r w:rsidRPr="00943F7E">
              <w:rPr>
                <w:rFonts w:ascii="Arial" w:hAnsi="Arial" w:cs="Arial"/>
                <w:noProof w:val="0"/>
                <w:sz w:val="22"/>
                <w:szCs w:val="22"/>
              </w:rPr>
              <w:t xml:space="preserve"> percentile</w:t>
            </w:r>
          </w:p>
        </w:tc>
        <w:tc>
          <w:tcPr>
            <w:tcW w:w="1296" w:type="dxa"/>
            <w:tcBorders>
              <w:bottom w:val="single" w:sz="4" w:space="0" w:color="auto"/>
            </w:tcBorders>
          </w:tcPr>
          <w:p w14:paraId="0DCA47C9" w14:textId="657A83F1" w:rsidR="00FE252D" w:rsidRPr="00473CDE" w:rsidRDefault="00FE252D" w:rsidP="00473CDE">
            <w:pPr>
              <w:jc w:val="center"/>
              <w:rPr>
                <w:rFonts w:ascii="Arial" w:hAnsi="Arial" w:cs="Arial"/>
                <w:noProof w:val="0"/>
                <w:sz w:val="22"/>
                <w:szCs w:val="22"/>
              </w:rPr>
            </w:pPr>
            <w:r w:rsidRPr="00473CDE">
              <w:rPr>
                <w:rFonts w:ascii="Arial" w:hAnsi="Arial" w:cs="Arial"/>
                <w:noProof w:val="0"/>
                <w:sz w:val="22"/>
                <w:szCs w:val="22"/>
              </w:rPr>
              <w:t xml:space="preserve">Day of onset of </w:t>
            </w:r>
            <w:r w:rsidR="00663925">
              <w:rPr>
                <w:rFonts w:ascii="Arial" w:hAnsi="Arial" w:cs="Arial"/>
                <w:noProof w:val="0"/>
                <w:sz w:val="22"/>
                <w:szCs w:val="22"/>
              </w:rPr>
              <w:t xml:space="preserve"> </w:t>
            </w:r>
            <w:r w:rsidRPr="00473CDE">
              <w:rPr>
                <w:rFonts w:ascii="Arial" w:hAnsi="Arial" w:cs="Arial"/>
                <w:noProof w:val="0"/>
                <w:sz w:val="22"/>
                <w:szCs w:val="22"/>
              </w:rPr>
              <w:t>&gt; 90</w:t>
            </w:r>
            <w:r w:rsidRPr="00473CDE">
              <w:rPr>
                <w:rFonts w:ascii="Arial" w:hAnsi="Arial" w:cs="Arial"/>
                <w:noProof w:val="0"/>
                <w:sz w:val="22"/>
                <w:szCs w:val="22"/>
                <w:vertAlign w:val="superscript"/>
              </w:rPr>
              <w:t>th</w:t>
            </w:r>
            <w:r w:rsidRPr="00473CDE">
              <w:rPr>
                <w:rFonts w:ascii="Arial" w:hAnsi="Arial" w:cs="Arial"/>
                <w:noProof w:val="0"/>
                <w:sz w:val="22"/>
                <w:szCs w:val="22"/>
              </w:rPr>
              <w:t xml:space="preserve"> percentile</w:t>
            </w:r>
          </w:p>
        </w:tc>
      </w:tr>
      <w:tr w:rsidR="00663925" w:rsidRPr="00FE252D" w14:paraId="650A56FF" w14:textId="2FF7E7EC" w:rsidTr="00473CDE">
        <w:tc>
          <w:tcPr>
            <w:tcW w:w="1320" w:type="dxa"/>
            <w:tcBorders>
              <w:top w:val="single" w:sz="4" w:space="0" w:color="auto"/>
            </w:tcBorders>
            <w:vAlign w:val="bottom"/>
          </w:tcPr>
          <w:p w14:paraId="5442DD40" w14:textId="08D40D93"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2011</w:t>
            </w:r>
          </w:p>
        </w:tc>
        <w:tc>
          <w:tcPr>
            <w:tcW w:w="1114" w:type="dxa"/>
            <w:tcBorders>
              <w:top w:val="single" w:sz="4" w:space="0" w:color="auto"/>
            </w:tcBorders>
            <w:vAlign w:val="bottom"/>
          </w:tcPr>
          <w:p w14:paraId="242ED298" w14:textId="3700354B"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413</w:t>
            </w:r>
          </w:p>
        </w:tc>
        <w:tc>
          <w:tcPr>
            <w:tcW w:w="1107" w:type="dxa"/>
            <w:tcBorders>
              <w:top w:val="single" w:sz="4" w:space="0" w:color="auto"/>
            </w:tcBorders>
            <w:vAlign w:val="bottom"/>
          </w:tcPr>
          <w:p w14:paraId="46299FEC" w14:textId="30453D8A" w:rsidR="00663925" w:rsidRPr="00FE252D" w:rsidRDefault="00663925"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16.36</w:t>
            </w:r>
          </w:p>
        </w:tc>
        <w:tc>
          <w:tcPr>
            <w:tcW w:w="1103" w:type="dxa"/>
            <w:tcBorders>
              <w:top w:val="single" w:sz="4" w:space="0" w:color="auto"/>
            </w:tcBorders>
            <w:vAlign w:val="bottom"/>
          </w:tcPr>
          <w:p w14:paraId="3351CBBD" w14:textId="41CF3B7A"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0.10</w:t>
            </w:r>
          </w:p>
        </w:tc>
        <w:tc>
          <w:tcPr>
            <w:tcW w:w="1103" w:type="dxa"/>
            <w:tcBorders>
              <w:top w:val="single" w:sz="4" w:space="0" w:color="auto"/>
            </w:tcBorders>
          </w:tcPr>
          <w:p w14:paraId="6401E62D" w14:textId="4BB9CAF1"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20.65</w:t>
            </w:r>
          </w:p>
        </w:tc>
        <w:tc>
          <w:tcPr>
            <w:tcW w:w="1103" w:type="dxa"/>
            <w:tcBorders>
              <w:top w:val="single" w:sz="4" w:space="0" w:color="auto"/>
            </w:tcBorders>
          </w:tcPr>
          <w:p w14:paraId="37E8485B" w14:textId="168B37C0"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12.59</w:t>
            </w:r>
          </w:p>
        </w:tc>
        <w:tc>
          <w:tcPr>
            <w:tcW w:w="1170" w:type="dxa"/>
            <w:tcBorders>
              <w:top w:val="single" w:sz="4" w:space="0" w:color="auto"/>
            </w:tcBorders>
            <w:vAlign w:val="bottom"/>
          </w:tcPr>
          <w:p w14:paraId="7233752E" w14:textId="769160E1"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91</w:t>
            </w:r>
          </w:p>
        </w:tc>
        <w:tc>
          <w:tcPr>
            <w:tcW w:w="1296" w:type="dxa"/>
            <w:tcBorders>
              <w:top w:val="single" w:sz="4" w:space="0" w:color="auto"/>
            </w:tcBorders>
            <w:vAlign w:val="bottom"/>
          </w:tcPr>
          <w:p w14:paraId="652C9623" w14:textId="672DF74D"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w:t>
            </w:r>
          </w:p>
        </w:tc>
        <w:tc>
          <w:tcPr>
            <w:tcW w:w="1296" w:type="dxa"/>
            <w:tcBorders>
              <w:top w:val="single" w:sz="4" w:space="0" w:color="auto"/>
            </w:tcBorders>
            <w:vAlign w:val="bottom"/>
          </w:tcPr>
          <w:p w14:paraId="2A4C1BF1" w14:textId="7EFE468A"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1</w:t>
            </w:r>
          </w:p>
        </w:tc>
        <w:tc>
          <w:tcPr>
            <w:tcW w:w="1296" w:type="dxa"/>
            <w:tcBorders>
              <w:top w:val="single" w:sz="4" w:space="0" w:color="auto"/>
            </w:tcBorders>
            <w:vAlign w:val="bottom"/>
          </w:tcPr>
          <w:p w14:paraId="7636D867" w14:textId="4DFCBBEB" w:rsidR="00663925" w:rsidRPr="00473CDE" w:rsidRDefault="003B6021" w:rsidP="00473CDE">
            <w:pPr>
              <w:jc w:val="center"/>
              <w:rPr>
                <w:rFonts w:ascii="Arial" w:eastAsia="Times New Roman" w:hAnsi="Arial" w:cs="Arial"/>
                <w:color w:val="000000"/>
                <w:sz w:val="22"/>
                <w:szCs w:val="22"/>
              </w:rPr>
            </w:pPr>
            <w:r>
              <w:rPr>
                <w:rFonts w:ascii="Arial" w:eastAsia="Times New Roman" w:hAnsi="Arial" w:cs="Arial"/>
                <w:color w:val="000000"/>
                <w:sz w:val="22"/>
                <w:szCs w:val="22"/>
              </w:rPr>
              <w:t>n/a</w:t>
            </w:r>
          </w:p>
        </w:tc>
      </w:tr>
      <w:tr w:rsidR="00663925" w:rsidRPr="00FE252D" w14:paraId="648B80B4" w14:textId="276B67D7" w:rsidTr="00473CDE">
        <w:tc>
          <w:tcPr>
            <w:tcW w:w="1320" w:type="dxa"/>
            <w:vAlign w:val="bottom"/>
          </w:tcPr>
          <w:p w14:paraId="58B86C25" w14:textId="4A196BC9"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2012</w:t>
            </w:r>
          </w:p>
        </w:tc>
        <w:tc>
          <w:tcPr>
            <w:tcW w:w="1114" w:type="dxa"/>
            <w:vAlign w:val="bottom"/>
          </w:tcPr>
          <w:p w14:paraId="3619BCC8" w14:textId="568FD7D4"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321</w:t>
            </w:r>
          </w:p>
        </w:tc>
        <w:tc>
          <w:tcPr>
            <w:tcW w:w="1107" w:type="dxa"/>
            <w:vAlign w:val="bottom"/>
          </w:tcPr>
          <w:p w14:paraId="13694787" w14:textId="6B56B0AB" w:rsidR="00663925" w:rsidRPr="00FE252D" w:rsidRDefault="00663925"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17.33</w:t>
            </w:r>
          </w:p>
        </w:tc>
        <w:tc>
          <w:tcPr>
            <w:tcW w:w="1103" w:type="dxa"/>
            <w:vAlign w:val="bottom"/>
          </w:tcPr>
          <w:p w14:paraId="146C095E" w14:textId="45E8EA17"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0.15</w:t>
            </w:r>
          </w:p>
        </w:tc>
        <w:tc>
          <w:tcPr>
            <w:tcW w:w="1103" w:type="dxa"/>
          </w:tcPr>
          <w:p w14:paraId="0FB02448" w14:textId="28B75C32"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22.37</w:t>
            </w:r>
          </w:p>
        </w:tc>
        <w:tc>
          <w:tcPr>
            <w:tcW w:w="1103" w:type="dxa"/>
          </w:tcPr>
          <w:p w14:paraId="736C9C6B" w14:textId="6F5EC350"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11.92</w:t>
            </w:r>
          </w:p>
        </w:tc>
        <w:tc>
          <w:tcPr>
            <w:tcW w:w="1170" w:type="dxa"/>
            <w:vAlign w:val="bottom"/>
          </w:tcPr>
          <w:p w14:paraId="53AB6623" w14:textId="423E9A1D"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71</w:t>
            </w:r>
          </w:p>
        </w:tc>
        <w:tc>
          <w:tcPr>
            <w:tcW w:w="1296" w:type="dxa"/>
            <w:vAlign w:val="bottom"/>
          </w:tcPr>
          <w:p w14:paraId="28B9B2E7" w14:textId="525EC75B"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28</w:t>
            </w:r>
          </w:p>
        </w:tc>
        <w:tc>
          <w:tcPr>
            <w:tcW w:w="1296" w:type="dxa"/>
            <w:vAlign w:val="bottom"/>
          </w:tcPr>
          <w:p w14:paraId="48545DA0" w14:textId="7BE51750"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45</w:t>
            </w:r>
          </w:p>
        </w:tc>
        <w:tc>
          <w:tcPr>
            <w:tcW w:w="1296" w:type="dxa"/>
            <w:vAlign w:val="bottom"/>
          </w:tcPr>
          <w:p w14:paraId="2310355F" w14:textId="4FDD7CB6" w:rsidR="00663925" w:rsidRPr="00473CDE" w:rsidRDefault="00663925" w:rsidP="00473CDE">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239</w:t>
            </w:r>
          </w:p>
        </w:tc>
      </w:tr>
      <w:tr w:rsidR="00663925" w:rsidRPr="00FE252D" w14:paraId="5CFD763F" w14:textId="4166EDBE" w:rsidTr="00473CDE">
        <w:tc>
          <w:tcPr>
            <w:tcW w:w="1320" w:type="dxa"/>
            <w:vAlign w:val="bottom"/>
          </w:tcPr>
          <w:p w14:paraId="56D55B05" w14:textId="4C48DE60"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2013</w:t>
            </w:r>
          </w:p>
        </w:tc>
        <w:tc>
          <w:tcPr>
            <w:tcW w:w="1114" w:type="dxa"/>
            <w:vAlign w:val="bottom"/>
          </w:tcPr>
          <w:p w14:paraId="5211C2A8" w14:textId="565B49FB"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403</w:t>
            </w:r>
          </w:p>
        </w:tc>
        <w:tc>
          <w:tcPr>
            <w:tcW w:w="1107" w:type="dxa"/>
            <w:vAlign w:val="bottom"/>
          </w:tcPr>
          <w:p w14:paraId="4D110BDD" w14:textId="77C492A5" w:rsidR="00663925" w:rsidRPr="00FE252D" w:rsidRDefault="00663925"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17.06</w:t>
            </w:r>
          </w:p>
        </w:tc>
        <w:tc>
          <w:tcPr>
            <w:tcW w:w="1103" w:type="dxa"/>
            <w:vAlign w:val="bottom"/>
          </w:tcPr>
          <w:p w14:paraId="0E6579D5" w14:textId="48E9D158"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0.11</w:t>
            </w:r>
          </w:p>
        </w:tc>
        <w:tc>
          <w:tcPr>
            <w:tcW w:w="1103" w:type="dxa"/>
          </w:tcPr>
          <w:p w14:paraId="65FF88D7" w14:textId="09347333"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21.07</w:t>
            </w:r>
          </w:p>
        </w:tc>
        <w:tc>
          <w:tcPr>
            <w:tcW w:w="1103" w:type="dxa"/>
          </w:tcPr>
          <w:p w14:paraId="17317D3F" w14:textId="388784AA"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12.65</w:t>
            </w:r>
          </w:p>
        </w:tc>
        <w:tc>
          <w:tcPr>
            <w:tcW w:w="1170" w:type="dxa"/>
            <w:vAlign w:val="bottom"/>
          </w:tcPr>
          <w:p w14:paraId="76F1FE13" w14:textId="76AB2678"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88</w:t>
            </w:r>
          </w:p>
        </w:tc>
        <w:tc>
          <w:tcPr>
            <w:tcW w:w="1296" w:type="dxa"/>
            <w:vAlign w:val="bottom"/>
          </w:tcPr>
          <w:p w14:paraId="609E84E5" w14:textId="01FE638C"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w:t>
            </w:r>
          </w:p>
        </w:tc>
        <w:tc>
          <w:tcPr>
            <w:tcW w:w="1296" w:type="dxa"/>
            <w:vAlign w:val="bottom"/>
          </w:tcPr>
          <w:p w14:paraId="6451C6D5" w14:textId="1EBC4995"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6</w:t>
            </w:r>
          </w:p>
        </w:tc>
        <w:tc>
          <w:tcPr>
            <w:tcW w:w="1296" w:type="dxa"/>
            <w:vAlign w:val="bottom"/>
          </w:tcPr>
          <w:p w14:paraId="7F3035FB" w14:textId="7939C358" w:rsidR="00663925" w:rsidRPr="00473CDE" w:rsidRDefault="003B6021" w:rsidP="00473CDE">
            <w:pPr>
              <w:jc w:val="center"/>
              <w:rPr>
                <w:rFonts w:ascii="Arial" w:eastAsia="Times New Roman" w:hAnsi="Arial" w:cs="Arial"/>
                <w:color w:val="000000"/>
                <w:sz w:val="22"/>
                <w:szCs w:val="22"/>
              </w:rPr>
            </w:pPr>
            <w:r>
              <w:rPr>
                <w:rFonts w:ascii="Arial" w:eastAsia="Times New Roman" w:hAnsi="Arial" w:cs="Arial"/>
                <w:color w:val="000000"/>
                <w:sz w:val="22"/>
                <w:szCs w:val="22"/>
              </w:rPr>
              <w:t>n/a</w:t>
            </w:r>
          </w:p>
        </w:tc>
      </w:tr>
      <w:tr w:rsidR="00663925" w:rsidRPr="00FE252D" w14:paraId="1096D9C6" w14:textId="45A44944" w:rsidTr="00473CDE">
        <w:tc>
          <w:tcPr>
            <w:tcW w:w="1320" w:type="dxa"/>
            <w:vAlign w:val="bottom"/>
          </w:tcPr>
          <w:p w14:paraId="02AE3F82" w14:textId="2287F958"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2014</w:t>
            </w:r>
          </w:p>
        </w:tc>
        <w:tc>
          <w:tcPr>
            <w:tcW w:w="1114" w:type="dxa"/>
            <w:vAlign w:val="bottom"/>
          </w:tcPr>
          <w:p w14:paraId="71C711ED" w14:textId="33D54C98"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321</w:t>
            </w:r>
          </w:p>
        </w:tc>
        <w:tc>
          <w:tcPr>
            <w:tcW w:w="1107" w:type="dxa"/>
            <w:vAlign w:val="bottom"/>
          </w:tcPr>
          <w:p w14:paraId="191863AE" w14:textId="4B3AADF7" w:rsidR="00663925" w:rsidRPr="00FE252D" w:rsidRDefault="00663925"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18.74</w:t>
            </w:r>
          </w:p>
        </w:tc>
        <w:tc>
          <w:tcPr>
            <w:tcW w:w="1103" w:type="dxa"/>
            <w:vAlign w:val="bottom"/>
          </w:tcPr>
          <w:p w14:paraId="7D0797AC" w14:textId="2200F088"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0.15</w:t>
            </w:r>
          </w:p>
        </w:tc>
        <w:tc>
          <w:tcPr>
            <w:tcW w:w="1103" w:type="dxa"/>
          </w:tcPr>
          <w:p w14:paraId="2752ABE1" w14:textId="0FCFD1B4"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23.31</w:t>
            </w:r>
          </w:p>
        </w:tc>
        <w:tc>
          <w:tcPr>
            <w:tcW w:w="1103" w:type="dxa"/>
          </w:tcPr>
          <w:p w14:paraId="29989D19" w14:textId="212A9BBF"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13.88</w:t>
            </w:r>
          </w:p>
        </w:tc>
        <w:tc>
          <w:tcPr>
            <w:tcW w:w="1170" w:type="dxa"/>
            <w:vAlign w:val="bottom"/>
          </w:tcPr>
          <w:p w14:paraId="54E60AB7" w14:textId="1EEFC4EE"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9</w:t>
            </w:r>
          </w:p>
        </w:tc>
        <w:tc>
          <w:tcPr>
            <w:tcW w:w="1296" w:type="dxa"/>
            <w:vAlign w:val="bottom"/>
          </w:tcPr>
          <w:p w14:paraId="5ECF9110" w14:textId="33BD3D41"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71</w:t>
            </w:r>
          </w:p>
        </w:tc>
        <w:tc>
          <w:tcPr>
            <w:tcW w:w="1296" w:type="dxa"/>
            <w:vAlign w:val="bottom"/>
          </w:tcPr>
          <w:p w14:paraId="7FD91BE8" w14:textId="385F93CC"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93</w:t>
            </w:r>
          </w:p>
        </w:tc>
        <w:tc>
          <w:tcPr>
            <w:tcW w:w="1296" w:type="dxa"/>
            <w:vAlign w:val="bottom"/>
          </w:tcPr>
          <w:p w14:paraId="7F0F2A66" w14:textId="7F063611" w:rsidR="00663925" w:rsidRPr="00473CDE" w:rsidRDefault="00663925" w:rsidP="00473CDE">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238</w:t>
            </w:r>
          </w:p>
        </w:tc>
      </w:tr>
      <w:tr w:rsidR="003B6021" w:rsidRPr="00FE252D" w14:paraId="3A843DFE" w14:textId="4E5FC7D6" w:rsidTr="00473CDE">
        <w:tc>
          <w:tcPr>
            <w:tcW w:w="1320" w:type="dxa"/>
            <w:vAlign w:val="bottom"/>
          </w:tcPr>
          <w:p w14:paraId="062D4797" w14:textId="55757118" w:rsidR="003B6021" w:rsidRPr="00473CDE" w:rsidRDefault="003B6021" w:rsidP="00473CDE">
            <w:pPr>
              <w:jc w:val="center"/>
              <w:rPr>
                <w:rFonts w:ascii="Arial" w:hAnsi="Arial" w:cs="Arial"/>
                <w:noProof w:val="0"/>
                <w:sz w:val="22"/>
                <w:szCs w:val="22"/>
              </w:rPr>
            </w:pPr>
            <w:r w:rsidRPr="00473CDE">
              <w:rPr>
                <w:rFonts w:ascii="Arial" w:eastAsia="Times New Roman" w:hAnsi="Arial" w:cs="Arial"/>
                <w:color w:val="000000"/>
                <w:sz w:val="22"/>
                <w:szCs w:val="22"/>
              </w:rPr>
              <w:t>2015</w:t>
            </w:r>
          </w:p>
        </w:tc>
        <w:tc>
          <w:tcPr>
            <w:tcW w:w="1114" w:type="dxa"/>
            <w:vAlign w:val="bottom"/>
          </w:tcPr>
          <w:p w14:paraId="12202A59" w14:textId="52F7744B" w:rsidR="003B6021" w:rsidRPr="00473CDE" w:rsidRDefault="003B6021" w:rsidP="00473CDE">
            <w:pPr>
              <w:jc w:val="center"/>
              <w:rPr>
                <w:rFonts w:ascii="Arial" w:hAnsi="Arial" w:cs="Arial"/>
                <w:noProof w:val="0"/>
                <w:sz w:val="22"/>
                <w:szCs w:val="22"/>
              </w:rPr>
            </w:pPr>
            <w:r w:rsidRPr="00473CDE">
              <w:rPr>
                <w:rFonts w:ascii="Arial" w:eastAsia="Times New Roman" w:hAnsi="Arial" w:cs="Arial"/>
                <w:color w:val="000000"/>
                <w:sz w:val="22"/>
                <w:szCs w:val="22"/>
              </w:rPr>
              <w:t>419</w:t>
            </w:r>
          </w:p>
        </w:tc>
        <w:tc>
          <w:tcPr>
            <w:tcW w:w="1107" w:type="dxa"/>
            <w:vAlign w:val="bottom"/>
          </w:tcPr>
          <w:p w14:paraId="4E677D62" w14:textId="2530B778" w:rsidR="003B6021" w:rsidRPr="00FE252D" w:rsidRDefault="003B6021"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18.89</w:t>
            </w:r>
          </w:p>
        </w:tc>
        <w:tc>
          <w:tcPr>
            <w:tcW w:w="1103" w:type="dxa"/>
            <w:vAlign w:val="bottom"/>
          </w:tcPr>
          <w:p w14:paraId="77055E89" w14:textId="57B4CE9F" w:rsidR="003B6021" w:rsidRPr="00473CDE" w:rsidRDefault="003B6021" w:rsidP="00473CDE">
            <w:pPr>
              <w:jc w:val="center"/>
              <w:rPr>
                <w:rFonts w:ascii="Arial" w:hAnsi="Arial" w:cs="Arial"/>
                <w:noProof w:val="0"/>
                <w:sz w:val="22"/>
                <w:szCs w:val="22"/>
              </w:rPr>
            </w:pPr>
            <w:r w:rsidRPr="00473CDE">
              <w:rPr>
                <w:rFonts w:ascii="Arial" w:eastAsia="Times New Roman" w:hAnsi="Arial" w:cs="Arial"/>
                <w:color w:val="000000"/>
                <w:sz w:val="22"/>
                <w:szCs w:val="22"/>
              </w:rPr>
              <w:t>0.12</w:t>
            </w:r>
          </w:p>
        </w:tc>
        <w:tc>
          <w:tcPr>
            <w:tcW w:w="1103" w:type="dxa"/>
          </w:tcPr>
          <w:p w14:paraId="2408B58B" w14:textId="42DFE32F" w:rsidR="003B6021" w:rsidRPr="00473CDE" w:rsidRDefault="003B6021" w:rsidP="00473CDE">
            <w:pPr>
              <w:jc w:val="center"/>
              <w:rPr>
                <w:rFonts w:ascii="Arial" w:hAnsi="Arial" w:cs="Arial"/>
                <w:noProof w:val="0"/>
                <w:sz w:val="22"/>
                <w:szCs w:val="22"/>
              </w:rPr>
            </w:pPr>
            <w:r w:rsidRPr="00473CDE">
              <w:rPr>
                <w:rFonts w:ascii="Arial" w:hAnsi="Arial" w:cs="Arial"/>
                <w:sz w:val="22"/>
                <w:szCs w:val="22"/>
              </w:rPr>
              <w:t>23.80</w:t>
            </w:r>
          </w:p>
        </w:tc>
        <w:tc>
          <w:tcPr>
            <w:tcW w:w="1103" w:type="dxa"/>
          </w:tcPr>
          <w:p w14:paraId="7D294E10" w14:textId="10511E49" w:rsidR="003B6021" w:rsidRPr="00473CDE" w:rsidRDefault="003B6021" w:rsidP="00473CDE">
            <w:pPr>
              <w:jc w:val="center"/>
              <w:rPr>
                <w:rFonts w:ascii="Arial" w:hAnsi="Arial" w:cs="Arial"/>
                <w:noProof w:val="0"/>
                <w:sz w:val="22"/>
                <w:szCs w:val="22"/>
              </w:rPr>
            </w:pPr>
            <w:r w:rsidRPr="00473CDE">
              <w:rPr>
                <w:rFonts w:ascii="Arial" w:hAnsi="Arial" w:cs="Arial"/>
                <w:sz w:val="22"/>
                <w:szCs w:val="22"/>
              </w:rPr>
              <w:t>15.16</w:t>
            </w:r>
          </w:p>
        </w:tc>
        <w:tc>
          <w:tcPr>
            <w:tcW w:w="1170" w:type="dxa"/>
            <w:vAlign w:val="bottom"/>
          </w:tcPr>
          <w:p w14:paraId="683536EA" w14:textId="6F629156" w:rsidR="003B6021" w:rsidRPr="00FE252D" w:rsidRDefault="003B6021"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0</w:t>
            </w:r>
          </w:p>
        </w:tc>
        <w:tc>
          <w:tcPr>
            <w:tcW w:w="1296" w:type="dxa"/>
            <w:vAlign w:val="bottom"/>
          </w:tcPr>
          <w:p w14:paraId="34A4C156" w14:textId="21DA1C2A" w:rsidR="003B6021" w:rsidRPr="00473CDE" w:rsidRDefault="003B6021" w:rsidP="00473CDE">
            <w:pPr>
              <w:jc w:val="center"/>
              <w:rPr>
                <w:rFonts w:ascii="Arial" w:hAnsi="Arial" w:cs="Arial"/>
                <w:noProof w:val="0"/>
                <w:sz w:val="22"/>
                <w:szCs w:val="22"/>
              </w:rPr>
            </w:pPr>
            <w:r w:rsidRPr="00473CDE">
              <w:rPr>
                <w:rFonts w:ascii="Arial" w:eastAsia="Times New Roman" w:hAnsi="Arial" w:cs="Arial"/>
                <w:color w:val="000000"/>
                <w:sz w:val="22"/>
                <w:szCs w:val="22"/>
              </w:rPr>
              <w:t>105</w:t>
            </w:r>
          </w:p>
        </w:tc>
        <w:tc>
          <w:tcPr>
            <w:tcW w:w="1296" w:type="dxa"/>
          </w:tcPr>
          <w:p w14:paraId="5F05AFAD" w14:textId="5185DFA4" w:rsidR="003B6021" w:rsidRPr="00FE252D" w:rsidRDefault="003B6021" w:rsidP="00FE252D">
            <w:pPr>
              <w:jc w:val="center"/>
              <w:rPr>
                <w:rFonts w:ascii="Arial" w:eastAsia="Times New Roman" w:hAnsi="Arial" w:cs="Arial"/>
                <w:color w:val="000000"/>
                <w:sz w:val="22"/>
                <w:szCs w:val="22"/>
              </w:rPr>
            </w:pPr>
            <w:r w:rsidRPr="00146365">
              <w:rPr>
                <w:rFonts w:ascii="Arial" w:eastAsia="Times New Roman" w:hAnsi="Arial" w:cs="Arial"/>
                <w:color w:val="000000"/>
                <w:sz w:val="22"/>
                <w:szCs w:val="22"/>
              </w:rPr>
              <w:t>n/a</w:t>
            </w:r>
          </w:p>
        </w:tc>
        <w:tc>
          <w:tcPr>
            <w:tcW w:w="1296" w:type="dxa"/>
            <w:vAlign w:val="bottom"/>
          </w:tcPr>
          <w:p w14:paraId="73DDA08C" w14:textId="2C553638" w:rsidR="003B6021" w:rsidRPr="00473CDE" w:rsidRDefault="003B6021" w:rsidP="00473CDE">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201</w:t>
            </w:r>
          </w:p>
        </w:tc>
      </w:tr>
      <w:tr w:rsidR="003B6021" w:rsidRPr="00FE252D" w14:paraId="78017CDC" w14:textId="60DE9C7C" w:rsidTr="00473CDE">
        <w:tc>
          <w:tcPr>
            <w:tcW w:w="1320" w:type="dxa"/>
            <w:vAlign w:val="bottom"/>
          </w:tcPr>
          <w:p w14:paraId="7E4B19DA" w14:textId="1580948A" w:rsidR="003B6021" w:rsidRPr="00473CDE" w:rsidRDefault="003B6021" w:rsidP="00473CDE">
            <w:pPr>
              <w:jc w:val="center"/>
              <w:rPr>
                <w:rFonts w:ascii="Arial" w:hAnsi="Arial" w:cs="Arial"/>
                <w:noProof w:val="0"/>
                <w:sz w:val="22"/>
                <w:szCs w:val="22"/>
              </w:rPr>
            </w:pPr>
            <w:r w:rsidRPr="00473CDE">
              <w:rPr>
                <w:rFonts w:ascii="Arial" w:eastAsia="Times New Roman" w:hAnsi="Arial" w:cs="Arial"/>
                <w:color w:val="000000"/>
                <w:sz w:val="22"/>
                <w:szCs w:val="22"/>
              </w:rPr>
              <w:t>2016</w:t>
            </w:r>
          </w:p>
        </w:tc>
        <w:tc>
          <w:tcPr>
            <w:tcW w:w="1114" w:type="dxa"/>
            <w:vAlign w:val="bottom"/>
          </w:tcPr>
          <w:p w14:paraId="222BC592" w14:textId="5C714A04" w:rsidR="003B6021" w:rsidRPr="00473CDE" w:rsidRDefault="003B6021" w:rsidP="00473CDE">
            <w:pPr>
              <w:jc w:val="center"/>
              <w:rPr>
                <w:rFonts w:ascii="Arial" w:hAnsi="Arial" w:cs="Arial"/>
                <w:noProof w:val="0"/>
                <w:sz w:val="22"/>
                <w:szCs w:val="22"/>
              </w:rPr>
            </w:pPr>
            <w:r w:rsidRPr="00473CDE">
              <w:rPr>
                <w:rFonts w:ascii="Arial" w:eastAsia="Times New Roman" w:hAnsi="Arial" w:cs="Arial"/>
                <w:color w:val="000000"/>
                <w:sz w:val="22"/>
                <w:szCs w:val="22"/>
              </w:rPr>
              <w:t>416</w:t>
            </w:r>
          </w:p>
        </w:tc>
        <w:tc>
          <w:tcPr>
            <w:tcW w:w="1107" w:type="dxa"/>
            <w:vAlign w:val="bottom"/>
          </w:tcPr>
          <w:p w14:paraId="42553DDD" w14:textId="58FB4F28" w:rsidR="003B6021" w:rsidRPr="00FE252D" w:rsidRDefault="003B6021"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17.73</w:t>
            </w:r>
          </w:p>
        </w:tc>
        <w:tc>
          <w:tcPr>
            <w:tcW w:w="1103" w:type="dxa"/>
            <w:vAlign w:val="bottom"/>
          </w:tcPr>
          <w:p w14:paraId="044731CF" w14:textId="7341E759" w:rsidR="003B6021" w:rsidRPr="00473CDE" w:rsidRDefault="003B6021" w:rsidP="00473CDE">
            <w:pPr>
              <w:jc w:val="center"/>
              <w:rPr>
                <w:rFonts w:ascii="Arial" w:hAnsi="Arial" w:cs="Arial"/>
                <w:noProof w:val="0"/>
                <w:sz w:val="22"/>
                <w:szCs w:val="22"/>
              </w:rPr>
            </w:pPr>
            <w:r w:rsidRPr="00473CDE">
              <w:rPr>
                <w:rFonts w:ascii="Arial" w:eastAsia="Times New Roman" w:hAnsi="Arial" w:cs="Arial"/>
                <w:color w:val="000000"/>
                <w:sz w:val="22"/>
                <w:szCs w:val="22"/>
              </w:rPr>
              <w:t>0.11</w:t>
            </w:r>
          </w:p>
        </w:tc>
        <w:tc>
          <w:tcPr>
            <w:tcW w:w="1103" w:type="dxa"/>
          </w:tcPr>
          <w:p w14:paraId="3A4E756B" w14:textId="0919D597" w:rsidR="003B6021" w:rsidRPr="00473CDE" w:rsidRDefault="003B6021" w:rsidP="00473CDE">
            <w:pPr>
              <w:jc w:val="center"/>
              <w:rPr>
                <w:rFonts w:ascii="Arial" w:hAnsi="Arial" w:cs="Arial"/>
                <w:noProof w:val="0"/>
                <w:sz w:val="22"/>
                <w:szCs w:val="22"/>
              </w:rPr>
            </w:pPr>
            <w:r w:rsidRPr="00473CDE">
              <w:rPr>
                <w:rFonts w:ascii="Arial" w:hAnsi="Arial" w:cs="Arial"/>
                <w:sz w:val="22"/>
                <w:szCs w:val="22"/>
              </w:rPr>
              <w:t>23.61</w:t>
            </w:r>
          </w:p>
        </w:tc>
        <w:tc>
          <w:tcPr>
            <w:tcW w:w="1103" w:type="dxa"/>
          </w:tcPr>
          <w:p w14:paraId="6EFB4B95" w14:textId="5727189A" w:rsidR="003B6021" w:rsidRPr="00473CDE" w:rsidRDefault="003B6021" w:rsidP="00473CDE">
            <w:pPr>
              <w:jc w:val="center"/>
              <w:rPr>
                <w:rFonts w:ascii="Arial" w:hAnsi="Arial" w:cs="Arial"/>
                <w:noProof w:val="0"/>
                <w:sz w:val="22"/>
                <w:szCs w:val="22"/>
              </w:rPr>
            </w:pPr>
            <w:r w:rsidRPr="00473CDE">
              <w:rPr>
                <w:rFonts w:ascii="Arial" w:hAnsi="Arial" w:cs="Arial"/>
                <w:sz w:val="22"/>
                <w:szCs w:val="22"/>
              </w:rPr>
              <w:t>14.08</w:t>
            </w:r>
          </w:p>
        </w:tc>
        <w:tc>
          <w:tcPr>
            <w:tcW w:w="1170" w:type="dxa"/>
            <w:vAlign w:val="bottom"/>
          </w:tcPr>
          <w:p w14:paraId="003B38E0" w14:textId="336E76E5" w:rsidR="003B6021" w:rsidRPr="00FE252D" w:rsidRDefault="003B6021"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18</w:t>
            </w:r>
          </w:p>
        </w:tc>
        <w:tc>
          <w:tcPr>
            <w:tcW w:w="1296" w:type="dxa"/>
            <w:vAlign w:val="bottom"/>
          </w:tcPr>
          <w:p w14:paraId="398F786F" w14:textId="449A9E58" w:rsidR="003B6021" w:rsidRPr="00473CDE" w:rsidRDefault="003B6021" w:rsidP="00473CDE">
            <w:pPr>
              <w:jc w:val="center"/>
              <w:rPr>
                <w:rFonts w:ascii="Arial" w:hAnsi="Arial" w:cs="Arial"/>
                <w:noProof w:val="0"/>
                <w:sz w:val="22"/>
                <w:szCs w:val="22"/>
              </w:rPr>
            </w:pPr>
            <w:r w:rsidRPr="00473CDE">
              <w:rPr>
                <w:rFonts w:ascii="Arial" w:eastAsia="Times New Roman" w:hAnsi="Arial" w:cs="Arial"/>
                <w:color w:val="000000"/>
                <w:sz w:val="22"/>
                <w:szCs w:val="22"/>
              </w:rPr>
              <w:t>49</w:t>
            </w:r>
          </w:p>
        </w:tc>
        <w:tc>
          <w:tcPr>
            <w:tcW w:w="1296" w:type="dxa"/>
          </w:tcPr>
          <w:p w14:paraId="1A1951CA" w14:textId="17E17032" w:rsidR="003B6021" w:rsidRPr="00FE252D" w:rsidRDefault="003B6021" w:rsidP="00FE252D">
            <w:pPr>
              <w:jc w:val="center"/>
              <w:rPr>
                <w:rFonts w:ascii="Arial" w:eastAsia="Times New Roman" w:hAnsi="Arial" w:cs="Arial"/>
                <w:color w:val="000000"/>
                <w:sz w:val="22"/>
                <w:szCs w:val="22"/>
              </w:rPr>
            </w:pPr>
            <w:r w:rsidRPr="00146365">
              <w:rPr>
                <w:rFonts w:ascii="Arial" w:eastAsia="Times New Roman" w:hAnsi="Arial" w:cs="Arial"/>
                <w:color w:val="000000"/>
                <w:sz w:val="22"/>
                <w:szCs w:val="22"/>
              </w:rPr>
              <w:t>n/a</w:t>
            </w:r>
          </w:p>
        </w:tc>
        <w:tc>
          <w:tcPr>
            <w:tcW w:w="1296" w:type="dxa"/>
            <w:vAlign w:val="bottom"/>
          </w:tcPr>
          <w:p w14:paraId="766ACD8F" w14:textId="5C0DC88D" w:rsidR="003B6021" w:rsidRPr="00473CDE" w:rsidRDefault="003B6021" w:rsidP="00473CDE">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205</w:t>
            </w:r>
          </w:p>
        </w:tc>
      </w:tr>
      <w:tr w:rsidR="00663925" w:rsidRPr="00FE252D" w14:paraId="4951998E" w14:textId="6DCAF226" w:rsidTr="00473CDE">
        <w:tc>
          <w:tcPr>
            <w:tcW w:w="1320" w:type="dxa"/>
            <w:vAlign w:val="bottom"/>
          </w:tcPr>
          <w:p w14:paraId="6C200B77" w14:textId="00CF3E6A"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2017</w:t>
            </w:r>
          </w:p>
        </w:tc>
        <w:tc>
          <w:tcPr>
            <w:tcW w:w="1114" w:type="dxa"/>
            <w:vAlign w:val="bottom"/>
          </w:tcPr>
          <w:p w14:paraId="2464C4B3" w14:textId="35E3EE92"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343</w:t>
            </w:r>
          </w:p>
        </w:tc>
        <w:tc>
          <w:tcPr>
            <w:tcW w:w="1107" w:type="dxa"/>
            <w:vAlign w:val="bottom"/>
          </w:tcPr>
          <w:p w14:paraId="52E9A18A" w14:textId="3C18A632" w:rsidR="00663925" w:rsidRPr="00FE252D" w:rsidRDefault="00663925"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17.97</w:t>
            </w:r>
          </w:p>
        </w:tc>
        <w:tc>
          <w:tcPr>
            <w:tcW w:w="1103" w:type="dxa"/>
            <w:vAlign w:val="bottom"/>
          </w:tcPr>
          <w:p w14:paraId="48DAD33B" w14:textId="5B331CED"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0.12</w:t>
            </w:r>
          </w:p>
        </w:tc>
        <w:tc>
          <w:tcPr>
            <w:tcW w:w="1103" w:type="dxa"/>
          </w:tcPr>
          <w:p w14:paraId="0DE64DDC" w14:textId="01BB4012"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22.93</w:t>
            </w:r>
          </w:p>
        </w:tc>
        <w:tc>
          <w:tcPr>
            <w:tcW w:w="1103" w:type="dxa"/>
          </w:tcPr>
          <w:p w14:paraId="5745B914" w14:textId="232159BB"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14.33</w:t>
            </w:r>
          </w:p>
        </w:tc>
        <w:tc>
          <w:tcPr>
            <w:tcW w:w="1170" w:type="dxa"/>
            <w:vAlign w:val="bottom"/>
          </w:tcPr>
          <w:p w14:paraId="065B9AD9" w14:textId="2FD40356"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5</w:t>
            </w:r>
          </w:p>
        </w:tc>
        <w:tc>
          <w:tcPr>
            <w:tcW w:w="1296" w:type="dxa"/>
            <w:vAlign w:val="bottom"/>
          </w:tcPr>
          <w:p w14:paraId="28DA0B09" w14:textId="375965FE"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36</w:t>
            </w:r>
          </w:p>
        </w:tc>
        <w:tc>
          <w:tcPr>
            <w:tcW w:w="1296" w:type="dxa"/>
            <w:vAlign w:val="bottom"/>
          </w:tcPr>
          <w:p w14:paraId="7C46CC8D" w14:textId="45B5DB91"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24</w:t>
            </w:r>
          </w:p>
        </w:tc>
        <w:tc>
          <w:tcPr>
            <w:tcW w:w="1296" w:type="dxa"/>
            <w:vAlign w:val="bottom"/>
          </w:tcPr>
          <w:p w14:paraId="574DC9CF" w14:textId="17D3AAA2" w:rsidR="00663925" w:rsidRPr="00473CDE" w:rsidRDefault="00663925" w:rsidP="00473CDE">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198</w:t>
            </w:r>
          </w:p>
        </w:tc>
      </w:tr>
      <w:tr w:rsidR="00663925" w:rsidRPr="00FE252D" w14:paraId="05E64B08" w14:textId="4CB35C94" w:rsidTr="00473CDE">
        <w:tc>
          <w:tcPr>
            <w:tcW w:w="1320" w:type="dxa"/>
            <w:vAlign w:val="bottom"/>
          </w:tcPr>
          <w:p w14:paraId="5A7CC1D0" w14:textId="299A188A"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2018</w:t>
            </w:r>
          </w:p>
        </w:tc>
        <w:tc>
          <w:tcPr>
            <w:tcW w:w="1114" w:type="dxa"/>
            <w:vAlign w:val="bottom"/>
          </w:tcPr>
          <w:p w14:paraId="7F24319C" w14:textId="495BC0B2"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373</w:t>
            </w:r>
          </w:p>
        </w:tc>
        <w:tc>
          <w:tcPr>
            <w:tcW w:w="1107" w:type="dxa"/>
            <w:vAlign w:val="bottom"/>
          </w:tcPr>
          <w:p w14:paraId="24BC55DF" w14:textId="18AC9EE3" w:rsidR="00663925" w:rsidRPr="00FE252D" w:rsidRDefault="00663925"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17.89</w:t>
            </w:r>
          </w:p>
        </w:tc>
        <w:tc>
          <w:tcPr>
            <w:tcW w:w="1103" w:type="dxa"/>
            <w:vAlign w:val="bottom"/>
          </w:tcPr>
          <w:p w14:paraId="2A9020D7" w14:textId="67E7051F"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0.15</w:t>
            </w:r>
          </w:p>
        </w:tc>
        <w:tc>
          <w:tcPr>
            <w:tcW w:w="1103" w:type="dxa"/>
          </w:tcPr>
          <w:p w14:paraId="7648929F" w14:textId="214E3C37"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24.31</w:t>
            </w:r>
          </w:p>
        </w:tc>
        <w:tc>
          <w:tcPr>
            <w:tcW w:w="1103" w:type="dxa"/>
          </w:tcPr>
          <w:p w14:paraId="592DD8A5" w14:textId="3F4F2897"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12.01</w:t>
            </w:r>
          </w:p>
        </w:tc>
        <w:tc>
          <w:tcPr>
            <w:tcW w:w="1170" w:type="dxa"/>
            <w:vAlign w:val="bottom"/>
          </w:tcPr>
          <w:p w14:paraId="3728D6B7" w14:textId="7390D367"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35</w:t>
            </w:r>
          </w:p>
        </w:tc>
        <w:tc>
          <w:tcPr>
            <w:tcW w:w="1296" w:type="dxa"/>
            <w:vAlign w:val="bottom"/>
          </w:tcPr>
          <w:p w14:paraId="4EDD0795" w14:textId="59B488BA"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60</w:t>
            </w:r>
          </w:p>
        </w:tc>
        <w:tc>
          <w:tcPr>
            <w:tcW w:w="1296" w:type="dxa"/>
            <w:vAlign w:val="bottom"/>
          </w:tcPr>
          <w:p w14:paraId="1225A129" w14:textId="6CB51713"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55</w:t>
            </w:r>
          </w:p>
        </w:tc>
        <w:tc>
          <w:tcPr>
            <w:tcW w:w="1296" w:type="dxa"/>
            <w:vAlign w:val="bottom"/>
          </w:tcPr>
          <w:p w14:paraId="714A7A5E" w14:textId="2E45C16D" w:rsidR="00663925" w:rsidRPr="00473CDE" w:rsidRDefault="00663925" w:rsidP="00473CDE">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190</w:t>
            </w:r>
          </w:p>
        </w:tc>
      </w:tr>
      <w:tr w:rsidR="00663925" w:rsidRPr="00FE252D" w14:paraId="3366C26E" w14:textId="72DA6524" w:rsidTr="00473CDE">
        <w:tc>
          <w:tcPr>
            <w:tcW w:w="1320" w:type="dxa"/>
            <w:vAlign w:val="bottom"/>
          </w:tcPr>
          <w:p w14:paraId="6ED92B26" w14:textId="17AC2A2C"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2019</w:t>
            </w:r>
          </w:p>
        </w:tc>
        <w:tc>
          <w:tcPr>
            <w:tcW w:w="1114" w:type="dxa"/>
            <w:vAlign w:val="bottom"/>
          </w:tcPr>
          <w:p w14:paraId="1C594851" w14:textId="7C71CC90"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367</w:t>
            </w:r>
          </w:p>
        </w:tc>
        <w:tc>
          <w:tcPr>
            <w:tcW w:w="1107" w:type="dxa"/>
            <w:vAlign w:val="bottom"/>
          </w:tcPr>
          <w:p w14:paraId="25667CDF" w14:textId="31583253" w:rsidR="00663925" w:rsidRPr="00FE252D" w:rsidRDefault="00663925"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17.67</w:t>
            </w:r>
          </w:p>
        </w:tc>
        <w:tc>
          <w:tcPr>
            <w:tcW w:w="1103" w:type="dxa"/>
            <w:vAlign w:val="bottom"/>
          </w:tcPr>
          <w:p w14:paraId="28381A7A" w14:textId="68371D28"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0.14</w:t>
            </w:r>
          </w:p>
        </w:tc>
        <w:tc>
          <w:tcPr>
            <w:tcW w:w="1103" w:type="dxa"/>
          </w:tcPr>
          <w:p w14:paraId="0B5C8600" w14:textId="3AB542BD"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23.64</w:t>
            </w:r>
          </w:p>
        </w:tc>
        <w:tc>
          <w:tcPr>
            <w:tcW w:w="1103" w:type="dxa"/>
          </w:tcPr>
          <w:p w14:paraId="778D7302" w14:textId="3DEFAAF0"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12.82</w:t>
            </w:r>
          </w:p>
        </w:tc>
        <w:tc>
          <w:tcPr>
            <w:tcW w:w="1170" w:type="dxa"/>
            <w:vAlign w:val="bottom"/>
          </w:tcPr>
          <w:p w14:paraId="10387CF8" w14:textId="160B1C78"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45</w:t>
            </w:r>
          </w:p>
        </w:tc>
        <w:tc>
          <w:tcPr>
            <w:tcW w:w="1296" w:type="dxa"/>
            <w:vAlign w:val="bottom"/>
          </w:tcPr>
          <w:p w14:paraId="0881F8BC" w14:textId="32D81294"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55</w:t>
            </w:r>
          </w:p>
        </w:tc>
        <w:tc>
          <w:tcPr>
            <w:tcW w:w="1296" w:type="dxa"/>
            <w:vAlign w:val="bottom"/>
          </w:tcPr>
          <w:p w14:paraId="64324642" w14:textId="7A432617"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48</w:t>
            </w:r>
          </w:p>
        </w:tc>
        <w:tc>
          <w:tcPr>
            <w:tcW w:w="1296" w:type="dxa"/>
            <w:vAlign w:val="bottom"/>
          </w:tcPr>
          <w:p w14:paraId="6ADE8330" w14:textId="451A2B65" w:rsidR="00663925" w:rsidRPr="00473CDE" w:rsidRDefault="00663925" w:rsidP="00473CDE">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226</w:t>
            </w:r>
          </w:p>
        </w:tc>
      </w:tr>
      <w:tr w:rsidR="00663925" w:rsidRPr="00FE252D" w14:paraId="4A888612" w14:textId="6DE61B52" w:rsidTr="00473CDE">
        <w:tc>
          <w:tcPr>
            <w:tcW w:w="1320" w:type="dxa"/>
            <w:vAlign w:val="bottom"/>
          </w:tcPr>
          <w:p w14:paraId="083DD5CC" w14:textId="42DA9644"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2020</w:t>
            </w:r>
          </w:p>
        </w:tc>
        <w:tc>
          <w:tcPr>
            <w:tcW w:w="1114" w:type="dxa"/>
            <w:vAlign w:val="bottom"/>
          </w:tcPr>
          <w:p w14:paraId="473FB2CC" w14:textId="5B0C195A"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398</w:t>
            </w:r>
          </w:p>
        </w:tc>
        <w:tc>
          <w:tcPr>
            <w:tcW w:w="1107" w:type="dxa"/>
            <w:vAlign w:val="bottom"/>
          </w:tcPr>
          <w:p w14:paraId="60ECF156" w14:textId="1F8F550C" w:rsidR="00663925" w:rsidRPr="00FE252D" w:rsidRDefault="00663925"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17.38</w:t>
            </w:r>
          </w:p>
        </w:tc>
        <w:tc>
          <w:tcPr>
            <w:tcW w:w="1103" w:type="dxa"/>
            <w:vAlign w:val="bottom"/>
          </w:tcPr>
          <w:p w14:paraId="71BB2515" w14:textId="67D13BB8"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0.12</w:t>
            </w:r>
          </w:p>
        </w:tc>
        <w:tc>
          <w:tcPr>
            <w:tcW w:w="1103" w:type="dxa"/>
          </w:tcPr>
          <w:p w14:paraId="338A82D4" w14:textId="243BD12C"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23.64</w:t>
            </w:r>
          </w:p>
        </w:tc>
        <w:tc>
          <w:tcPr>
            <w:tcW w:w="1103" w:type="dxa"/>
          </w:tcPr>
          <w:p w14:paraId="63C9BD94" w14:textId="5B78222A"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13.08</w:t>
            </w:r>
          </w:p>
        </w:tc>
        <w:tc>
          <w:tcPr>
            <w:tcW w:w="1170" w:type="dxa"/>
            <w:vAlign w:val="bottom"/>
          </w:tcPr>
          <w:p w14:paraId="597FDA5A" w14:textId="434FD96C"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3</w:t>
            </w:r>
          </w:p>
        </w:tc>
        <w:tc>
          <w:tcPr>
            <w:tcW w:w="1296" w:type="dxa"/>
            <w:vAlign w:val="bottom"/>
          </w:tcPr>
          <w:p w14:paraId="4D7ACA4E" w14:textId="059BDE3B"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21</w:t>
            </w:r>
          </w:p>
        </w:tc>
        <w:tc>
          <w:tcPr>
            <w:tcW w:w="1296" w:type="dxa"/>
            <w:vAlign w:val="bottom"/>
          </w:tcPr>
          <w:p w14:paraId="58F3BC72" w14:textId="0A999CF3" w:rsidR="00663925" w:rsidRPr="00FE252D" w:rsidRDefault="003B6021" w:rsidP="00FE252D">
            <w:pPr>
              <w:jc w:val="center"/>
              <w:rPr>
                <w:rFonts w:ascii="Arial" w:eastAsia="Times New Roman" w:hAnsi="Arial" w:cs="Arial"/>
                <w:color w:val="000000"/>
                <w:sz w:val="22"/>
                <w:szCs w:val="22"/>
              </w:rPr>
            </w:pPr>
            <w:r>
              <w:rPr>
                <w:rFonts w:ascii="Arial" w:eastAsia="Times New Roman" w:hAnsi="Arial" w:cs="Arial"/>
                <w:color w:val="000000"/>
                <w:sz w:val="22"/>
                <w:szCs w:val="22"/>
              </w:rPr>
              <w:t>n/a</w:t>
            </w:r>
          </w:p>
        </w:tc>
        <w:tc>
          <w:tcPr>
            <w:tcW w:w="1296" w:type="dxa"/>
            <w:vAlign w:val="bottom"/>
          </w:tcPr>
          <w:p w14:paraId="595E9917" w14:textId="17FF8F65" w:rsidR="00663925" w:rsidRPr="00473CDE" w:rsidRDefault="00663925" w:rsidP="00473CDE">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230</w:t>
            </w:r>
          </w:p>
        </w:tc>
      </w:tr>
      <w:tr w:rsidR="00663925" w:rsidRPr="00FE252D" w14:paraId="5939A255" w14:textId="03BBC6A5" w:rsidTr="00473CDE">
        <w:tc>
          <w:tcPr>
            <w:tcW w:w="1320" w:type="dxa"/>
            <w:tcBorders>
              <w:bottom w:val="single" w:sz="4" w:space="0" w:color="auto"/>
            </w:tcBorders>
            <w:vAlign w:val="bottom"/>
          </w:tcPr>
          <w:p w14:paraId="728C3C2C" w14:textId="56C37A58"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2011</w:t>
            </w:r>
          </w:p>
        </w:tc>
        <w:tc>
          <w:tcPr>
            <w:tcW w:w="1114" w:type="dxa"/>
            <w:tcBorders>
              <w:bottom w:val="single" w:sz="4" w:space="0" w:color="auto"/>
            </w:tcBorders>
            <w:vAlign w:val="bottom"/>
          </w:tcPr>
          <w:p w14:paraId="08ED69CF" w14:textId="2B513547"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413</w:t>
            </w:r>
          </w:p>
        </w:tc>
        <w:tc>
          <w:tcPr>
            <w:tcW w:w="1107" w:type="dxa"/>
            <w:tcBorders>
              <w:bottom w:val="single" w:sz="4" w:space="0" w:color="auto"/>
            </w:tcBorders>
            <w:vAlign w:val="bottom"/>
          </w:tcPr>
          <w:p w14:paraId="1E0BC6AE" w14:textId="58BE7E5B" w:rsidR="00663925" w:rsidRPr="00FE252D" w:rsidRDefault="00663925" w:rsidP="00FE252D">
            <w:pPr>
              <w:jc w:val="center"/>
              <w:rPr>
                <w:rFonts w:ascii="Arial" w:eastAsia="Times New Roman" w:hAnsi="Arial" w:cs="Arial"/>
                <w:color w:val="000000"/>
                <w:sz w:val="22"/>
                <w:szCs w:val="22"/>
              </w:rPr>
            </w:pPr>
            <w:r w:rsidRPr="00473CDE">
              <w:rPr>
                <w:rFonts w:ascii="Arial" w:eastAsia="Times New Roman" w:hAnsi="Arial" w:cs="Arial"/>
                <w:color w:val="000000"/>
                <w:sz w:val="22"/>
                <w:szCs w:val="22"/>
              </w:rPr>
              <w:t>16.36</w:t>
            </w:r>
          </w:p>
        </w:tc>
        <w:tc>
          <w:tcPr>
            <w:tcW w:w="1103" w:type="dxa"/>
            <w:tcBorders>
              <w:bottom w:val="single" w:sz="4" w:space="0" w:color="auto"/>
            </w:tcBorders>
            <w:vAlign w:val="bottom"/>
          </w:tcPr>
          <w:p w14:paraId="1700ED90" w14:textId="7CF354DE"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0.10</w:t>
            </w:r>
          </w:p>
        </w:tc>
        <w:tc>
          <w:tcPr>
            <w:tcW w:w="1103" w:type="dxa"/>
            <w:tcBorders>
              <w:bottom w:val="single" w:sz="4" w:space="0" w:color="auto"/>
            </w:tcBorders>
          </w:tcPr>
          <w:p w14:paraId="19A66C1B" w14:textId="2B42B8FC"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20.65</w:t>
            </w:r>
          </w:p>
        </w:tc>
        <w:tc>
          <w:tcPr>
            <w:tcW w:w="1103" w:type="dxa"/>
            <w:tcBorders>
              <w:bottom w:val="single" w:sz="4" w:space="0" w:color="auto"/>
            </w:tcBorders>
          </w:tcPr>
          <w:p w14:paraId="208E0387" w14:textId="7F9A190F" w:rsidR="00663925" w:rsidRPr="00473CDE" w:rsidRDefault="00663925" w:rsidP="00473CDE">
            <w:pPr>
              <w:jc w:val="center"/>
              <w:rPr>
                <w:rFonts w:ascii="Arial" w:hAnsi="Arial" w:cs="Arial"/>
                <w:noProof w:val="0"/>
                <w:sz w:val="22"/>
                <w:szCs w:val="22"/>
              </w:rPr>
            </w:pPr>
            <w:r w:rsidRPr="00473CDE">
              <w:rPr>
                <w:rFonts w:ascii="Arial" w:hAnsi="Arial" w:cs="Arial"/>
                <w:sz w:val="22"/>
                <w:szCs w:val="22"/>
              </w:rPr>
              <w:t>12.59</w:t>
            </w:r>
          </w:p>
        </w:tc>
        <w:tc>
          <w:tcPr>
            <w:tcW w:w="1170" w:type="dxa"/>
            <w:tcBorders>
              <w:bottom w:val="single" w:sz="4" w:space="0" w:color="auto"/>
            </w:tcBorders>
            <w:vAlign w:val="bottom"/>
          </w:tcPr>
          <w:p w14:paraId="2F42F97B" w14:textId="6954D60E"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91</w:t>
            </w:r>
          </w:p>
        </w:tc>
        <w:tc>
          <w:tcPr>
            <w:tcW w:w="1296" w:type="dxa"/>
            <w:tcBorders>
              <w:bottom w:val="single" w:sz="4" w:space="0" w:color="auto"/>
            </w:tcBorders>
            <w:vAlign w:val="bottom"/>
          </w:tcPr>
          <w:p w14:paraId="032A22F8" w14:textId="4058F13B" w:rsidR="00663925" w:rsidRPr="00473CDE" w:rsidRDefault="00663925" w:rsidP="00473CDE">
            <w:pPr>
              <w:jc w:val="center"/>
              <w:rPr>
                <w:rFonts w:ascii="Arial" w:hAnsi="Arial" w:cs="Arial"/>
                <w:noProof w:val="0"/>
                <w:sz w:val="22"/>
                <w:szCs w:val="22"/>
              </w:rPr>
            </w:pPr>
            <w:r w:rsidRPr="00473CDE">
              <w:rPr>
                <w:rFonts w:ascii="Arial" w:eastAsia="Times New Roman" w:hAnsi="Arial" w:cs="Arial"/>
                <w:color w:val="000000"/>
                <w:sz w:val="22"/>
                <w:szCs w:val="22"/>
              </w:rPr>
              <w:t>0</w:t>
            </w:r>
          </w:p>
        </w:tc>
        <w:tc>
          <w:tcPr>
            <w:tcW w:w="1296" w:type="dxa"/>
            <w:tcBorders>
              <w:bottom w:val="single" w:sz="4" w:space="0" w:color="auto"/>
            </w:tcBorders>
            <w:vAlign w:val="bottom"/>
          </w:tcPr>
          <w:p w14:paraId="7555AA5E" w14:textId="7D1939A9" w:rsidR="00663925" w:rsidRPr="00FE252D" w:rsidRDefault="00663925" w:rsidP="00FE252D">
            <w:pPr>
              <w:jc w:val="center"/>
              <w:rPr>
                <w:rFonts w:ascii="Arial" w:eastAsia="Times New Roman" w:hAnsi="Arial" w:cs="Arial"/>
                <w:color w:val="000000"/>
                <w:sz w:val="22"/>
                <w:szCs w:val="22"/>
              </w:rPr>
            </w:pPr>
            <w:r w:rsidRPr="00943F7E">
              <w:rPr>
                <w:rFonts w:ascii="Arial" w:eastAsia="Times New Roman" w:hAnsi="Arial" w:cs="Arial"/>
                <w:color w:val="000000"/>
                <w:sz w:val="22"/>
                <w:szCs w:val="22"/>
              </w:rPr>
              <w:t>1</w:t>
            </w:r>
          </w:p>
        </w:tc>
        <w:tc>
          <w:tcPr>
            <w:tcW w:w="1296" w:type="dxa"/>
            <w:tcBorders>
              <w:bottom w:val="single" w:sz="4" w:space="0" w:color="auto"/>
            </w:tcBorders>
            <w:vAlign w:val="bottom"/>
          </w:tcPr>
          <w:p w14:paraId="06D8F1F1" w14:textId="6AC90E52" w:rsidR="00663925" w:rsidRPr="00473CDE" w:rsidRDefault="003B6021" w:rsidP="00473CDE">
            <w:pPr>
              <w:jc w:val="center"/>
              <w:rPr>
                <w:rFonts w:ascii="Arial" w:eastAsia="Times New Roman" w:hAnsi="Arial" w:cs="Arial"/>
                <w:color w:val="000000"/>
                <w:sz w:val="22"/>
                <w:szCs w:val="22"/>
              </w:rPr>
            </w:pPr>
            <w:r>
              <w:rPr>
                <w:rFonts w:ascii="Arial" w:eastAsia="Times New Roman" w:hAnsi="Arial" w:cs="Arial"/>
                <w:color w:val="000000"/>
                <w:sz w:val="22"/>
                <w:szCs w:val="22"/>
              </w:rPr>
              <w:t>n/a</w:t>
            </w:r>
          </w:p>
        </w:tc>
      </w:tr>
    </w:tbl>
    <w:p w14:paraId="0C1BC3A3" w14:textId="77777777" w:rsidR="002E6A92" w:rsidRDefault="002E6A92" w:rsidP="00592229">
      <w:pPr>
        <w:spacing w:line="360" w:lineRule="auto"/>
        <w:rPr>
          <w:rFonts w:ascii="Arial" w:hAnsi="Arial" w:cs="Arial"/>
          <w:noProof w:val="0"/>
        </w:rPr>
      </w:pPr>
    </w:p>
    <w:p w14:paraId="01E4D066" w14:textId="77777777" w:rsidR="00B65C05" w:rsidRPr="00152D27" w:rsidRDefault="00B65C05" w:rsidP="00592229">
      <w:pPr>
        <w:spacing w:line="360" w:lineRule="auto"/>
        <w:rPr>
          <w:rFonts w:ascii="Arial" w:hAnsi="Arial" w:cs="Arial"/>
          <w:noProof w:val="0"/>
        </w:rPr>
      </w:pPr>
    </w:p>
    <w:p w14:paraId="016C13EB" w14:textId="0CEAB20D" w:rsidR="00592229" w:rsidRDefault="00592229" w:rsidP="008B748E">
      <w:pPr>
        <w:spacing w:line="360" w:lineRule="auto"/>
        <w:ind w:left="720" w:hanging="720"/>
        <w:rPr>
          <w:rFonts w:ascii="Arial" w:hAnsi="Arial" w:cs="Arial"/>
          <w:noProof w:val="0"/>
        </w:rPr>
      </w:pPr>
    </w:p>
    <w:p w14:paraId="5CE59C95" w14:textId="2065DFDC" w:rsidR="00B65C05" w:rsidRPr="00152D27" w:rsidRDefault="00B65C05" w:rsidP="008B748E">
      <w:pPr>
        <w:spacing w:line="360" w:lineRule="auto"/>
        <w:ind w:left="720" w:hanging="720"/>
        <w:rPr>
          <w:rFonts w:ascii="Arial" w:hAnsi="Arial" w:cs="Arial"/>
          <w:noProof w:val="0"/>
        </w:rPr>
      </w:pPr>
    </w:p>
    <w:sectPr w:rsidR="00B65C05" w:rsidRPr="00152D27" w:rsidSect="00473CDE">
      <w:pgSz w:w="15840" w:h="12240" w:orient="landscape"/>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62725" w14:textId="77777777" w:rsidR="0004558A" w:rsidRDefault="0004558A" w:rsidP="00F2641F">
      <w:r>
        <w:separator/>
      </w:r>
    </w:p>
  </w:endnote>
  <w:endnote w:type="continuationSeparator" w:id="0">
    <w:p w14:paraId="31262891" w14:textId="77777777" w:rsidR="0004558A" w:rsidRDefault="0004558A" w:rsidP="00F2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87C28" w14:textId="3A62E673" w:rsidR="0004558A" w:rsidRPr="007A5155" w:rsidRDefault="0004558A" w:rsidP="007A5155">
    <w:pPr>
      <w:pStyle w:val="Footer"/>
      <w:jc w:val="center"/>
      <w:rPr>
        <w:rFonts w:ascii="Arial" w:hAnsi="Arial" w:cs="Arial"/>
      </w:rPr>
    </w:pPr>
    <w:r w:rsidRPr="007A5155">
      <w:rPr>
        <w:rStyle w:val="PageNumber"/>
        <w:rFonts w:ascii="Arial" w:hAnsi="Arial" w:cs="Arial"/>
      </w:rPr>
      <w:fldChar w:fldCharType="begin"/>
    </w:r>
    <w:r w:rsidRPr="007A5155">
      <w:rPr>
        <w:rStyle w:val="PageNumber"/>
        <w:rFonts w:ascii="Arial" w:hAnsi="Arial" w:cs="Arial"/>
      </w:rPr>
      <w:instrText xml:space="preserve"> PAGE </w:instrText>
    </w:r>
    <w:r w:rsidRPr="007A5155">
      <w:rPr>
        <w:rStyle w:val="PageNumber"/>
        <w:rFonts w:ascii="Arial" w:hAnsi="Arial" w:cs="Arial"/>
      </w:rPr>
      <w:fldChar w:fldCharType="separate"/>
    </w:r>
    <w:r w:rsidR="00473CDE">
      <w:rPr>
        <w:rStyle w:val="PageNumber"/>
        <w:rFonts w:ascii="Arial" w:hAnsi="Arial" w:cs="Arial"/>
      </w:rPr>
      <w:t>1</w:t>
    </w:r>
    <w:r w:rsidRPr="007A5155">
      <w:rPr>
        <w:rStyle w:val="PageNumbe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BF979" w14:textId="77777777" w:rsidR="0004558A" w:rsidRDefault="0004558A" w:rsidP="00F2641F">
      <w:r>
        <w:separator/>
      </w:r>
    </w:p>
  </w:footnote>
  <w:footnote w:type="continuationSeparator" w:id="0">
    <w:p w14:paraId="76732F53" w14:textId="77777777" w:rsidR="0004558A" w:rsidRDefault="0004558A" w:rsidP="00F264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7BBEF" w14:textId="62E4690B" w:rsidR="0004558A" w:rsidRPr="00F2641F" w:rsidRDefault="0004558A">
    <w:pPr>
      <w:pStyle w:val="Header"/>
      <w:rPr>
        <w:rFonts w:ascii="Arial" w:hAnsi="Arial" w:cs="Arial"/>
      </w:rPr>
    </w:pPr>
    <w:r w:rsidRPr="00F2641F">
      <w:rPr>
        <w:rFonts w:ascii="Arial" w:hAnsi="Arial" w:cs="Arial"/>
      </w:rPr>
      <w:t>Edmunds</w:t>
    </w:r>
    <w:r>
      <w:rPr>
        <w:rFonts w:ascii="Arial" w:hAnsi="Arial" w:cs="Arial"/>
      </w:rPr>
      <w:t xml:space="preserve">                                     Invertebrate recruitment in California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07"/>
    <w:rsid w:val="00007F6E"/>
    <w:rsid w:val="000156D4"/>
    <w:rsid w:val="00016A4C"/>
    <w:rsid w:val="0002142C"/>
    <w:rsid w:val="0002409E"/>
    <w:rsid w:val="00026EF8"/>
    <w:rsid w:val="00031876"/>
    <w:rsid w:val="00036458"/>
    <w:rsid w:val="00036F72"/>
    <w:rsid w:val="0004407C"/>
    <w:rsid w:val="0004558A"/>
    <w:rsid w:val="000457C1"/>
    <w:rsid w:val="0005664C"/>
    <w:rsid w:val="00067655"/>
    <w:rsid w:val="00085201"/>
    <w:rsid w:val="00085E8C"/>
    <w:rsid w:val="000A07CE"/>
    <w:rsid w:val="000B2C22"/>
    <w:rsid w:val="000C4571"/>
    <w:rsid w:val="000D1457"/>
    <w:rsid w:val="000D2F3C"/>
    <w:rsid w:val="000D6290"/>
    <w:rsid w:val="000E4797"/>
    <w:rsid w:val="000E556A"/>
    <w:rsid w:val="000E7765"/>
    <w:rsid w:val="000F4090"/>
    <w:rsid w:val="000F449F"/>
    <w:rsid w:val="001014E8"/>
    <w:rsid w:val="00103784"/>
    <w:rsid w:val="00110DA2"/>
    <w:rsid w:val="001129CF"/>
    <w:rsid w:val="001244B0"/>
    <w:rsid w:val="001452E4"/>
    <w:rsid w:val="00152736"/>
    <w:rsid w:val="00152D27"/>
    <w:rsid w:val="00155C41"/>
    <w:rsid w:val="00184B84"/>
    <w:rsid w:val="00190942"/>
    <w:rsid w:val="001A2D2B"/>
    <w:rsid w:val="001A7966"/>
    <w:rsid w:val="001B5A62"/>
    <w:rsid w:val="001C1824"/>
    <w:rsid w:val="001C38BE"/>
    <w:rsid w:val="001C3BD3"/>
    <w:rsid w:val="001C3BEF"/>
    <w:rsid w:val="001D00D5"/>
    <w:rsid w:val="001D45D3"/>
    <w:rsid w:val="001E3C43"/>
    <w:rsid w:val="001F08A4"/>
    <w:rsid w:val="0020390D"/>
    <w:rsid w:val="0020466A"/>
    <w:rsid w:val="00206E32"/>
    <w:rsid w:val="002121D9"/>
    <w:rsid w:val="002156DA"/>
    <w:rsid w:val="002203C2"/>
    <w:rsid w:val="002240B2"/>
    <w:rsid w:val="002264D9"/>
    <w:rsid w:val="00227779"/>
    <w:rsid w:val="00233624"/>
    <w:rsid w:val="00241C8F"/>
    <w:rsid w:val="0024366E"/>
    <w:rsid w:val="00253A72"/>
    <w:rsid w:val="002550CC"/>
    <w:rsid w:val="002552B1"/>
    <w:rsid w:val="00260287"/>
    <w:rsid w:val="00261300"/>
    <w:rsid w:val="00261E73"/>
    <w:rsid w:val="00262E20"/>
    <w:rsid w:val="00265B0B"/>
    <w:rsid w:val="00281EA7"/>
    <w:rsid w:val="002952B9"/>
    <w:rsid w:val="002960D1"/>
    <w:rsid w:val="002964E7"/>
    <w:rsid w:val="00296AEB"/>
    <w:rsid w:val="002B4519"/>
    <w:rsid w:val="002B7BA8"/>
    <w:rsid w:val="002C30DA"/>
    <w:rsid w:val="002C329A"/>
    <w:rsid w:val="002C6E02"/>
    <w:rsid w:val="002D0DC0"/>
    <w:rsid w:val="002D550B"/>
    <w:rsid w:val="002E140E"/>
    <w:rsid w:val="002E6A92"/>
    <w:rsid w:val="002F233B"/>
    <w:rsid w:val="002F59D3"/>
    <w:rsid w:val="00311AD7"/>
    <w:rsid w:val="00325EC0"/>
    <w:rsid w:val="00367635"/>
    <w:rsid w:val="0037208E"/>
    <w:rsid w:val="003960FD"/>
    <w:rsid w:val="003A2051"/>
    <w:rsid w:val="003B087E"/>
    <w:rsid w:val="003B2B87"/>
    <w:rsid w:val="003B6021"/>
    <w:rsid w:val="003C3668"/>
    <w:rsid w:val="003C37EF"/>
    <w:rsid w:val="003C5BA4"/>
    <w:rsid w:val="003D113B"/>
    <w:rsid w:val="003D777D"/>
    <w:rsid w:val="003F026D"/>
    <w:rsid w:val="00403CA3"/>
    <w:rsid w:val="00404601"/>
    <w:rsid w:val="0042179C"/>
    <w:rsid w:val="00425626"/>
    <w:rsid w:val="004261FE"/>
    <w:rsid w:val="00430E51"/>
    <w:rsid w:val="00433B91"/>
    <w:rsid w:val="00435201"/>
    <w:rsid w:val="00441D7C"/>
    <w:rsid w:val="00442324"/>
    <w:rsid w:val="00447C81"/>
    <w:rsid w:val="0045591A"/>
    <w:rsid w:val="00455BA8"/>
    <w:rsid w:val="00473CDE"/>
    <w:rsid w:val="00484818"/>
    <w:rsid w:val="0049671D"/>
    <w:rsid w:val="004A0686"/>
    <w:rsid w:val="004A12E3"/>
    <w:rsid w:val="004A685F"/>
    <w:rsid w:val="004B161C"/>
    <w:rsid w:val="004C1790"/>
    <w:rsid w:val="004C2848"/>
    <w:rsid w:val="004D3D50"/>
    <w:rsid w:val="004D414F"/>
    <w:rsid w:val="004E15EB"/>
    <w:rsid w:val="004F269C"/>
    <w:rsid w:val="00500004"/>
    <w:rsid w:val="00504EDC"/>
    <w:rsid w:val="0051362F"/>
    <w:rsid w:val="00513C96"/>
    <w:rsid w:val="005144EB"/>
    <w:rsid w:val="00521639"/>
    <w:rsid w:val="005222D1"/>
    <w:rsid w:val="00531300"/>
    <w:rsid w:val="00534815"/>
    <w:rsid w:val="00535067"/>
    <w:rsid w:val="005407D1"/>
    <w:rsid w:val="00540FD8"/>
    <w:rsid w:val="00546628"/>
    <w:rsid w:val="005469FB"/>
    <w:rsid w:val="005476EE"/>
    <w:rsid w:val="005658AD"/>
    <w:rsid w:val="00573B19"/>
    <w:rsid w:val="0057625B"/>
    <w:rsid w:val="005839F4"/>
    <w:rsid w:val="005857E8"/>
    <w:rsid w:val="00592229"/>
    <w:rsid w:val="0059748C"/>
    <w:rsid w:val="005A6EC1"/>
    <w:rsid w:val="005B3151"/>
    <w:rsid w:val="005C014F"/>
    <w:rsid w:val="005C15F8"/>
    <w:rsid w:val="005C743E"/>
    <w:rsid w:val="005D1854"/>
    <w:rsid w:val="005D423B"/>
    <w:rsid w:val="005E2C3B"/>
    <w:rsid w:val="005E3A1C"/>
    <w:rsid w:val="005F1635"/>
    <w:rsid w:val="005F2CBB"/>
    <w:rsid w:val="005F62BB"/>
    <w:rsid w:val="00614D8F"/>
    <w:rsid w:val="00624522"/>
    <w:rsid w:val="00633CEA"/>
    <w:rsid w:val="00636584"/>
    <w:rsid w:val="0064075B"/>
    <w:rsid w:val="00654CD7"/>
    <w:rsid w:val="006562D3"/>
    <w:rsid w:val="00657AA8"/>
    <w:rsid w:val="00657F91"/>
    <w:rsid w:val="00662E06"/>
    <w:rsid w:val="00663925"/>
    <w:rsid w:val="00663FF6"/>
    <w:rsid w:val="006643CC"/>
    <w:rsid w:val="00672FCD"/>
    <w:rsid w:val="00683326"/>
    <w:rsid w:val="0068582C"/>
    <w:rsid w:val="0068690A"/>
    <w:rsid w:val="00692FCC"/>
    <w:rsid w:val="006A343A"/>
    <w:rsid w:val="006A37C7"/>
    <w:rsid w:val="006A4307"/>
    <w:rsid w:val="006A5C94"/>
    <w:rsid w:val="006C1099"/>
    <w:rsid w:val="006C12DD"/>
    <w:rsid w:val="006C229B"/>
    <w:rsid w:val="006D20DA"/>
    <w:rsid w:val="006D65B6"/>
    <w:rsid w:val="006D7911"/>
    <w:rsid w:val="006E21C7"/>
    <w:rsid w:val="006E49FD"/>
    <w:rsid w:val="006E7B3A"/>
    <w:rsid w:val="006F1CB0"/>
    <w:rsid w:val="00705E54"/>
    <w:rsid w:val="00712A53"/>
    <w:rsid w:val="00714CA3"/>
    <w:rsid w:val="00723E87"/>
    <w:rsid w:val="00726F13"/>
    <w:rsid w:val="007315B2"/>
    <w:rsid w:val="007348CD"/>
    <w:rsid w:val="00741F41"/>
    <w:rsid w:val="007721D1"/>
    <w:rsid w:val="00780F1D"/>
    <w:rsid w:val="007814B8"/>
    <w:rsid w:val="00790D84"/>
    <w:rsid w:val="00794E59"/>
    <w:rsid w:val="00796008"/>
    <w:rsid w:val="007A4F0E"/>
    <w:rsid w:val="007A5155"/>
    <w:rsid w:val="007B23ED"/>
    <w:rsid w:val="007B27BC"/>
    <w:rsid w:val="007B291D"/>
    <w:rsid w:val="007B62D0"/>
    <w:rsid w:val="007C7D2A"/>
    <w:rsid w:val="007E0258"/>
    <w:rsid w:val="007E5B6B"/>
    <w:rsid w:val="007F033B"/>
    <w:rsid w:val="008130DE"/>
    <w:rsid w:val="008139AC"/>
    <w:rsid w:val="00813AB6"/>
    <w:rsid w:val="00815646"/>
    <w:rsid w:val="0081658D"/>
    <w:rsid w:val="00821EB3"/>
    <w:rsid w:val="008227F7"/>
    <w:rsid w:val="00823207"/>
    <w:rsid w:val="00834F79"/>
    <w:rsid w:val="00835C8E"/>
    <w:rsid w:val="00843BBF"/>
    <w:rsid w:val="00855464"/>
    <w:rsid w:val="008633DA"/>
    <w:rsid w:val="00864024"/>
    <w:rsid w:val="00865007"/>
    <w:rsid w:val="00875631"/>
    <w:rsid w:val="0088171A"/>
    <w:rsid w:val="00892C5D"/>
    <w:rsid w:val="00894D50"/>
    <w:rsid w:val="008A0865"/>
    <w:rsid w:val="008A1888"/>
    <w:rsid w:val="008A2EA8"/>
    <w:rsid w:val="008A44DC"/>
    <w:rsid w:val="008B748E"/>
    <w:rsid w:val="008B7B63"/>
    <w:rsid w:val="008C11DC"/>
    <w:rsid w:val="008C57CE"/>
    <w:rsid w:val="008C743E"/>
    <w:rsid w:val="008D172C"/>
    <w:rsid w:val="008E0FD3"/>
    <w:rsid w:val="008E319C"/>
    <w:rsid w:val="008E403A"/>
    <w:rsid w:val="008E4C8B"/>
    <w:rsid w:val="008F560C"/>
    <w:rsid w:val="0091761C"/>
    <w:rsid w:val="00917925"/>
    <w:rsid w:val="00920B5A"/>
    <w:rsid w:val="00922FB8"/>
    <w:rsid w:val="0092702F"/>
    <w:rsid w:val="00930333"/>
    <w:rsid w:val="00941C8A"/>
    <w:rsid w:val="00943269"/>
    <w:rsid w:val="0095020E"/>
    <w:rsid w:val="00957E88"/>
    <w:rsid w:val="009812DC"/>
    <w:rsid w:val="009821B0"/>
    <w:rsid w:val="00983731"/>
    <w:rsid w:val="00983796"/>
    <w:rsid w:val="009845F1"/>
    <w:rsid w:val="0098600B"/>
    <w:rsid w:val="00986527"/>
    <w:rsid w:val="00987C57"/>
    <w:rsid w:val="009923CD"/>
    <w:rsid w:val="009A5584"/>
    <w:rsid w:val="009B0082"/>
    <w:rsid w:val="009B190B"/>
    <w:rsid w:val="009B6101"/>
    <w:rsid w:val="009D21AE"/>
    <w:rsid w:val="00A002C9"/>
    <w:rsid w:val="00A11431"/>
    <w:rsid w:val="00A14BA3"/>
    <w:rsid w:val="00A15977"/>
    <w:rsid w:val="00A213A5"/>
    <w:rsid w:val="00A23AAD"/>
    <w:rsid w:val="00A30CBE"/>
    <w:rsid w:val="00A31B19"/>
    <w:rsid w:val="00A35C32"/>
    <w:rsid w:val="00A35D4B"/>
    <w:rsid w:val="00A35DD9"/>
    <w:rsid w:val="00A41110"/>
    <w:rsid w:val="00A4450E"/>
    <w:rsid w:val="00A45716"/>
    <w:rsid w:val="00A5323A"/>
    <w:rsid w:val="00A55DC3"/>
    <w:rsid w:val="00A62067"/>
    <w:rsid w:val="00A628CA"/>
    <w:rsid w:val="00A81EF3"/>
    <w:rsid w:val="00A84037"/>
    <w:rsid w:val="00A86F31"/>
    <w:rsid w:val="00A90D2C"/>
    <w:rsid w:val="00A9119E"/>
    <w:rsid w:val="00AA2CFD"/>
    <w:rsid w:val="00AB1F3F"/>
    <w:rsid w:val="00AB34AE"/>
    <w:rsid w:val="00AB422D"/>
    <w:rsid w:val="00AB6024"/>
    <w:rsid w:val="00AC0AB1"/>
    <w:rsid w:val="00AC4E48"/>
    <w:rsid w:val="00AC6E53"/>
    <w:rsid w:val="00AC77FF"/>
    <w:rsid w:val="00AE2E14"/>
    <w:rsid w:val="00AE370B"/>
    <w:rsid w:val="00AE75CC"/>
    <w:rsid w:val="00AE7C06"/>
    <w:rsid w:val="00AF23E4"/>
    <w:rsid w:val="00AF5CEA"/>
    <w:rsid w:val="00B06015"/>
    <w:rsid w:val="00B110C6"/>
    <w:rsid w:val="00B13B3E"/>
    <w:rsid w:val="00B13DC4"/>
    <w:rsid w:val="00B156B3"/>
    <w:rsid w:val="00B228B9"/>
    <w:rsid w:val="00B31EEF"/>
    <w:rsid w:val="00B371F1"/>
    <w:rsid w:val="00B4013A"/>
    <w:rsid w:val="00B50544"/>
    <w:rsid w:val="00B54734"/>
    <w:rsid w:val="00B62C4F"/>
    <w:rsid w:val="00B65193"/>
    <w:rsid w:val="00B65C05"/>
    <w:rsid w:val="00B707D5"/>
    <w:rsid w:val="00B7115D"/>
    <w:rsid w:val="00B75AD9"/>
    <w:rsid w:val="00B80346"/>
    <w:rsid w:val="00B92056"/>
    <w:rsid w:val="00B975FA"/>
    <w:rsid w:val="00BA45A7"/>
    <w:rsid w:val="00BA4899"/>
    <w:rsid w:val="00BA4EC5"/>
    <w:rsid w:val="00BB34F2"/>
    <w:rsid w:val="00BC74A8"/>
    <w:rsid w:val="00BD40B1"/>
    <w:rsid w:val="00BD637E"/>
    <w:rsid w:val="00BE436A"/>
    <w:rsid w:val="00BE4E1C"/>
    <w:rsid w:val="00C0179F"/>
    <w:rsid w:val="00C050BE"/>
    <w:rsid w:val="00C05E14"/>
    <w:rsid w:val="00C232C2"/>
    <w:rsid w:val="00C237EE"/>
    <w:rsid w:val="00C27964"/>
    <w:rsid w:val="00C31442"/>
    <w:rsid w:val="00C31BF7"/>
    <w:rsid w:val="00C33764"/>
    <w:rsid w:val="00C41837"/>
    <w:rsid w:val="00C46D66"/>
    <w:rsid w:val="00C503B4"/>
    <w:rsid w:val="00C53659"/>
    <w:rsid w:val="00C636AD"/>
    <w:rsid w:val="00C663FF"/>
    <w:rsid w:val="00C67E30"/>
    <w:rsid w:val="00C73024"/>
    <w:rsid w:val="00C85948"/>
    <w:rsid w:val="00C868DF"/>
    <w:rsid w:val="00C86C21"/>
    <w:rsid w:val="00CA2F3A"/>
    <w:rsid w:val="00CB0482"/>
    <w:rsid w:val="00CB1BC5"/>
    <w:rsid w:val="00CB5A67"/>
    <w:rsid w:val="00CB685C"/>
    <w:rsid w:val="00CC107B"/>
    <w:rsid w:val="00CC4069"/>
    <w:rsid w:val="00CD39F5"/>
    <w:rsid w:val="00CD581D"/>
    <w:rsid w:val="00CE542C"/>
    <w:rsid w:val="00CE7B56"/>
    <w:rsid w:val="00CF219A"/>
    <w:rsid w:val="00CF21CF"/>
    <w:rsid w:val="00CF3798"/>
    <w:rsid w:val="00D10ECB"/>
    <w:rsid w:val="00D16B6B"/>
    <w:rsid w:val="00D17E3B"/>
    <w:rsid w:val="00D31953"/>
    <w:rsid w:val="00D430B9"/>
    <w:rsid w:val="00D46C27"/>
    <w:rsid w:val="00D47521"/>
    <w:rsid w:val="00D529A1"/>
    <w:rsid w:val="00D572EF"/>
    <w:rsid w:val="00D675FA"/>
    <w:rsid w:val="00D67976"/>
    <w:rsid w:val="00D67E5B"/>
    <w:rsid w:val="00D73D57"/>
    <w:rsid w:val="00D779FD"/>
    <w:rsid w:val="00D80E4A"/>
    <w:rsid w:val="00D83730"/>
    <w:rsid w:val="00D8622C"/>
    <w:rsid w:val="00D87D25"/>
    <w:rsid w:val="00D91B47"/>
    <w:rsid w:val="00D92863"/>
    <w:rsid w:val="00D93E05"/>
    <w:rsid w:val="00D96F04"/>
    <w:rsid w:val="00DA5F27"/>
    <w:rsid w:val="00DA76D9"/>
    <w:rsid w:val="00DD34A3"/>
    <w:rsid w:val="00DD5741"/>
    <w:rsid w:val="00DE01A6"/>
    <w:rsid w:val="00DF145D"/>
    <w:rsid w:val="00DF5ABB"/>
    <w:rsid w:val="00E24ECD"/>
    <w:rsid w:val="00E25164"/>
    <w:rsid w:val="00E313ED"/>
    <w:rsid w:val="00E404A6"/>
    <w:rsid w:val="00E4388D"/>
    <w:rsid w:val="00E55FE7"/>
    <w:rsid w:val="00E658DA"/>
    <w:rsid w:val="00E66587"/>
    <w:rsid w:val="00E71F04"/>
    <w:rsid w:val="00E75EC1"/>
    <w:rsid w:val="00E80C7F"/>
    <w:rsid w:val="00E82BD6"/>
    <w:rsid w:val="00E86566"/>
    <w:rsid w:val="00E87396"/>
    <w:rsid w:val="00E91396"/>
    <w:rsid w:val="00E954DC"/>
    <w:rsid w:val="00EA3FEB"/>
    <w:rsid w:val="00EB21EA"/>
    <w:rsid w:val="00EB72D8"/>
    <w:rsid w:val="00EC3AC5"/>
    <w:rsid w:val="00EC4564"/>
    <w:rsid w:val="00EC6F7F"/>
    <w:rsid w:val="00ED574D"/>
    <w:rsid w:val="00EE5029"/>
    <w:rsid w:val="00EF7E71"/>
    <w:rsid w:val="00F05697"/>
    <w:rsid w:val="00F127E8"/>
    <w:rsid w:val="00F12B61"/>
    <w:rsid w:val="00F13A4C"/>
    <w:rsid w:val="00F2641F"/>
    <w:rsid w:val="00F36AAD"/>
    <w:rsid w:val="00F37411"/>
    <w:rsid w:val="00F41A63"/>
    <w:rsid w:val="00F44CC0"/>
    <w:rsid w:val="00F50934"/>
    <w:rsid w:val="00F65E9D"/>
    <w:rsid w:val="00F7351A"/>
    <w:rsid w:val="00F85E2A"/>
    <w:rsid w:val="00F87280"/>
    <w:rsid w:val="00F874AA"/>
    <w:rsid w:val="00FA2683"/>
    <w:rsid w:val="00FB49AC"/>
    <w:rsid w:val="00FC0A5C"/>
    <w:rsid w:val="00FC3502"/>
    <w:rsid w:val="00FD4223"/>
    <w:rsid w:val="00FE252D"/>
    <w:rsid w:val="00FE6A38"/>
    <w:rsid w:val="00FE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85A1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autoRedefine/>
    <w:semiHidden/>
    <w:rsid w:val="00790D84"/>
    <w:rPr>
      <w:rFonts w:ascii="Arial" w:hAnsi="Arial"/>
      <w:szCs w:val="18"/>
    </w:rPr>
  </w:style>
  <w:style w:type="paragraph" w:styleId="Header">
    <w:name w:val="header"/>
    <w:basedOn w:val="Normal"/>
    <w:link w:val="HeaderChar"/>
    <w:uiPriority w:val="99"/>
    <w:unhideWhenUsed/>
    <w:rsid w:val="00F2641F"/>
    <w:pPr>
      <w:tabs>
        <w:tab w:val="center" w:pos="4320"/>
        <w:tab w:val="right" w:pos="8640"/>
      </w:tabs>
    </w:pPr>
  </w:style>
  <w:style w:type="character" w:customStyle="1" w:styleId="HeaderChar">
    <w:name w:val="Header Char"/>
    <w:basedOn w:val="DefaultParagraphFont"/>
    <w:link w:val="Header"/>
    <w:uiPriority w:val="99"/>
    <w:rsid w:val="00F2641F"/>
    <w:rPr>
      <w:noProof/>
      <w:sz w:val="24"/>
      <w:lang w:eastAsia="en-US"/>
    </w:rPr>
  </w:style>
  <w:style w:type="paragraph" w:styleId="Footer">
    <w:name w:val="footer"/>
    <w:basedOn w:val="Normal"/>
    <w:link w:val="FooterChar"/>
    <w:uiPriority w:val="99"/>
    <w:unhideWhenUsed/>
    <w:rsid w:val="00F2641F"/>
    <w:pPr>
      <w:tabs>
        <w:tab w:val="center" w:pos="4320"/>
        <w:tab w:val="right" w:pos="8640"/>
      </w:tabs>
    </w:pPr>
  </w:style>
  <w:style w:type="character" w:customStyle="1" w:styleId="FooterChar">
    <w:name w:val="Footer Char"/>
    <w:basedOn w:val="DefaultParagraphFont"/>
    <w:link w:val="Footer"/>
    <w:uiPriority w:val="99"/>
    <w:rsid w:val="00F2641F"/>
    <w:rPr>
      <w:noProof/>
      <w:sz w:val="24"/>
      <w:lang w:eastAsia="en-US"/>
    </w:rPr>
  </w:style>
  <w:style w:type="character" w:styleId="Hyperlink">
    <w:name w:val="Hyperlink"/>
    <w:basedOn w:val="DefaultParagraphFont"/>
    <w:uiPriority w:val="99"/>
    <w:unhideWhenUsed/>
    <w:rsid w:val="00F2641F"/>
    <w:rPr>
      <w:color w:val="0000FF" w:themeColor="hyperlink"/>
      <w:u w:val="single"/>
    </w:rPr>
  </w:style>
  <w:style w:type="character" w:styleId="LineNumber">
    <w:name w:val="line number"/>
    <w:basedOn w:val="DefaultParagraphFont"/>
    <w:uiPriority w:val="99"/>
    <w:semiHidden/>
    <w:unhideWhenUsed/>
    <w:rsid w:val="00F2641F"/>
  </w:style>
  <w:style w:type="table" w:styleId="TableGrid">
    <w:name w:val="Table Grid"/>
    <w:basedOn w:val="TableNormal"/>
    <w:uiPriority w:val="59"/>
    <w:rsid w:val="00941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5C94"/>
    <w:rPr>
      <w:sz w:val="18"/>
      <w:szCs w:val="18"/>
    </w:rPr>
  </w:style>
  <w:style w:type="paragraph" w:styleId="CommentText">
    <w:name w:val="annotation text"/>
    <w:basedOn w:val="Normal"/>
    <w:link w:val="CommentTextChar"/>
    <w:uiPriority w:val="99"/>
    <w:semiHidden/>
    <w:unhideWhenUsed/>
    <w:rsid w:val="006A5C94"/>
    <w:rPr>
      <w:szCs w:val="24"/>
    </w:rPr>
  </w:style>
  <w:style w:type="character" w:customStyle="1" w:styleId="CommentTextChar">
    <w:name w:val="Comment Text Char"/>
    <w:basedOn w:val="DefaultParagraphFont"/>
    <w:link w:val="CommentText"/>
    <w:uiPriority w:val="99"/>
    <w:semiHidden/>
    <w:rsid w:val="006A5C94"/>
    <w:rPr>
      <w:noProof/>
      <w:sz w:val="24"/>
      <w:szCs w:val="24"/>
      <w:lang w:eastAsia="en-US"/>
    </w:rPr>
  </w:style>
  <w:style w:type="paragraph" w:styleId="CommentSubject">
    <w:name w:val="annotation subject"/>
    <w:basedOn w:val="CommentText"/>
    <w:next w:val="CommentText"/>
    <w:link w:val="CommentSubjectChar"/>
    <w:uiPriority w:val="99"/>
    <w:semiHidden/>
    <w:unhideWhenUsed/>
    <w:rsid w:val="006A5C94"/>
    <w:rPr>
      <w:b/>
      <w:bCs/>
      <w:sz w:val="20"/>
      <w:szCs w:val="20"/>
    </w:rPr>
  </w:style>
  <w:style w:type="character" w:customStyle="1" w:styleId="CommentSubjectChar">
    <w:name w:val="Comment Subject Char"/>
    <w:basedOn w:val="CommentTextChar"/>
    <w:link w:val="CommentSubject"/>
    <w:uiPriority w:val="99"/>
    <w:semiHidden/>
    <w:rsid w:val="006A5C94"/>
    <w:rPr>
      <w:b/>
      <w:bCs/>
      <w:noProof/>
      <w:sz w:val="24"/>
      <w:szCs w:val="24"/>
      <w:lang w:eastAsia="en-US"/>
    </w:rPr>
  </w:style>
  <w:style w:type="character" w:styleId="PageNumber">
    <w:name w:val="page number"/>
    <w:basedOn w:val="DefaultParagraphFont"/>
    <w:uiPriority w:val="99"/>
    <w:semiHidden/>
    <w:unhideWhenUsed/>
    <w:rsid w:val="007A51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autoRedefine/>
    <w:semiHidden/>
    <w:rsid w:val="00790D84"/>
    <w:rPr>
      <w:rFonts w:ascii="Arial" w:hAnsi="Arial"/>
      <w:szCs w:val="18"/>
    </w:rPr>
  </w:style>
  <w:style w:type="paragraph" w:styleId="Header">
    <w:name w:val="header"/>
    <w:basedOn w:val="Normal"/>
    <w:link w:val="HeaderChar"/>
    <w:uiPriority w:val="99"/>
    <w:unhideWhenUsed/>
    <w:rsid w:val="00F2641F"/>
    <w:pPr>
      <w:tabs>
        <w:tab w:val="center" w:pos="4320"/>
        <w:tab w:val="right" w:pos="8640"/>
      </w:tabs>
    </w:pPr>
  </w:style>
  <w:style w:type="character" w:customStyle="1" w:styleId="HeaderChar">
    <w:name w:val="Header Char"/>
    <w:basedOn w:val="DefaultParagraphFont"/>
    <w:link w:val="Header"/>
    <w:uiPriority w:val="99"/>
    <w:rsid w:val="00F2641F"/>
    <w:rPr>
      <w:noProof/>
      <w:sz w:val="24"/>
      <w:lang w:eastAsia="en-US"/>
    </w:rPr>
  </w:style>
  <w:style w:type="paragraph" w:styleId="Footer">
    <w:name w:val="footer"/>
    <w:basedOn w:val="Normal"/>
    <w:link w:val="FooterChar"/>
    <w:uiPriority w:val="99"/>
    <w:unhideWhenUsed/>
    <w:rsid w:val="00F2641F"/>
    <w:pPr>
      <w:tabs>
        <w:tab w:val="center" w:pos="4320"/>
        <w:tab w:val="right" w:pos="8640"/>
      </w:tabs>
    </w:pPr>
  </w:style>
  <w:style w:type="character" w:customStyle="1" w:styleId="FooterChar">
    <w:name w:val="Footer Char"/>
    <w:basedOn w:val="DefaultParagraphFont"/>
    <w:link w:val="Footer"/>
    <w:uiPriority w:val="99"/>
    <w:rsid w:val="00F2641F"/>
    <w:rPr>
      <w:noProof/>
      <w:sz w:val="24"/>
      <w:lang w:eastAsia="en-US"/>
    </w:rPr>
  </w:style>
  <w:style w:type="character" w:styleId="Hyperlink">
    <w:name w:val="Hyperlink"/>
    <w:basedOn w:val="DefaultParagraphFont"/>
    <w:uiPriority w:val="99"/>
    <w:unhideWhenUsed/>
    <w:rsid w:val="00F2641F"/>
    <w:rPr>
      <w:color w:val="0000FF" w:themeColor="hyperlink"/>
      <w:u w:val="single"/>
    </w:rPr>
  </w:style>
  <w:style w:type="character" w:styleId="LineNumber">
    <w:name w:val="line number"/>
    <w:basedOn w:val="DefaultParagraphFont"/>
    <w:uiPriority w:val="99"/>
    <w:semiHidden/>
    <w:unhideWhenUsed/>
    <w:rsid w:val="00F2641F"/>
  </w:style>
  <w:style w:type="table" w:styleId="TableGrid">
    <w:name w:val="Table Grid"/>
    <w:basedOn w:val="TableNormal"/>
    <w:uiPriority w:val="59"/>
    <w:rsid w:val="00941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5C94"/>
    <w:rPr>
      <w:sz w:val="18"/>
      <w:szCs w:val="18"/>
    </w:rPr>
  </w:style>
  <w:style w:type="paragraph" w:styleId="CommentText">
    <w:name w:val="annotation text"/>
    <w:basedOn w:val="Normal"/>
    <w:link w:val="CommentTextChar"/>
    <w:uiPriority w:val="99"/>
    <w:semiHidden/>
    <w:unhideWhenUsed/>
    <w:rsid w:val="006A5C94"/>
    <w:rPr>
      <w:szCs w:val="24"/>
    </w:rPr>
  </w:style>
  <w:style w:type="character" w:customStyle="1" w:styleId="CommentTextChar">
    <w:name w:val="Comment Text Char"/>
    <w:basedOn w:val="DefaultParagraphFont"/>
    <w:link w:val="CommentText"/>
    <w:uiPriority w:val="99"/>
    <w:semiHidden/>
    <w:rsid w:val="006A5C94"/>
    <w:rPr>
      <w:noProof/>
      <w:sz w:val="24"/>
      <w:szCs w:val="24"/>
      <w:lang w:eastAsia="en-US"/>
    </w:rPr>
  </w:style>
  <w:style w:type="paragraph" w:styleId="CommentSubject">
    <w:name w:val="annotation subject"/>
    <w:basedOn w:val="CommentText"/>
    <w:next w:val="CommentText"/>
    <w:link w:val="CommentSubjectChar"/>
    <w:uiPriority w:val="99"/>
    <w:semiHidden/>
    <w:unhideWhenUsed/>
    <w:rsid w:val="006A5C94"/>
    <w:rPr>
      <w:b/>
      <w:bCs/>
      <w:sz w:val="20"/>
      <w:szCs w:val="20"/>
    </w:rPr>
  </w:style>
  <w:style w:type="character" w:customStyle="1" w:styleId="CommentSubjectChar">
    <w:name w:val="Comment Subject Char"/>
    <w:basedOn w:val="CommentTextChar"/>
    <w:link w:val="CommentSubject"/>
    <w:uiPriority w:val="99"/>
    <w:semiHidden/>
    <w:rsid w:val="006A5C94"/>
    <w:rPr>
      <w:b/>
      <w:bCs/>
      <w:noProof/>
      <w:sz w:val="24"/>
      <w:szCs w:val="24"/>
      <w:lang w:eastAsia="en-US"/>
    </w:rPr>
  </w:style>
  <w:style w:type="character" w:styleId="PageNumber">
    <w:name w:val="page number"/>
    <w:basedOn w:val="DefaultParagraphFont"/>
    <w:uiPriority w:val="99"/>
    <w:semiHidden/>
    <w:unhideWhenUsed/>
    <w:rsid w:val="007A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7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2336</TotalTime>
  <Pages>4</Pages>
  <Words>477</Words>
  <Characters>2725</Characters>
  <Application>Microsoft Macintosh Word</Application>
  <DocSecurity>0</DocSecurity>
  <Lines>22</Lines>
  <Paragraphs>6</Paragraphs>
  <ScaleCrop>false</ScaleCrop>
  <Company>CSUN</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Edmunds</dc:creator>
  <cp:keywords/>
  <dc:description/>
  <cp:lastModifiedBy>Peter Edmunds</cp:lastModifiedBy>
  <cp:revision>211</cp:revision>
  <cp:lastPrinted>2022-07-01T20:00:00Z</cp:lastPrinted>
  <dcterms:created xsi:type="dcterms:W3CDTF">2022-01-13T04:59:00Z</dcterms:created>
  <dcterms:modified xsi:type="dcterms:W3CDTF">2022-08-30T15:35:00Z</dcterms:modified>
</cp:coreProperties>
</file>