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FE7F" w14:textId="77777777" w:rsidR="00456F3C" w:rsidRDefault="00456F3C" w:rsidP="00456F3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33544">
        <w:rPr>
          <w:rFonts w:ascii="Times New Roman" w:hAnsi="Times New Roman" w:cs="Times New Roman"/>
          <w:b/>
          <w:bCs/>
          <w:sz w:val="24"/>
          <w:szCs w:val="24"/>
          <w:lang w:val="tr-TR"/>
        </w:rPr>
        <w:t>Table S2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4BFC4DAA" w14:textId="54D9CFC6" w:rsidR="00456F3C" w:rsidRPr="00BD2B48" w:rsidRDefault="00456F3C" w:rsidP="00456F3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B48">
        <w:rPr>
          <w:rFonts w:ascii="Times New Roman" w:hAnsi="Times New Roman" w:cs="Times New Roman"/>
          <w:b/>
          <w:bCs/>
          <w:sz w:val="24"/>
          <w:szCs w:val="24"/>
          <w:lang w:val="tr-TR"/>
        </w:rPr>
        <w:t>Agent based model parameters and their values</w:t>
      </w: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3362"/>
        <w:gridCol w:w="992"/>
        <w:gridCol w:w="3685"/>
      </w:tblGrid>
      <w:tr w:rsidR="00456F3C" w:rsidRPr="00BD2B48" w14:paraId="5743B420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293C5298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0A3950E9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E1BD41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62652D0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</w:t>
            </w:r>
          </w:p>
        </w:tc>
      </w:tr>
      <w:bookmarkStart w:id="0" w:name="_Hlk69905587"/>
      <w:tr w:rsidR="00456F3C" w:rsidRPr="00BD2B48" w14:paraId="210D796B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5B62232A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GB" w:eastAsia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  <w:bookmarkEnd w:id="0"/>
          </w:p>
        </w:tc>
        <w:tc>
          <w:tcPr>
            <w:tcW w:w="3362" w:type="dxa"/>
            <w:vAlign w:val="center"/>
          </w:tcPr>
          <w:p w14:paraId="5EEBDF8B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mean </w:t>
            </w: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 xml:space="preserve">number of days </w:t>
            </w: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in the latency stage</w:t>
            </w:r>
          </w:p>
        </w:tc>
        <w:tc>
          <w:tcPr>
            <w:tcW w:w="992" w:type="dxa"/>
            <w:vAlign w:val="center"/>
          </w:tcPr>
          <w:p w14:paraId="19EBB6CF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2.7 day</w:t>
            </w:r>
          </w:p>
        </w:tc>
        <w:tc>
          <w:tcPr>
            <w:tcW w:w="3685" w:type="dxa"/>
            <w:vAlign w:val="center"/>
          </w:tcPr>
          <w:p w14:paraId="02D0D87A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Derived by finding the difference between incubation period and pre-symptomatic period. We take          incubation period 5.1 day [7]</w:t>
            </w:r>
          </w:p>
        </w:tc>
      </w:tr>
      <w:tr w:rsidR="00456F3C" w:rsidRPr="00BD2B48" w14:paraId="02FBC12D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1CF7C116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GB" w:eastAsia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362" w:type="dxa"/>
            <w:vAlign w:val="center"/>
          </w:tcPr>
          <w:p w14:paraId="67B730D9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mean </w:t>
            </w: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 xml:space="preserve">number of days </w:t>
            </w: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in pre-symptomatic stage</w:t>
            </w:r>
          </w:p>
        </w:tc>
        <w:tc>
          <w:tcPr>
            <w:tcW w:w="992" w:type="dxa"/>
            <w:vAlign w:val="center"/>
          </w:tcPr>
          <w:p w14:paraId="79D9D616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2.4 day</w:t>
            </w:r>
          </w:p>
        </w:tc>
        <w:tc>
          <w:tcPr>
            <w:tcW w:w="3685" w:type="dxa"/>
            <w:vAlign w:val="center"/>
          </w:tcPr>
          <w:p w14:paraId="34F7015B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</w:tr>
      <w:tr w:rsidR="00456F3C" w:rsidRPr="00BD2B48" w14:paraId="7F7C543D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0F2E88E8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GB" w:eastAsia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362" w:type="dxa"/>
            <w:vAlign w:val="center"/>
          </w:tcPr>
          <w:p w14:paraId="0746F08C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mean </w:t>
            </w: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 xml:space="preserve">number of days </w:t>
            </w: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in the asymptomatic stage</w:t>
            </w:r>
          </w:p>
        </w:tc>
        <w:tc>
          <w:tcPr>
            <w:tcW w:w="992" w:type="dxa"/>
            <w:vAlign w:val="center"/>
          </w:tcPr>
          <w:p w14:paraId="4786E12F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5.4 day</w:t>
            </w:r>
          </w:p>
        </w:tc>
        <w:tc>
          <w:tcPr>
            <w:tcW w:w="3685" w:type="dxa"/>
            <w:vAlign w:val="center"/>
          </w:tcPr>
          <w:p w14:paraId="1C799601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Assumed to be the same duration as the total infectious period for symptomatic cases, including pre-symptomatic transmission [3]</w:t>
            </w:r>
          </w:p>
        </w:tc>
      </w:tr>
      <w:tr w:rsidR="00456F3C" w:rsidRPr="00BD2B48" w14:paraId="72893FF1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5FB8AAFC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s</m:t>
                </m:r>
              </m:oMath>
            </m:oMathPara>
          </w:p>
        </w:tc>
        <w:tc>
          <w:tcPr>
            <w:tcW w:w="3362" w:type="dxa"/>
            <w:vAlign w:val="center"/>
          </w:tcPr>
          <w:p w14:paraId="4A846515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the ratio of symptomatic cases</w:t>
            </w:r>
          </w:p>
        </w:tc>
        <w:tc>
          <w:tcPr>
            <w:tcW w:w="992" w:type="dxa"/>
            <w:vAlign w:val="center"/>
          </w:tcPr>
          <w:p w14:paraId="5426A0CF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3685" w:type="dxa"/>
            <w:vAlign w:val="center"/>
          </w:tcPr>
          <w:p w14:paraId="68F3F84B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[4]</w:t>
            </w:r>
          </w:p>
        </w:tc>
      </w:tr>
      <w:tr w:rsidR="00456F3C" w:rsidRPr="00BD2B48" w14:paraId="6111D299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1666F392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362" w:type="dxa"/>
            <w:vAlign w:val="center"/>
          </w:tcPr>
          <w:p w14:paraId="069AD4A0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average time of going to the hospital</w:t>
            </w:r>
          </w:p>
        </w:tc>
        <w:tc>
          <w:tcPr>
            <w:tcW w:w="992" w:type="dxa"/>
            <w:vAlign w:val="center"/>
          </w:tcPr>
          <w:p w14:paraId="7CDBB485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gramStart"/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  <w:proofErr w:type="gramEnd"/>
          </w:p>
        </w:tc>
        <w:tc>
          <w:tcPr>
            <w:tcW w:w="3685" w:type="dxa"/>
            <w:vAlign w:val="center"/>
          </w:tcPr>
          <w:p w14:paraId="13A94D94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</w:rPr>
              <w:t>[5]</w:t>
            </w:r>
          </w:p>
        </w:tc>
      </w:tr>
      <w:tr w:rsidR="00456F3C" w:rsidRPr="00BD2B48" w14:paraId="128DDFF3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03C91B64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α</m:t>
                </m:r>
              </m:oMath>
            </m:oMathPara>
          </w:p>
        </w:tc>
        <w:tc>
          <w:tcPr>
            <w:tcW w:w="3362" w:type="dxa"/>
            <w:vAlign w:val="center"/>
          </w:tcPr>
          <w:p w14:paraId="552C7CB4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Infection Probability constant</w:t>
            </w:r>
          </w:p>
        </w:tc>
        <w:tc>
          <w:tcPr>
            <w:tcW w:w="992" w:type="dxa"/>
            <w:vAlign w:val="center"/>
          </w:tcPr>
          <w:p w14:paraId="26B8FA21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0.9841</m:t>
                </m:r>
              </m:oMath>
            </m:oMathPara>
          </w:p>
        </w:tc>
        <w:tc>
          <w:tcPr>
            <w:tcW w:w="3685" w:type="dxa"/>
            <w:vAlign w:val="center"/>
          </w:tcPr>
          <w:p w14:paraId="21609DAE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Derived (Fitted to COVID-19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0</m:t>
                  </m:r>
                </m:sub>
              </m:sSub>
            </m:oMath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SAR of household by sampling (see SI Fig. 2))</w:t>
            </w:r>
          </w:p>
        </w:tc>
      </w:tr>
      <w:tr w:rsidR="00456F3C" w:rsidRPr="00BD2B48" w14:paraId="677C1182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67D5288B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β</m:t>
                </m:r>
              </m:oMath>
            </m:oMathPara>
          </w:p>
        </w:tc>
        <w:tc>
          <w:tcPr>
            <w:tcW w:w="3362" w:type="dxa"/>
            <w:vAlign w:val="center"/>
          </w:tcPr>
          <w:p w14:paraId="77815055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Infection Probability constant</w:t>
            </w:r>
          </w:p>
        </w:tc>
        <w:tc>
          <w:tcPr>
            <w:tcW w:w="992" w:type="dxa"/>
            <w:vAlign w:val="center"/>
          </w:tcPr>
          <w:p w14:paraId="36F3C60A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0.1672</w:t>
            </w:r>
          </w:p>
        </w:tc>
        <w:tc>
          <w:tcPr>
            <w:tcW w:w="3685" w:type="dxa"/>
            <w:vAlign w:val="center"/>
          </w:tcPr>
          <w:p w14:paraId="41013C88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Derived (Fitted to COVID-19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0</m:t>
                  </m:r>
                </m:sub>
              </m:sSub>
            </m:oMath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SAR of household by sampling (see SI Fig. 2))</w:t>
            </w:r>
          </w:p>
        </w:tc>
      </w:tr>
      <w:tr w:rsidR="00456F3C" w:rsidRPr="00BD2B48" w14:paraId="6B0CBC82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1DB89BD8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3362" w:type="dxa"/>
            <w:vAlign w:val="center"/>
          </w:tcPr>
          <w:p w14:paraId="4E3F6B5C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Transmission reduction fator for asymptomatic cases inside household</w:t>
            </w:r>
          </w:p>
        </w:tc>
        <w:tc>
          <w:tcPr>
            <w:tcW w:w="992" w:type="dxa"/>
            <w:vAlign w:val="center"/>
          </w:tcPr>
          <w:p w14:paraId="7206839B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>0.696</w:t>
            </w:r>
          </w:p>
        </w:tc>
        <w:tc>
          <w:tcPr>
            <w:tcW w:w="3685" w:type="dxa"/>
            <w:vAlign w:val="center"/>
          </w:tcPr>
          <w:p w14:paraId="7EF3D3AE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>[6]</w:t>
            </w:r>
          </w:p>
        </w:tc>
      </w:tr>
      <w:tr w:rsidR="00456F3C" w:rsidRPr="00BD2B48" w14:paraId="643899D4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62A8C2A2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3362" w:type="dxa"/>
            <w:vAlign w:val="center"/>
          </w:tcPr>
          <w:p w14:paraId="7F3FA0FB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Transmission reduction fator for asymptomatic cases outside household</w:t>
            </w:r>
          </w:p>
        </w:tc>
        <w:tc>
          <w:tcPr>
            <w:tcW w:w="992" w:type="dxa"/>
            <w:vAlign w:val="center"/>
          </w:tcPr>
          <w:p w14:paraId="470FBF1C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3685" w:type="dxa"/>
            <w:vAlign w:val="center"/>
          </w:tcPr>
          <w:p w14:paraId="42236DD0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>[6]</w:t>
            </w:r>
          </w:p>
        </w:tc>
      </w:tr>
      <w:tr w:rsidR="00456F3C" w:rsidRPr="00BD2B48" w14:paraId="4ABE4D11" w14:textId="77777777" w:rsidTr="005014D5">
        <w:trPr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6A724EFA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g</m:t>
                </m:r>
              </m:oMath>
            </m:oMathPara>
          </w:p>
        </w:tc>
        <w:tc>
          <w:tcPr>
            <w:tcW w:w="3362" w:type="dxa"/>
            <w:vAlign w:val="center"/>
          </w:tcPr>
          <w:p w14:paraId="3E4CBB6A" w14:textId="77777777" w:rsidR="00456F3C" w:rsidRPr="00BD2B48" w:rsidRDefault="00456F3C" w:rsidP="005014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2B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granularity</w:t>
            </w:r>
          </w:p>
        </w:tc>
        <w:tc>
          <w:tcPr>
            <w:tcW w:w="992" w:type="dxa"/>
            <w:vAlign w:val="center"/>
          </w:tcPr>
          <w:p w14:paraId="20BEAF3F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685" w:type="dxa"/>
            <w:vAlign w:val="center"/>
          </w:tcPr>
          <w:p w14:paraId="4E55C047" w14:textId="77777777" w:rsidR="00456F3C" w:rsidRPr="00BD2B48" w:rsidRDefault="00456F3C" w:rsidP="005014D5">
            <w:pPr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B48">
              <w:rPr>
                <w:rFonts w:ascii="Times New Roman" w:eastAsia="Calibri" w:hAnsi="Times New Roman" w:cs="Times New Roman"/>
                <w:sz w:val="18"/>
                <w:szCs w:val="18"/>
              </w:rPr>
              <w:t>Derived by converting 1 day to 5 minutes intervals (16×12)</w:t>
            </w:r>
          </w:p>
        </w:tc>
      </w:tr>
    </w:tbl>
    <w:p w14:paraId="019F66E3" w14:textId="77777777" w:rsidR="00456F3C" w:rsidRPr="00BD2B48" w:rsidRDefault="00456F3C" w:rsidP="00456F3C">
      <w:pPr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2B48">
        <w:rPr>
          <w:rFonts w:ascii="Times New Roman" w:hAnsi="Times New Roman" w:cs="Times New Roman"/>
          <w:sz w:val="20"/>
          <w:szCs w:val="20"/>
        </w:rPr>
        <w:t xml:space="preserve">[2]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Zhongxing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Ding, Kai Wang,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Mingwang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Shen, Kai Wang, Shi Zhao, Wenyu Song, Rui Li, Estimating the time interval between transmission generations and the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presymptomatic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period by contact tracing surveillance data from 31 provinces in the mainland of China, Fundamental Research, Volume 1, Issue 2, 2021, Pages 104-110, ISSN 2667-3258, https://doi.org/10.1016/j.fmre.2021.02.002.</w:t>
      </w:r>
    </w:p>
    <w:p w14:paraId="5B3AC08B" w14:textId="77777777" w:rsidR="00456F3C" w:rsidRPr="00BD2B48" w:rsidRDefault="00456F3C" w:rsidP="00456F3C">
      <w:pPr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2B48">
        <w:rPr>
          <w:rFonts w:ascii="Times New Roman" w:hAnsi="Times New Roman" w:cs="Times New Roman"/>
          <w:sz w:val="20"/>
          <w:szCs w:val="20"/>
        </w:rPr>
        <w:t xml:space="preserve">[3] Nicholas G Davies, Adam J Kucharski, Rosalind M Eggo, Amy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Gimma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, W John Edmunds, Thibaut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Jombart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>, Effects of non-pharmaceutical interventions on COVID-19 cases, deaths, and demand for hospital services in the UK: a modelling study, The Lancet Public Health, Volume 5, Issue 7, 2020, Pages e375-e385, ISSN 2468-2667, https://doi.org/10.1016/S2468-2667(20)30133-X.</w:t>
      </w:r>
    </w:p>
    <w:p w14:paraId="77F98988" w14:textId="77777777" w:rsidR="00456F3C" w:rsidRPr="00BD2B48" w:rsidRDefault="00456F3C" w:rsidP="00456F3C">
      <w:pPr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2B48">
        <w:rPr>
          <w:rFonts w:ascii="Times New Roman" w:hAnsi="Times New Roman" w:cs="Times New Roman"/>
          <w:sz w:val="20"/>
          <w:szCs w:val="20"/>
        </w:rPr>
        <w:t xml:space="preserve">[4]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Oyungerel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Byambasuren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, Magnolia Cardona, Katy Bell, Justin Clark, Mary-Louise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McLaws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, Paul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Glasziou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>, Estimating the extent of asymptomatic COVID-19 and its potential for community transmission: systematic review and meta-</w:t>
      </w:r>
      <w:proofErr w:type="gramStart"/>
      <w:r w:rsidRPr="00BD2B48">
        <w:rPr>
          <w:rFonts w:ascii="Times New Roman" w:hAnsi="Times New Roman" w:cs="Times New Roman"/>
          <w:sz w:val="20"/>
          <w:szCs w:val="20"/>
        </w:rPr>
        <w:t xml:space="preserve">analysis, 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medRxiv</w:t>
      </w:r>
      <w:proofErr w:type="spellEnd"/>
      <w:proofErr w:type="gramEnd"/>
      <w:r w:rsidRPr="00BD2B48">
        <w:rPr>
          <w:rFonts w:ascii="Times New Roman" w:hAnsi="Times New Roman" w:cs="Times New Roman"/>
          <w:sz w:val="20"/>
          <w:szCs w:val="20"/>
        </w:rPr>
        <w:t xml:space="preserve"> 2020.05.10.20097543;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>: https://doi.org/10.1101/2020.05.10.20097543</w:t>
      </w:r>
    </w:p>
    <w:p w14:paraId="3B1E276F" w14:textId="77777777" w:rsidR="00456F3C" w:rsidRPr="00BD2B48" w:rsidRDefault="00456F3C" w:rsidP="00456F3C">
      <w:pPr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2B48">
        <w:rPr>
          <w:rFonts w:ascii="Times New Roman" w:hAnsi="Times New Roman" w:cs="Times New Roman"/>
          <w:sz w:val="20"/>
          <w:szCs w:val="20"/>
        </w:rPr>
        <w:t xml:space="preserve">[5]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Faes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C, Abrams S, Van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Beckhoven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D, et al. Time between Symptom Onset,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Hospitalisation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and Recovery or Death: Statistical Analysis of Belgian COVID-19 Patients. Int J Environ Res Public Health. 2020;17(20):7560. Published 2020 Oct 17. doi:10.3390/ijerph17207560</w:t>
      </w:r>
    </w:p>
    <w:p w14:paraId="0EDB9F13" w14:textId="77777777" w:rsidR="00456F3C" w:rsidRPr="00BD2B48" w:rsidRDefault="00456F3C" w:rsidP="00456F3C">
      <w:pPr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2B48">
        <w:rPr>
          <w:rFonts w:ascii="Times New Roman" w:hAnsi="Times New Roman" w:cs="Times New Roman"/>
          <w:sz w:val="20"/>
          <w:szCs w:val="20"/>
        </w:rPr>
        <w:t xml:space="preserve">[6]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Qifang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Bi, Justin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Lessler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, Isabella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Eckerle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, Stephen A Lauer, Laurent Kaiser, Nicolas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Vuilleumier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, Derek AT Cummings, Household Transmission of SARS-CoV-2: Insights from a Population-based Serological Survey,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medRxiv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2020.11.04.20225573;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BD2B48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https://doi.org/10.1101/2020.11.04.20225573</w:t>
        </w:r>
      </w:hyperlink>
    </w:p>
    <w:p w14:paraId="108B8057" w14:textId="549E3811" w:rsidR="00317320" w:rsidRPr="00456F3C" w:rsidRDefault="00456F3C" w:rsidP="00456F3C">
      <w:pPr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2B48">
        <w:rPr>
          <w:rFonts w:ascii="Times New Roman" w:hAnsi="Times New Roman" w:cs="Times New Roman"/>
          <w:sz w:val="20"/>
          <w:szCs w:val="20"/>
        </w:rPr>
        <w:t xml:space="preserve">[8] Stephen A. Lauer, Kyra H.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Grantz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2B48">
        <w:rPr>
          <w:rFonts w:ascii="Times New Roman" w:hAnsi="Times New Roman" w:cs="Times New Roman"/>
          <w:sz w:val="20"/>
          <w:szCs w:val="20"/>
        </w:rPr>
        <w:t>Qifang</w:t>
      </w:r>
      <w:proofErr w:type="spellEnd"/>
      <w:r w:rsidRPr="00BD2B48">
        <w:rPr>
          <w:rFonts w:ascii="Times New Roman" w:hAnsi="Times New Roman" w:cs="Times New Roman"/>
          <w:sz w:val="20"/>
          <w:szCs w:val="20"/>
        </w:rPr>
        <w:t xml:space="preserve"> Bi, Forrest K. Jones. The Incubation Period of Coronavirus Disease 2019 (COVID-19) From Publicly Reported Confirmed Cases: Estimation and Application, Annals of Internal Medicine May 5, </w:t>
      </w:r>
      <w:proofErr w:type="gramStart"/>
      <w:r w:rsidRPr="00BD2B48">
        <w:rPr>
          <w:rFonts w:ascii="Times New Roman" w:hAnsi="Times New Roman" w:cs="Times New Roman"/>
          <w:sz w:val="20"/>
          <w:szCs w:val="20"/>
        </w:rPr>
        <w:t>2020</w:t>
      </w:r>
      <w:proofErr w:type="gramEnd"/>
      <w:r w:rsidRPr="00BD2B48">
        <w:rPr>
          <w:rFonts w:ascii="Times New Roman" w:hAnsi="Times New Roman" w:cs="Times New Roman"/>
          <w:sz w:val="20"/>
          <w:szCs w:val="20"/>
        </w:rPr>
        <w:t xml:space="preserve"> 172(9):577, https://www.acpjournals.org/doi/full/10.7326/M20-0504</w:t>
      </w:r>
    </w:p>
    <w:sectPr w:rsidR="00317320" w:rsidRPr="0045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1FC8"/>
    <w:multiLevelType w:val="multilevel"/>
    <w:tmpl w:val="BB121D7C"/>
    <w:lvl w:ilvl="0">
      <w:start w:val="1"/>
      <w:numFmt w:val="decimal"/>
      <w:suff w:val="nothing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1" w15:restartNumberingAfterBreak="0">
    <w:nsid w:val="62D84B70"/>
    <w:multiLevelType w:val="multilevel"/>
    <w:tmpl w:val="8862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in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41"/>
    <w:rsid w:val="002F6546"/>
    <w:rsid w:val="00317320"/>
    <w:rsid w:val="00323565"/>
    <w:rsid w:val="00456F3C"/>
    <w:rsid w:val="00497CC1"/>
    <w:rsid w:val="00977068"/>
    <w:rsid w:val="00AD0B13"/>
    <w:rsid w:val="00E15BF5"/>
    <w:rsid w:val="00F85202"/>
    <w:rsid w:val="00FE6333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0661"/>
  <w15:chartTrackingRefBased/>
  <w15:docId w15:val="{A89FA9FD-1E68-43AA-8D6C-67421868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link w:val="MainTitleChar"/>
    <w:autoRedefine/>
    <w:qFormat/>
    <w:rsid w:val="00E15BF5"/>
    <w:pPr>
      <w:numPr>
        <w:ilvl w:val="1"/>
        <w:numId w:val="2"/>
      </w:numPr>
      <w:spacing w:before="120" w:after="120" w:line="360" w:lineRule="auto"/>
    </w:pPr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MainTitleChar">
    <w:name w:val="MainTitle Char"/>
    <w:basedOn w:val="DefaultParagraphFont"/>
    <w:link w:val="MainTitle"/>
    <w:rsid w:val="00E15BF5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table" w:customStyle="1" w:styleId="TableGrid2">
    <w:name w:val="Table Grid2"/>
    <w:basedOn w:val="TableNormal"/>
    <w:next w:val="TableGrid"/>
    <w:uiPriority w:val="39"/>
    <w:rsid w:val="00FF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01/2020.11.04.20225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Seyfullah KOTIL</dc:creator>
  <cp:keywords/>
  <dc:description/>
  <cp:lastModifiedBy>Enes Seyfullah KOTIL</cp:lastModifiedBy>
  <cp:revision>5</cp:revision>
  <dcterms:created xsi:type="dcterms:W3CDTF">2022-03-22T07:23:00Z</dcterms:created>
  <dcterms:modified xsi:type="dcterms:W3CDTF">2022-03-31T12:45:00Z</dcterms:modified>
</cp:coreProperties>
</file>