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1"/>
        <w:gridCol w:w="3011"/>
        <w:gridCol w:w="4286"/>
      </w:tblGrid>
      <w:tr w:rsidR="007F26CB" w:rsidRPr="00EB58AA" w14:paraId="4B1AA166" w14:textId="77777777" w:rsidTr="001374E9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AD5D9" w14:textId="5D27E61E" w:rsidR="007F26CB" w:rsidRPr="007F26CB" w:rsidRDefault="007F26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26C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Supplementary Table 1</w:t>
            </w:r>
            <w:r w:rsidRPr="007F26C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Representative </w:t>
            </w:r>
            <w:r w:rsidRPr="007F26CB">
              <w:rPr>
                <w:rFonts w:ascii="Arial" w:hAnsi="Arial" w:cs="Arial"/>
                <w:sz w:val="24"/>
                <w:szCs w:val="24"/>
                <w:lang w:val="en-US"/>
              </w:rPr>
              <w:t xml:space="preserve">articles </w:t>
            </w:r>
            <w:r w:rsidR="00B110D4">
              <w:rPr>
                <w:rFonts w:ascii="Arial" w:hAnsi="Arial" w:cs="Arial"/>
                <w:sz w:val="24"/>
                <w:szCs w:val="24"/>
                <w:lang w:val="en-US"/>
              </w:rPr>
              <w:t>cited</w:t>
            </w:r>
            <w:r w:rsid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in this</w:t>
            </w:r>
            <w:r w:rsidRPr="007F26CB">
              <w:rPr>
                <w:rFonts w:ascii="Arial" w:hAnsi="Arial" w:cs="Arial"/>
                <w:sz w:val="24"/>
                <w:szCs w:val="24"/>
                <w:lang w:val="en-US"/>
              </w:rPr>
              <w:t xml:space="preserve"> manuscript</w:t>
            </w:r>
            <w:r w:rsid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, listed alphabetically. </w:t>
            </w:r>
          </w:p>
        </w:tc>
      </w:tr>
      <w:tr w:rsidR="00E7461B" w:rsidRPr="007F26CB" w14:paraId="29F51D0C" w14:textId="77777777" w:rsidTr="001374E9">
        <w:tc>
          <w:tcPr>
            <w:tcW w:w="1531" w:type="dxa"/>
            <w:tcBorders>
              <w:top w:val="single" w:sz="4" w:space="0" w:color="auto"/>
            </w:tcBorders>
          </w:tcPr>
          <w:p w14:paraId="57AEAF67" w14:textId="7D8BE866" w:rsidR="007F26CB" w:rsidRPr="002A4B80" w:rsidRDefault="00926982" w:rsidP="007F26C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Main author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638BEB17" w14:textId="474EA6D0" w:rsidR="007F26CB" w:rsidRPr="002A4B80" w:rsidRDefault="007F26CB" w:rsidP="007F26C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09C6C80C" w14:textId="3D82859F" w:rsidR="007F26CB" w:rsidRPr="002A4B80" w:rsidRDefault="007F26CB" w:rsidP="007F26C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Reference</w:t>
            </w:r>
            <w:r w:rsid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(s)</w:t>
            </w:r>
          </w:p>
        </w:tc>
      </w:tr>
      <w:tr w:rsidR="00E7461B" w:rsidRPr="007F26CB" w14:paraId="3FC7C946" w14:textId="77777777" w:rsidTr="00F739A5">
        <w:tc>
          <w:tcPr>
            <w:tcW w:w="1531" w:type="dxa"/>
          </w:tcPr>
          <w:p w14:paraId="3B68210A" w14:textId="256152BE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Aguirre, J. </w:t>
            </w:r>
          </w:p>
        </w:tc>
        <w:tc>
          <w:tcPr>
            <w:tcW w:w="3011" w:type="dxa"/>
          </w:tcPr>
          <w:p w14:paraId="24C841A5" w14:textId="7A7C7468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this review, Aguirre et al., provides a summary of the current knowledge of fungal responses to ROS. This review focuses also in the human pathogen </w:t>
            </w:r>
            <w:r w:rsidRPr="00A460B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Aspergillus fumigatus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and the role of the antioxidant mechanisms in pathogenesis. This review serves as a guide for the proteins involved in the antioxidant mechanisms in fungi. </w:t>
            </w:r>
          </w:p>
        </w:tc>
        <w:tc>
          <w:tcPr>
            <w:tcW w:w="4286" w:type="dxa"/>
          </w:tcPr>
          <w:p w14:paraId="318B1595" w14:textId="2364C044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60B8">
              <w:rPr>
                <w:rFonts w:ascii="Arial" w:hAnsi="Arial" w:cs="Arial"/>
                <w:sz w:val="24"/>
                <w:szCs w:val="24"/>
              </w:rPr>
              <w:t xml:space="preserve">Aguirre, J.,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</w:rPr>
              <w:t>Hansberg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</w:rPr>
              <w:t xml:space="preserve">, W., Navarro, R. (2006). </w:t>
            </w:r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Fungal responses to reactive oxygen species. Med Mycol. 1;44(Supplement_1):S101-S107.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: 10.1080/13693780600900080</w:t>
            </w:r>
          </w:p>
        </w:tc>
      </w:tr>
      <w:tr w:rsidR="00E7461B" w:rsidRPr="007F26CB" w14:paraId="39FCFF12" w14:textId="77777777" w:rsidTr="00F739A5">
        <w:tc>
          <w:tcPr>
            <w:tcW w:w="1531" w:type="dxa"/>
          </w:tcPr>
          <w:p w14:paraId="6E815B98" w14:textId="4E4A1797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Aguirre, J.</w:t>
            </w:r>
          </w:p>
        </w:tc>
        <w:tc>
          <w:tcPr>
            <w:tcW w:w="3011" w:type="dxa"/>
          </w:tcPr>
          <w:p w14:paraId="73A3B5E6" w14:textId="17B4737B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this review, authors provide a review of the roles of ROS in cell differentiation and its importance in physiological roles in fungi. </w:t>
            </w:r>
          </w:p>
        </w:tc>
        <w:tc>
          <w:tcPr>
            <w:tcW w:w="4286" w:type="dxa"/>
          </w:tcPr>
          <w:p w14:paraId="6A86371B" w14:textId="60457D46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Aguirre, J., Ríos-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Momberg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, M., Hewitt, D.,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Hansberg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, W. (2005). Reactive oxygen species and development in microbial eukaryotes. Trends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Microbiol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. 13(3):111-8.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: 10.1016/j.tim.2005.01.007.</w:t>
            </w:r>
          </w:p>
        </w:tc>
      </w:tr>
      <w:tr w:rsidR="00E7461B" w:rsidRPr="007F26CB" w14:paraId="31001009" w14:textId="77777777" w:rsidTr="00F739A5">
        <w:tc>
          <w:tcPr>
            <w:tcW w:w="1531" w:type="dxa"/>
          </w:tcPr>
          <w:p w14:paraId="39D21D79" w14:textId="307F60B4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Almeida, M.A. </w:t>
            </w:r>
          </w:p>
        </w:tc>
        <w:tc>
          <w:tcPr>
            <w:tcW w:w="3011" w:type="dxa"/>
          </w:tcPr>
          <w:p w14:paraId="4CC16CD2" w14:textId="7BC254AC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Here, authors demonstrated that catalase P can be used as a marker for the diagnosis of </w:t>
            </w:r>
            <w:r w:rsidRPr="00A460B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H. capsulatum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infection. Also, they provide information regarding the possible role of catalase and other proteins in fungal pathogenesis. </w:t>
            </w:r>
          </w:p>
        </w:tc>
        <w:tc>
          <w:tcPr>
            <w:tcW w:w="4286" w:type="dxa"/>
          </w:tcPr>
          <w:p w14:paraId="3378812B" w14:textId="145B5B34" w:rsidR="007F26CB" w:rsidRPr="007F26CB" w:rsidRDefault="00A460B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60B8">
              <w:rPr>
                <w:rFonts w:ascii="Arial" w:hAnsi="Arial" w:cs="Arial"/>
                <w:sz w:val="24"/>
                <w:szCs w:val="24"/>
              </w:rPr>
              <w:t>Almeida, M.A., Almeida-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</w:rPr>
              <w:t>Paes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</w:rPr>
              <w:t xml:space="preserve">, R., Guimarães, A.J., Valente, R.H., Soares, C.M.A.,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</w:rPr>
              <w:t>Zancopé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</w:rPr>
              <w:t xml:space="preserve">-Oliveira. </w:t>
            </w:r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R.M. (2020). Immunoproteomics reveals pathogen's antigens involved in </w:t>
            </w:r>
            <w:r w:rsidRPr="00A460B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Homo sapiens</w:t>
            </w:r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A460B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Histoplasma capsulatum</w:t>
            </w:r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 interaction and specific linear B-cell epitopes in histoplasmosis. Front Cell Infect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Microbiol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 xml:space="preserve">. 29;10:591121. </w:t>
            </w:r>
            <w:proofErr w:type="spellStart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460B8">
              <w:rPr>
                <w:rFonts w:ascii="Arial" w:hAnsi="Arial" w:cs="Arial"/>
                <w:sz w:val="24"/>
                <w:szCs w:val="24"/>
                <w:lang w:val="en-US"/>
              </w:rPr>
              <w:t>: 10.3389/fcimb.2020.591121.</w:t>
            </w:r>
          </w:p>
        </w:tc>
      </w:tr>
      <w:tr w:rsidR="00E7461B" w:rsidRPr="007F26CB" w14:paraId="1AAA8EE5" w14:textId="77777777" w:rsidTr="00F739A5">
        <w:tc>
          <w:tcPr>
            <w:tcW w:w="1531" w:type="dxa"/>
          </w:tcPr>
          <w:p w14:paraId="6A73F2B2" w14:textId="3F8509ED" w:rsidR="007F26CB" w:rsidRPr="007F26CB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Asemoloye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M.D. </w:t>
            </w:r>
          </w:p>
        </w:tc>
        <w:tc>
          <w:tcPr>
            <w:tcW w:w="3011" w:type="dxa"/>
          </w:tcPr>
          <w:p w14:paraId="7D32972A" w14:textId="4F5E49A0" w:rsidR="007F26CB" w:rsidRPr="007F26CB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Authors demonstrate that environmentally isolated fungal strains from contaminated soil with crude oil, showed increased transcriptomic and enzymatic activities related to oxidative stress and cellulose metabolism. This work sets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foundation of the use of strains with these features that may be useful for bioremediation of contaminated sites. </w:t>
            </w:r>
          </w:p>
        </w:tc>
        <w:tc>
          <w:tcPr>
            <w:tcW w:w="4286" w:type="dxa"/>
          </w:tcPr>
          <w:p w14:paraId="18DE13CE" w14:textId="1B629C60" w:rsidR="007F26CB" w:rsidRPr="007F26CB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Asemoloye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M.D., Ahmad, R., Jonathan, S.G. (2018). Transcriptomic responses of catalase, peroxidase and laccase encoding genes and enzymatic activities of oil spill inhabiting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rhizospheric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fungal strains. Environ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Pollut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. 235:55-64.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: 10.1016/j.envpol.2017.12.042.</w:t>
            </w:r>
          </w:p>
        </w:tc>
      </w:tr>
      <w:tr w:rsidR="00E7461B" w:rsidRPr="00EB58AA" w14:paraId="4342D348" w14:textId="77777777" w:rsidTr="00F739A5">
        <w:tc>
          <w:tcPr>
            <w:tcW w:w="1531" w:type="dxa"/>
          </w:tcPr>
          <w:p w14:paraId="1C389E7E" w14:textId="343BC5ED" w:rsidR="007F26CB" w:rsidRPr="007F26CB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Brancini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G-T.P.</w:t>
            </w:r>
          </w:p>
        </w:tc>
        <w:tc>
          <w:tcPr>
            <w:tcW w:w="3011" w:type="dxa"/>
          </w:tcPr>
          <w:p w14:paraId="4324FD33" w14:textId="21D3FEDB" w:rsidR="007F26CB" w:rsidRPr="007F26CB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Authors provide a view of photobiology and the response to stress in a entomopathogenic fungus. </w:t>
            </w:r>
          </w:p>
        </w:tc>
        <w:tc>
          <w:tcPr>
            <w:tcW w:w="4286" w:type="dxa"/>
          </w:tcPr>
          <w:p w14:paraId="7D12548E" w14:textId="72C1BEBB" w:rsidR="007F26CB" w:rsidRPr="007F26CB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Brancini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G.T.P.,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Hallsworth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J.E.,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Corrochano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L.M., Braga, G.Ú.L. (2022). Photobiology of the keystone genus </w:t>
            </w:r>
            <w:proofErr w:type="spellStart"/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Metarhizium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. J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Photochem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Photobiol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B. 226:112374.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: 10.1016/j.jphotobiol.2021.</w:t>
            </w:r>
          </w:p>
        </w:tc>
      </w:tr>
      <w:tr w:rsidR="00E7461B" w:rsidRPr="007F26CB" w14:paraId="52412574" w14:textId="77777777" w:rsidTr="00F739A5">
        <w:tc>
          <w:tcPr>
            <w:tcW w:w="1531" w:type="dxa"/>
          </w:tcPr>
          <w:p w14:paraId="75B04932" w14:textId="20B53821" w:rsidR="007F26CB" w:rsidRPr="007F26CB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Caceres, I. </w:t>
            </w:r>
          </w:p>
        </w:tc>
        <w:tc>
          <w:tcPr>
            <w:tcW w:w="3011" w:type="dxa"/>
          </w:tcPr>
          <w:p w14:paraId="06F4ED6B" w14:textId="6E85A874" w:rsidR="007F26CB" w:rsidRPr="002A4B80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Here,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piperine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 shown to downregulate the production of aflatoxin by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A. flavus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but also, they show that other biosynthetic pathways are negatively regulated, among those, the antioxidant enzymes catalase and superoxide dismutase. </w:t>
            </w:r>
          </w:p>
        </w:tc>
        <w:tc>
          <w:tcPr>
            <w:tcW w:w="4286" w:type="dxa"/>
          </w:tcPr>
          <w:p w14:paraId="5F149AA9" w14:textId="77777777" w:rsidR="002A4B80" w:rsidRPr="002A4B80" w:rsidRDefault="002A4B80" w:rsidP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Caceres, I., El Khoury, R., Bailly, S., Oswald, I.P., Puel, O., Bailly, J.D. (2017)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Piperine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inhibits aflatoxin B1 production in </w:t>
            </w:r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Aspergillus flavus</w:t>
            </w:r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by modulating fungal oxidative stress response. Fungal Genet Biol. 107:77-85.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: 10.1016/j.fgb.2017.08.005.</w:t>
            </w:r>
          </w:p>
          <w:p w14:paraId="7D44C4DC" w14:textId="77777777" w:rsidR="007F26CB" w:rsidRPr="007F26CB" w:rsidRDefault="007F26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461B" w:rsidRPr="007F26CB" w14:paraId="52B6D5EC" w14:textId="77777777" w:rsidTr="00F739A5">
        <w:tc>
          <w:tcPr>
            <w:tcW w:w="1531" w:type="dxa"/>
          </w:tcPr>
          <w:p w14:paraId="7658EEAD" w14:textId="68A9CFD8" w:rsidR="00926982" w:rsidRPr="002A4B80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Castaño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J. </w:t>
            </w:r>
          </w:p>
        </w:tc>
        <w:tc>
          <w:tcPr>
            <w:tcW w:w="3011" w:type="dxa"/>
          </w:tcPr>
          <w:p w14:paraId="4CC95497" w14:textId="317C7AAD" w:rsidR="00926982" w:rsidRPr="002A4B80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Relevance of ROS for wood degradation and how ROS and the resistance mechanisms have been neglected of our current knowledge of wood decay and rot. </w:t>
            </w:r>
          </w:p>
        </w:tc>
        <w:tc>
          <w:tcPr>
            <w:tcW w:w="4286" w:type="dxa"/>
          </w:tcPr>
          <w:p w14:paraId="3223E406" w14:textId="4C5D0548" w:rsidR="002A4B80" w:rsidRPr="00AF1C8E" w:rsidRDefault="002A4B80" w:rsidP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Castaño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J., Zhang, J., Zhou, M., Tsai, C.F., Lee, J.Y.,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Nicora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C., Schilling, J. (2021). A Fungal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Secretome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Adapted for Stress Enabled a Radical Wood Decay Mechanism. mBio.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31;12(4):e0204021.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: 10.1128/mBio.02040-21.</w:t>
            </w:r>
          </w:p>
          <w:p w14:paraId="27A06A6F" w14:textId="71A95981" w:rsidR="002A4B80" w:rsidRPr="002A4B80" w:rsidRDefault="002A4B80" w:rsidP="002A4B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Castaño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J.D., Zhang, J., Anderson, C.E,, Schilling, J.S. (2018). Oxidative Damage Control during Decay of Wood by Brown Rot Fungus Using Oxygen Radicals.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</w:rPr>
              <w:t>Appl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</w:rPr>
              <w:t>Environ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</w:rPr>
              <w:t>Microbiol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</w:rPr>
              <w:t xml:space="preserve">. 30;84(22):e01937-18.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</w:rPr>
              <w:t>: 10.1128/AEM.01937-18.</w:t>
            </w:r>
          </w:p>
          <w:p w14:paraId="62BEF481" w14:textId="77777777" w:rsidR="00926982" w:rsidRPr="002A4B80" w:rsidRDefault="009269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461B" w:rsidRPr="007F26CB" w14:paraId="4929C7F5" w14:textId="77777777" w:rsidTr="00F739A5">
        <w:tc>
          <w:tcPr>
            <w:tcW w:w="1531" w:type="dxa"/>
          </w:tcPr>
          <w:p w14:paraId="63E0EC97" w14:textId="31743481" w:rsidR="00926982" w:rsidRPr="002A4B80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Castro, V</w:t>
            </w:r>
            <w:r w:rsidR="00017AB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17AB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P.</w:t>
            </w:r>
          </w:p>
        </w:tc>
        <w:tc>
          <w:tcPr>
            <w:tcW w:w="3011" w:type="dxa"/>
          </w:tcPr>
          <w:p w14:paraId="46E15291" w14:textId="5550C96A" w:rsidR="00926982" w:rsidRPr="002A4B80" w:rsidRDefault="00ED7F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Describes the overall effect of </w:t>
            </w:r>
            <w:r w:rsidRPr="00ED7F8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ED7F8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 w:rsidRPr="00ED7F8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infection in rats, highlighting the imbalance in redox state of the host and the increase of antioxidant enzymes. This study is relevant for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pathogenesis of this organism. </w:t>
            </w:r>
          </w:p>
        </w:tc>
        <w:tc>
          <w:tcPr>
            <w:tcW w:w="4286" w:type="dxa"/>
          </w:tcPr>
          <w:p w14:paraId="4D296C3A" w14:textId="25F6C58D" w:rsidR="00926982" w:rsidRPr="002A4B80" w:rsidRDefault="002A4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Castro, V.S.P., Da Silva, A.S.,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Thomé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G.R.,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Wolkmer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P., Castro, J.L.C., Costa, M.M.,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Graça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D.L., Oliveira, D.C., Alves, S.H.,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Schetinger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M.R.C., Lopes, S.T.A., Stefani, L.M., Azevedo, M.I.,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Baldissera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, M.D., Andrade, C.M. (2017). Oxidative stress in rats </w:t>
            </w:r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experimentally infected by </w:t>
            </w:r>
            <w:proofErr w:type="spellStart"/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B8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Microb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Pathog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 xml:space="preserve">. 2017 Jun;107:1-5. </w:t>
            </w:r>
            <w:proofErr w:type="spellStart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2A4B80">
              <w:rPr>
                <w:rFonts w:ascii="Arial" w:hAnsi="Arial" w:cs="Arial"/>
                <w:sz w:val="24"/>
                <w:szCs w:val="24"/>
                <w:lang w:val="en-US"/>
              </w:rPr>
              <w:t>: 10.1016/j.micpath.2017.03.001.</w:t>
            </w:r>
          </w:p>
        </w:tc>
      </w:tr>
      <w:tr w:rsidR="00E7461B" w:rsidRPr="007F26CB" w14:paraId="1888B60E" w14:textId="77777777" w:rsidTr="00F739A5">
        <w:tc>
          <w:tcPr>
            <w:tcW w:w="1531" w:type="dxa"/>
          </w:tcPr>
          <w:p w14:paraId="6247EEC6" w14:textId="4D29E1BA" w:rsidR="00926982" w:rsidRPr="002A4B80" w:rsidRDefault="00ED7F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Dai, J. </w:t>
            </w:r>
          </w:p>
        </w:tc>
        <w:tc>
          <w:tcPr>
            <w:tcW w:w="3011" w:type="dxa"/>
          </w:tcPr>
          <w:p w14:paraId="7CA0092D" w14:textId="76B97A5F" w:rsidR="00926982" w:rsidRPr="00ED7F86" w:rsidRDefault="00ED7F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Proposes the interaction of metformin with catalase and may be involved in reducing oxidative liver damage. </w:t>
            </w:r>
          </w:p>
        </w:tc>
        <w:tc>
          <w:tcPr>
            <w:tcW w:w="4286" w:type="dxa"/>
          </w:tcPr>
          <w:p w14:paraId="228D0F17" w14:textId="5638F278" w:rsidR="00926982" w:rsidRPr="00ED7F86" w:rsidRDefault="00ED7F86">
            <w:pPr>
              <w:rPr>
                <w:rFonts w:ascii="Arial" w:hAnsi="Arial" w:cs="Arial"/>
                <w:sz w:val="24"/>
                <w:szCs w:val="24"/>
              </w:rPr>
            </w:pPr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 xml:space="preserve">Dai, J., Liu, M., Ai, Q., Lin, L., Wu, K., Deng, X., Jing, Y., Jia, M., Wan, J., Zhang, L. (2014). Involvement of catalase in the protective benefits of metformin in mice with oxidative liver injury.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</w:rPr>
              <w:t>Biol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</w:rPr>
              <w:t>Interact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</w:rPr>
              <w:t xml:space="preserve">. 5;216:34-42.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</w:rPr>
              <w:t>: 10.1016/j.cbi.2014.03.013.</w:t>
            </w:r>
          </w:p>
        </w:tc>
      </w:tr>
      <w:tr w:rsidR="00E7461B" w:rsidRPr="007F26CB" w14:paraId="69225A2F" w14:textId="77777777" w:rsidTr="00F739A5">
        <w:tc>
          <w:tcPr>
            <w:tcW w:w="1531" w:type="dxa"/>
          </w:tcPr>
          <w:p w14:paraId="337EE180" w14:textId="4666FEE8" w:rsidR="00926982" w:rsidRPr="002A4B80" w:rsidRDefault="00ED7F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 Groot, H.</w:t>
            </w:r>
          </w:p>
        </w:tc>
        <w:tc>
          <w:tcPr>
            <w:tcW w:w="3011" w:type="dxa"/>
          </w:tcPr>
          <w:p w14:paraId="259DCBB6" w14:textId="1E2BCC4E" w:rsidR="00926982" w:rsidRPr="002A4B80" w:rsidRDefault="00ED7F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Shows relevant mechanistic differences in bovine liver catalase by not releasing oxygen in the dismutation of hydrogen peroxide. </w:t>
            </w:r>
          </w:p>
        </w:tc>
        <w:tc>
          <w:tcPr>
            <w:tcW w:w="4286" w:type="dxa"/>
          </w:tcPr>
          <w:p w14:paraId="7FC9B4EC" w14:textId="77777777" w:rsidR="00ED7F86" w:rsidRPr="00ED7F86" w:rsidRDefault="00ED7F86" w:rsidP="00ED7F86">
            <w:pPr>
              <w:rPr>
                <w:rFonts w:ascii="Arial" w:hAnsi="Arial" w:cs="Arial"/>
                <w:sz w:val="24"/>
                <w:szCs w:val="24"/>
              </w:rPr>
            </w:pPr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 xml:space="preserve">de Groot, H.,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>Auferkamp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 xml:space="preserve">, O.,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>Bramey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 xml:space="preserve">, T., de Groot, K., Kirsch, M.,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>Korth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 xml:space="preserve">, H.G.,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>Petrat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 xml:space="preserve">, F.,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>Sustmann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  <w:lang w:val="en-US"/>
              </w:rPr>
              <w:t xml:space="preserve">, R. (2006). Non-oxygen-forming pathways of hydrogen peroxide degradation by bovine liver catalase at low hydrogen peroxide fluxes. </w:t>
            </w:r>
            <w:r w:rsidRPr="00ED7F86"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spellStart"/>
            <w:r w:rsidRPr="00ED7F86">
              <w:rPr>
                <w:rFonts w:ascii="Arial" w:hAnsi="Arial" w:cs="Arial"/>
                <w:sz w:val="24"/>
                <w:szCs w:val="24"/>
              </w:rPr>
              <w:t>Radic</w:t>
            </w:r>
            <w:proofErr w:type="spellEnd"/>
            <w:r w:rsidRPr="00ED7F86">
              <w:rPr>
                <w:rFonts w:ascii="Arial" w:hAnsi="Arial" w:cs="Arial"/>
                <w:sz w:val="24"/>
                <w:szCs w:val="24"/>
              </w:rPr>
              <w:t xml:space="preserve"> Res. 2006;40:67–74.</w:t>
            </w:r>
          </w:p>
          <w:p w14:paraId="319CD84A" w14:textId="77777777" w:rsidR="00926982" w:rsidRPr="002A4B80" w:rsidRDefault="009269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461B" w:rsidRPr="007F26CB" w14:paraId="3A4B70E8" w14:textId="77777777" w:rsidTr="00F739A5">
        <w:tc>
          <w:tcPr>
            <w:tcW w:w="1531" w:type="dxa"/>
          </w:tcPr>
          <w:p w14:paraId="134B074D" w14:textId="260A0226" w:rsidR="00926982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 Souza, P.C.</w:t>
            </w:r>
          </w:p>
        </w:tc>
        <w:tc>
          <w:tcPr>
            <w:tcW w:w="3011" w:type="dxa"/>
          </w:tcPr>
          <w:p w14:paraId="4063D02B" w14:textId="211F72C9" w:rsidR="00926982" w:rsidRPr="00AF1C8E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Highlights the importance of alternative infection models for pathogenic fungi. Here, the invertebrate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Tenebrio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molitor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 shown to be a good host model to measure the effects of fungal infection by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Candida albicans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or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Cryptococcus neoformans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These models can be used to assess preliminary the effect of mutations in the infection process. </w:t>
            </w:r>
          </w:p>
        </w:tc>
        <w:tc>
          <w:tcPr>
            <w:tcW w:w="4286" w:type="dxa"/>
          </w:tcPr>
          <w:p w14:paraId="1E7F66E7" w14:textId="77777777" w:rsidR="00AF1C8E" w:rsidRPr="00AF1C8E" w:rsidRDefault="00AF1C8E" w:rsidP="00AF1C8E">
            <w:pPr>
              <w:rPr>
                <w:rFonts w:ascii="Arial" w:hAnsi="Arial" w:cs="Arial"/>
                <w:sz w:val="24"/>
                <w:szCs w:val="24"/>
              </w:rPr>
            </w:pP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de Souza, P.C., Morey, A.T.,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Castanheira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G.M.,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Bocate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K.P.,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Panagio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L.A., Ito, F.A.,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Furlaneto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, M.C., Yamada-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Ogatta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S.F., Costa, I.N., Mora-Montes, H.M., Almeida, R.S. (2015).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Tenebrio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molitor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(Coleoptera: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Tenebrionidae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) as an alternative host to study fungal infections. </w:t>
            </w:r>
            <w:r w:rsidRPr="00AF1C8E">
              <w:rPr>
                <w:rFonts w:ascii="Arial" w:hAnsi="Arial" w:cs="Arial"/>
                <w:sz w:val="24"/>
                <w:szCs w:val="24"/>
              </w:rPr>
              <w:t xml:space="preserve">J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Microbiol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Methods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. 118:182-6.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10.1016/j.mimet.2015.10.004.</w:t>
            </w:r>
          </w:p>
          <w:p w14:paraId="5035C821" w14:textId="77777777" w:rsidR="00926982" w:rsidRPr="002A4B80" w:rsidRDefault="009269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461B" w:rsidRPr="00EB58AA" w14:paraId="66BD7088" w14:textId="77777777" w:rsidTr="00F739A5">
        <w:tc>
          <w:tcPr>
            <w:tcW w:w="1531" w:type="dxa"/>
          </w:tcPr>
          <w:p w14:paraId="558D1B20" w14:textId="1899FE4B" w:rsidR="00926982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Díaz, A.</w:t>
            </w:r>
          </w:p>
        </w:tc>
        <w:tc>
          <w:tcPr>
            <w:tcW w:w="3011" w:type="dxa"/>
          </w:tcPr>
          <w:p w14:paraId="215682B4" w14:textId="004E477D" w:rsidR="00926982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Two very important structural studies of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crassa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large-subunit catalase, showing mechanistic features, active site properties and the review of the structure-function relationships. </w:t>
            </w:r>
          </w:p>
        </w:tc>
        <w:tc>
          <w:tcPr>
            <w:tcW w:w="4286" w:type="dxa"/>
          </w:tcPr>
          <w:p w14:paraId="624FE1AF" w14:textId="715ECAA8" w:rsidR="00AF1C8E" w:rsidRDefault="00AF1C8E" w:rsidP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C8E">
              <w:rPr>
                <w:rFonts w:ascii="Arial" w:hAnsi="Arial" w:cs="Arial"/>
                <w:sz w:val="24"/>
                <w:szCs w:val="24"/>
              </w:rPr>
              <w:t xml:space="preserve">Díaz, A., Muñoz-Clares, R.A., Rangel, P., Valdés, V.J.,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Hansberg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W. (2005).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Functional and structural analysis of catalase oxidized by singlet oxygen.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Biochimie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. 87(2):205-14.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: 10.1016/j.biochi.2004.10.014.</w:t>
            </w:r>
          </w:p>
          <w:p w14:paraId="5C917229" w14:textId="77777777" w:rsidR="00AF1C8E" w:rsidRPr="00AF1C8E" w:rsidRDefault="00AF1C8E" w:rsidP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E0F255" w14:textId="2D91D0B7" w:rsidR="00926982" w:rsidRPr="002A4B80" w:rsidRDefault="00AF1C8E" w:rsidP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Díaz, A., Valdés, V.J.,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Rudiño-Piñera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Horjales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Hansberg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W. (2009). Structure-function relationships in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fungal large-subunit catalases. J Mol Biol. 13;386(1):218-32.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: 10.1016/j.jmb.2008.12.019.</w:t>
            </w:r>
          </w:p>
        </w:tc>
      </w:tr>
      <w:tr w:rsidR="00E7461B" w:rsidRPr="007F26CB" w14:paraId="40FA9D1C" w14:textId="77777777" w:rsidTr="00F739A5">
        <w:tc>
          <w:tcPr>
            <w:tcW w:w="1531" w:type="dxa"/>
          </w:tcPr>
          <w:p w14:paraId="5B1EB536" w14:textId="6CBF02F0" w:rsidR="00926982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Domínguez, L. </w:t>
            </w:r>
          </w:p>
        </w:tc>
        <w:tc>
          <w:tcPr>
            <w:tcW w:w="3011" w:type="dxa"/>
          </w:tcPr>
          <w:p w14:paraId="441ACB8F" w14:textId="216B913A" w:rsidR="00926982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Structural studies show the relevant residues needed to exclude water from the active site, concentrate, and provide the specificity for hydrogen peroxide. </w:t>
            </w:r>
          </w:p>
        </w:tc>
        <w:tc>
          <w:tcPr>
            <w:tcW w:w="4286" w:type="dxa"/>
          </w:tcPr>
          <w:p w14:paraId="4CED1949" w14:textId="66A88C9C" w:rsidR="00926982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C8E">
              <w:rPr>
                <w:rFonts w:ascii="Arial" w:hAnsi="Arial" w:cs="Arial"/>
                <w:sz w:val="24"/>
                <w:szCs w:val="24"/>
              </w:rPr>
              <w:t xml:space="preserve">Domínguez, L., Sosa-Peinado, A.,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Hansberg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W. (2010).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Catalase evolved to concentrate H</w:t>
            </w:r>
            <w:r w:rsidRPr="00AF1C8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AF1C8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at its active site. Arch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Biochem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Biophys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. 1;500(1):82-91.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: 10.1016/j.abb.2010.05.017</w:t>
            </w:r>
          </w:p>
          <w:p w14:paraId="6B271D7B" w14:textId="77777777" w:rsidR="00AF1C8E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FFF8DA" w14:textId="16103ECD" w:rsidR="00AF1C8E" w:rsidRPr="00AF1C8E" w:rsidRDefault="00AF1C8E">
            <w:pPr>
              <w:rPr>
                <w:rFonts w:ascii="Arial" w:hAnsi="Arial" w:cs="Arial"/>
                <w:sz w:val="24"/>
                <w:szCs w:val="24"/>
              </w:rPr>
            </w:pP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Domínguez, L., Sosa-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Peinado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Hansberg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, W. (2014). How catalase recognizes H</w:t>
            </w:r>
            <w:r w:rsidRPr="00AF1C8E">
              <w:rPr>
                <w:rFonts w:ascii="Cambria Math" w:hAnsi="Cambria Math" w:cs="Cambria Math"/>
                <w:sz w:val="24"/>
                <w:szCs w:val="24"/>
                <w:lang w:val="en-US"/>
              </w:rPr>
              <w:t>₂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AF1C8E">
              <w:rPr>
                <w:rFonts w:ascii="Cambria Math" w:hAnsi="Cambria Math" w:cs="Cambria Math"/>
                <w:sz w:val="24"/>
                <w:szCs w:val="24"/>
                <w:lang w:val="en-US"/>
              </w:rPr>
              <w:t>₂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in a sea of water.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Proteins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. 82(1):45-56.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10.1002/prot.24352.</w:t>
            </w:r>
          </w:p>
        </w:tc>
      </w:tr>
      <w:tr w:rsidR="00E7461B" w:rsidRPr="007F26CB" w14:paraId="065DF96B" w14:textId="77777777" w:rsidTr="00F739A5">
        <w:tc>
          <w:tcPr>
            <w:tcW w:w="1531" w:type="dxa"/>
          </w:tcPr>
          <w:p w14:paraId="696A13CF" w14:textId="02060A66" w:rsidR="00926982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Egan, M.J.</w:t>
            </w:r>
          </w:p>
        </w:tc>
        <w:tc>
          <w:tcPr>
            <w:tcW w:w="3011" w:type="dxa"/>
          </w:tcPr>
          <w:p w14:paraId="2586E7D5" w14:textId="053083FB" w:rsidR="00926982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Study addressing the role of reactive oxygen species produced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Magnaporthe</w:t>
            </w:r>
            <w:proofErr w:type="spellEnd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grisea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and its role in the pathogenic process in rice. The most relevant finding is the induction of appressoria formation by ROS production. </w:t>
            </w:r>
          </w:p>
        </w:tc>
        <w:tc>
          <w:tcPr>
            <w:tcW w:w="4286" w:type="dxa"/>
          </w:tcPr>
          <w:p w14:paraId="4378A4FB" w14:textId="6D985FD0" w:rsidR="00926982" w:rsidRPr="00AF1C8E" w:rsidRDefault="00AF1C8E">
            <w:pPr>
              <w:rPr>
                <w:rFonts w:ascii="Arial" w:hAnsi="Arial" w:cs="Arial"/>
                <w:sz w:val="24"/>
                <w:szCs w:val="24"/>
              </w:rPr>
            </w:pP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Egan, M.J., Wang, Z.Y., Jones, M.A., Smirnoff, N., Talbot, N.J. (2007). Generation of reactive oxygen species by fungal NADPH oxidases is required for rice blast disease.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Proc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Natl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Acad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U S A. 10;104(28):11772-7.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10.1073/pnas.0700574104.</w:t>
            </w:r>
          </w:p>
        </w:tc>
      </w:tr>
      <w:tr w:rsidR="002A4B80" w:rsidRPr="007F26CB" w14:paraId="1DE62AC5" w14:textId="77777777" w:rsidTr="00F739A5">
        <w:tc>
          <w:tcPr>
            <w:tcW w:w="1531" w:type="dxa"/>
          </w:tcPr>
          <w:p w14:paraId="4A224D43" w14:textId="4A868382" w:rsidR="002A4B80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Félix-Contreras, C.</w:t>
            </w:r>
          </w:p>
        </w:tc>
        <w:tc>
          <w:tcPr>
            <w:tcW w:w="3011" w:type="dxa"/>
          </w:tcPr>
          <w:p w14:paraId="20FAEFD7" w14:textId="68421FA9" w:rsidR="002A4B80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Proteomic study that showed the presence of metabolic enzymes such 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threalase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chitinase, glycoside hydrolase induced by oxidative stress. This study shows that other enzymes may be involved in ROS resistance in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286" w:type="dxa"/>
          </w:tcPr>
          <w:p w14:paraId="55CFBF2E" w14:textId="5894FD9D" w:rsidR="002A4B80" w:rsidRPr="00AF1C8E" w:rsidRDefault="00AF1C8E">
            <w:pPr>
              <w:rPr>
                <w:rFonts w:ascii="Arial" w:hAnsi="Arial" w:cs="Arial"/>
                <w:sz w:val="24"/>
                <w:szCs w:val="24"/>
              </w:rPr>
            </w:pPr>
            <w:r w:rsidRPr="00AF1C8E">
              <w:rPr>
                <w:rFonts w:ascii="Arial" w:hAnsi="Arial" w:cs="Arial"/>
                <w:sz w:val="24"/>
                <w:szCs w:val="24"/>
              </w:rPr>
              <w:t xml:space="preserve">Félix-Contreras, C., Alba-Fierro, C.A., Ríos-Castro, E., Luna-Martínez, F., Cuéllar-Cruz, M., Ruiz-Baca, E. (2020).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Proteomic analysis of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cell wall reveals proteins involved in oxidative stress response induced by menadione.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Microb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Pathog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. 141:103987.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10.1016/j.micpath.2020.103987.</w:t>
            </w:r>
          </w:p>
        </w:tc>
      </w:tr>
      <w:tr w:rsidR="002A4B80" w:rsidRPr="007F26CB" w14:paraId="15336B0A" w14:textId="77777777" w:rsidTr="00F739A5">
        <w:tc>
          <w:tcPr>
            <w:tcW w:w="1531" w:type="dxa"/>
          </w:tcPr>
          <w:p w14:paraId="47D33491" w14:textId="4969C2EF" w:rsidR="002A4B80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Giosa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D. </w:t>
            </w:r>
          </w:p>
        </w:tc>
        <w:tc>
          <w:tcPr>
            <w:tcW w:w="3011" w:type="dxa"/>
          </w:tcPr>
          <w:p w14:paraId="0C946915" w14:textId="48EDB478" w:rsidR="002A4B80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Transcriptomic analysis of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mycelial and yeast forms. Also, the foundation of the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genome database to access transcriptomic and genomic data. </w:t>
            </w:r>
          </w:p>
        </w:tc>
        <w:tc>
          <w:tcPr>
            <w:tcW w:w="4286" w:type="dxa"/>
          </w:tcPr>
          <w:p w14:paraId="34900C44" w14:textId="74AF39B7" w:rsidR="002A4B80" w:rsidRPr="00AF1C8E" w:rsidRDefault="00AF1C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Giosa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D., Felice, M.R.,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Giuffrè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L.,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Aiese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Cigliano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R.,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Paytuví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-Gallart, A., Lo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Passo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C.,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Barresi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C.,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D'Alessandro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E., Huang, H.,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Criseo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G., Mora-Montes, H.M., de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Hoog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, S., Romeo, O. (2020).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Transcriptome-wide expression profiling of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yeast and mycelial forms and the establishment of the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Genome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DataBase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Microb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lastRenderedPageBreak/>
              <w:t>Genom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. 6(10):mgen000445.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10.1099/mgen.0.000445.</w:t>
            </w:r>
          </w:p>
        </w:tc>
      </w:tr>
      <w:tr w:rsidR="00AF1C8E" w:rsidRPr="007F26CB" w14:paraId="59434DD8" w14:textId="77777777" w:rsidTr="00F739A5">
        <w:tc>
          <w:tcPr>
            <w:tcW w:w="1531" w:type="dxa"/>
          </w:tcPr>
          <w:p w14:paraId="12FF1BEB" w14:textId="7E854964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Gremião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, I.D.F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011" w:type="dxa"/>
          </w:tcPr>
          <w:p w14:paraId="5FDEB6B3" w14:textId="49DBAF21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Guidelines for the prevention and control of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brasiliensis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Importance of zoonosis is highlighted. </w:t>
            </w:r>
          </w:p>
        </w:tc>
        <w:tc>
          <w:tcPr>
            <w:tcW w:w="4286" w:type="dxa"/>
          </w:tcPr>
          <w:p w14:paraId="7E13D0EF" w14:textId="1246A7B8" w:rsidR="00AF1C8E" w:rsidRPr="00AF1C8E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Gremião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I.D.F., Martins da Silva da Rocha, E., Montenegro, H., Carneiro, A.J.B., Xavier, M.O., de Farias, M.R., Monti, F.,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Mansho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W., de Macedo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Assunção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Pereira, R.H., Pereira, S.A., Lopes-Becerra, L.M. (2021) Guideline for the management of feline sporotrichosis caused by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brasiliensis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and literature revision. Braz. J.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Microbiol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. 52:107–124.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: 10.1007/s42770-020-00365-3.</w:t>
            </w:r>
          </w:p>
        </w:tc>
      </w:tr>
      <w:tr w:rsidR="00AF1C8E" w:rsidRPr="007F26CB" w14:paraId="380D1BB4" w14:textId="77777777" w:rsidTr="00F739A5">
        <w:tc>
          <w:tcPr>
            <w:tcW w:w="1531" w:type="dxa"/>
          </w:tcPr>
          <w:p w14:paraId="7B24C5C4" w14:textId="6A517D2A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Hansberg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W. </w:t>
            </w:r>
          </w:p>
        </w:tc>
        <w:tc>
          <w:tcPr>
            <w:tcW w:w="3011" w:type="dxa"/>
          </w:tcPr>
          <w:p w14:paraId="4CC3DC53" w14:textId="71FD5EC0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report addresses the role of the C-terminal domain of the large subunit catalase having chaperon activity. This report is seminal for the finding that this domain can counteract protein misfolding cause</w:t>
            </w:r>
            <w:r w:rsidR="00AF0347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by oxidative stress. </w:t>
            </w:r>
          </w:p>
        </w:tc>
        <w:tc>
          <w:tcPr>
            <w:tcW w:w="4286" w:type="dxa"/>
          </w:tcPr>
          <w:p w14:paraId="10E83A31" w14:textId="3D52FD03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Hansberg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, W., Nava-Ramírez, T., Rangel-Silva, P., Díaz-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Vilchis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, A., Mendoza-Oliva, A. (2022) Large-Size Subunit Catalases Are Chimeric Proteins: A H</w:t>
            </w:r>
            <w:r w:rsidRPr="00AF1C8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AF1C8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Selecting Domain with Catalase Activity Fused to a Hsp31-Derived Domain Conferring Protein Stability and Chaperone Activity. Antioxidants (Basel). 17;11(5):979.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: 10.3390/antiox11050979.</w:t>
            </w:r>
          </w:p>
        </w:tc>
      </w:tr>
      <w:tr w:rsidR="00AF1C8E" w:rsidRPr="007F26CB" w14:paraId="06B15BBF" w14:textId="77777777" w:rsidTr="00F739A5">
        <w:tc>
          <w:tcPr>
            <w:tcW w:w="1531" w:type="dxa"/>
          </w:tcPr>
          <w:p w14:paraId="31FDD9EF" w14:textId="62608D79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Hernández-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Oñate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M.A.</w:t>
            </w:r>
          </w:p>
        </w:tc>
        <w:tc>
          <w:tcPr>
            <w:tcW w:w="3011" w:type="dxa"/>
          </w:tcPr>
          <w:p w14:paraId="729E613D" w14:textId="40244FA6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report shows the upregulation of catalases in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Trichoderma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atroviride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upon cell physical damage, as part of the mechanism counteracting cell injury. </w:t>
            </w:r>
          </w:p>
        </w:tc>
        <w:tc>
          <w:tcPr>
            <w:tcW w:w="4286" w:type="dxa"/>
          </w:tcPr>
          <w:p w14:paraId="410562F0" w14:textId="5C3FCFE1" w:rsidR="00AF1C8E" w:rsidRPr="00AF1C8E" w:rsidRDefault="00AF1C8E">
            <w:pPr>
              <w:rPr>
                <w:rFonts w:ascii="Arial" w:hAnsi="Arial" w:cs="Arial"/>
                <w:sz w:val="24"/>
                <w:szCs w:val="24"/>
              </w:rPr>
            </w:pPr>
            <w:r w:rsidRPr="00AF1C8E">
              <w:rPr>
                <w:rFonts w:ascii="Arial" w:hAnsi="Arial" w:cs="Arial"/>
                <w:sz w:val="24"/>
                <w:szCs w:val="24"/>
              </w:rPr>
              <w:t xml:space="preserve">Hernández-Oñate, M.A., Esquivel-Naranjo, E.U., Mendoza-Mendoza, A., Stewart, A., Herrera-Estrella, A.H. (2012).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An injury-response mechanism conserved across kingdoms determines entry of the fungus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Trichoderma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atroviride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into development.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Proc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Natl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Acad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U S A. 11;109(37):14918-23.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10.1073/pnas.1209396109.</w:t>
            </w:r>
          </w:p>
        </w:tc>
      </w:tr>
      <w:tr w:rsidR="00AF1C8E" w:rsidRPr="007F26CB" w14:paraId="535D05B9" w14:textId="77777777" w:rsidTr="00F739A5">
        <w:tc>
          <w:tcPr>
            <w:tcW w:w="1531" w:type="dxa"/>
          </w:tcPr>
          <w:p w14:paraId="3AC633AA" w14:textId="5AA11E80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Holbrook, E. D. </w:t>
            </w:r>
          </w:p>
        </w:tc>
        <w:tc>
          <w:tcPr>
            <w:tcW w:w="3011" w:type="dxa"/>
          </w:tcPr>
          <w:p w14:paraId="60B8E1A3" w14:textId="530BDA76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study shows that two catalases that eliminate extra and intracellular ROS, are needed to efficiently survive immune system derived ROS. Here, both enzymes seem to be redundant. </w:t>
            </w:r>
          </w:p>
        </w:tc>
        <w:tc>
          <w:tcPr>
            <w:tcW w:w="4286" w:type="dxa"/>
          </w:tcPr>
          <w:p w14:paraId="2FB52519" w14:textId="2350CA36" w:rsidR="00AF1C8E" w:rsidRPr="00AF1C8E" w:rsidRDefault="00AF1C8E">
            <w:pPr>
              <w:rPr>
                <w:rFonts w:ascii="Arial" w:hAnsi="Arial" w:cs="Arial"/>
                <w:sz w:val="24"/>
                <w:szCs w:val="24"/>
              </w:rPr>
            </w:pP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Holbrook, E. D.,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Smolnycki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K. A.,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Youseff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B. H., and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Rappleye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, C. A. (2013). Redundant catalases detoxify phagocyte reactive oxygen and facilitate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Histoplasma capsulatum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pathogenesis.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Infect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Immun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. 81, 2334–2346.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10.1128/IAI.00173-13</w:t>
            </w:r>
          </w:p>
        </w:tc>
      </w:tr>
      <w:tr w:rsidR="00AF1C8E" w:rsidRPr="007F26CB" w14:paraId="66CDBB8E" w14:textId="77777777" w:rsidTr="00F739A5">
        <w:tc>
          <w:tcPr>
            <w:tcW w:w="1531" w:type="dxa"/>
          </w:tcPr>
          <w:p w14:paraId="3D70E123" w14:textId="1233D5BE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Huang, Z.</w:t>
            </w:r>
          </w:p>
        </w:tc>
        <w:tc>
          <w:tcPr>
            <w:tcW w:w="3011" w:type="dxa"/>
          </w:tcPr>
          <w:p w14:paraId="2E79DDA6" w14:textId="083FE1FF" w:rsidR="00AF1C8E" w:rsidRPr="002A4B80" w:rsidRDefault="00AF1C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study shows that the deletion of the catalase gene in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Sclerotinia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sclerotiorum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shows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sensitivity to hyperosmotic stress and membrane perturbing agents as well as increased sensitivity to fungicide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Qol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suggesting a broader role of catalases. </w:t>
            </w:r>
          </w:p>
        </w:tc>
        <w:tc>
          <w:tcPr>
            <w:tcW w:w="4286" w:type="dxa"/>
          </w:tcPr>
          <w:p w14:paraId="1438EC4B" w14:textId="7B9F069F" w:rsidR="00AF1C8E" w:rsidRPr="00AF1C8E" w:rsidRDefault="00AF1C8E">
            <w:pPr>
              <w:rPr>
                <w:rFonts w:ascii="Arial" w:hAnsi="Arial" w:cs="Arial"/>
                <w:sz w:val="24"/>
                <w:szCs w:val="24"/>
              </w:rPr>
            </w:pP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Huang, Z., Lu, J., Liu, R., Wang, P., Hu, Y., Fang, A., Yang, Y., Qing, L., Bi, C., Yu, Y. (2021). SsCat2 encodes a catalase that is critical for the </w:t>
            </w:r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antioxidant response,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>QoI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 fungicide sensitivity, and pathogenicity of </w:t>
            </w:r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Sclerotinia </w:t>
            </w:r>
            <w:proofErr w:type="spellStart"/>
            <w:r w:rsidRPr="00AF1C8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sclerotiorum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Fungal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 xml:space="preserve"> Genet Biol. 149:103530. </w:t>
            </w:r>
            <w:proofErr w:type="spellStart"/>
            <w:r w:rsidRPr="00AF1C8E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AF1C8E">
              <w:rPr>
                <w:rFonts w:ascii="Arial" w:hAnsi="Arial" w:cs="Arial"/>
                <w:sz w:val="24"/>
                <w:szCs w:val="24"/>
              </w:rPr>
              <w:t>: 10.1016/j.fgb.2021.103530.</w:t>
            </w:r>
          </w:p>
        </w:tc>
      </w:tr>
      <w:tr w:rsidR="00AF1C8E" w:rsidRPr="00EB58AA" w14:paraId="4CC53247" w14:textId="77777777" w:rsidTr="00F739A5">
        <w:tc>
          <w:tcPr>
            <w:tcW w:w="1531" w:type="dxa"/>
          </w:tcPr>
          <w:p w14:paraId="43A02A4F" w14:textId="488BE2EF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Johnson, C. H. </w:t>
            </w:r>
          </w:p>
        </w:tc>
        <w:tc>
          <w:tcPr>
            <w:tcW w:w="3011" w:type="dxa"/>
          </w:tcPr>
          <w:p w14:paraId="7283E845" w14:textId="303B95C8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Here, authors shown that the two catalases in </w:t>
            </w:r>
            <w:r w:rsidRPr="00E746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Histoplasma capsulatum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are expressed in all cell morphologies and during oxidative stress but not by carbon source. </w:t>
            </w:r>
          </w:p>
        </w:tc>
        <w:tc>
          <w:tcPr>
            <w:tcW w:w="4286" w:type="dxa"/>
          </w:tcPr>
          <w:p w14:paraId="49729B86" w14:textId="28472096" w:rsidR="00AF1C8E" w:rsidRPr="00E7461B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Johnson, C. H., Klotz, M. G., York, J. L.,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Kruft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V., and McEwen, J. E. (2002). Redundancy, phylogeny and differential expression of </w:t>
            </w:r>
            <w:r w:rsidRPr="00E746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Histoplasma capsulatum</w:t>
            </w:r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 catalases. Microbiology 148, 1129–1142.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: 10.1099/00221287-148-4-1129.</w:t>
            </w:r>
          </w:p>
        </w:tc>
      </w:tr>
      <w:tr w:rsidR="00E7461B" w:rsidRPr="00E7461B" w14:paraId="0D614456" w14:textId="77777777" w:rsidTr="00F739A5">
        <w:tc>
          <w:tcPr>
            <w:tcW w:w="1531" w:type="dxa"/>
          </w:tcPr>
          <w:p w14:paraId="30E33916" w14:textId="7A6B0B5D" w:rsidR="00926982" w:rsidRPr="00E7461B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Kamlárová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, A.</w:t>
            </w:r>
          </w:p>
        </w:tc>
        <w:tc>
          <w:tcPr>
            <w:tcW w:w="3011" w:type="dxa"/>
          </w:tcPr>
          <w:p w14:paraId="1811DF7B" w14:textId="680A203F" w:rsidR="00926982" w:rsidRPr="00E7461B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report discusses the evolution of a fungal catalase with bacterial origin in the thermoresistant fungus </w:t>
            </w:r>
            <w:r w:rsidRPr="00E746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Chaetomium </w:t>
            </w:r>
            <w:proofErr w:type="spellStart"/>
            <w:r w:rsidRPr="00E746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thermophilum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286" w:type="dxa"/>
          </w:tcPr>
          <w:p w14:paraId="00B72709" w14:textId="7885C133" w:rsidR="00926982" w:rsidRPr="00E7461B" w:rsidRDefault="00E746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Kamlárová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Chovanová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K.,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Zámocký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M. (2018). Peculiar genes for thermostable bifunctional catalase-peroxidases in </w:t>
            </w:r>
            <w:r w:rsidRPr="00E746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Chaetomium </w:t>
            </w:r>
            <w:proofErr w:type="spellStart"/>
            <w:r w:rsidRPr="00E746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thermophilum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their molecular evolution. </w:t>
            </w:r>
            <w:r w:rsidRPr="00E7461B">
              <w:rPr>
                <w:rFonts w:ascii="Arial" w:hAnsi="Arial" w:cs="Arial"/>
                <w:sz w:val="24"/>
                <w:szCs w:val="24"/>
              </w:rPr>
              <w:t xml:space="preserve">Gene. 5;666:83-91.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</w:rPr>
              <w:t>: 10.1016/j.gene.2018.05.007.</w:t>
            </w:r>
          </w:p>
        </w:tc>
      </w:tr>
      <w:tr w:rsidR="00AF1C8E" w:rsidRPr="007F26CB" w14:paraId="2BFEA309" w14:textId="77777777" w:rsidTr="00F739A5">
        <w:tc>
          <w:tcPr>
            <w:tcW w:w="1531" w:type="dxa"/>
          </w:tcPr>
          <w:p w14:paraId="3267BD8D" w14:textId="30627FAF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Karakus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Y.Y.</w:t>
            </w:r>
          </w:p>
        </w:tc>
        <w:tc>
          <w:tcPr>
            <w:tcW w:w="3011" w:type="dxa"/>
          </w:tcPr>
          <w:p w14:paraId="50DF8E68" w14:textId="41F82269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Seminal review on catalases from the functional and structural point of view. </w:t>
            </w:r>
          </w:p>
        </w:tc>
        <w:tc>
          <w:tcPr>
            <w:tcW w:w="4286" w:type="dxa"/>
          </w:tcPr>
          <w:p w14:paraId="2B6710DC" w14:textId="2C40AAB6" w:rsidR="00AF1C8E" w:rsidRPr="00E7461B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Karakus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Y. Y. (2020). Typical Catalases: Function and Structure. In: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Bagatini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M. D., editor. Glutathione System and Oxidative Stress in Health and Disease. London: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IntechOpen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AF1C8E" w:rsidRPr="007F26CB" w14:paraId="2E24853C" w14:textId="77777777" w:rsidTr="00F739A5">
        <w:tc>
          <w:tcPr>
            <w:tcW w:w="1531" w:type="dxa"/>
          </w:tcPr>
          <w:p w14:paraId="5A5739D1" w14:textId="6DF1788C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Kim, S.Y.</w:t>
            </w:r>
          </w:p>
        </w:tc>
        <w:tc>
          <w:tcPr>
            <w:tcW w:w="3011" w:type="dxa"/>
          </w:tcPr>
          <w:p w14:paraId="5F51E1D0" w14:textId="7CFCF9A1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this study, authors demonstrate the deleterious effect on SOD and catalases when exposed to </w:t>
            </w:r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methylene blue or rose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Bengal followed by light activation. This may </w:t>
            </w:r>
            <w:r w:rsidR="00EB58AA">
              <w:rPr>
                <w:rFonts w:ascii="Arial" w:hAnsi="Arial" w:cs="Arial"/>
                <w:sz w:val="24"/>
                <w:szCs w:val="24"/>
                <w:lang w:val="en-US"/>
              </w:rPr>
              <w:t>provide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alternatives for superficial fungal control. </w:t>
            </w:r>
          </w:p>
        </w:tc>
        <w:tc>
          <w:tcPr>
            <w:tcW w:w="4286" w:type="dxa"/>
          </w:tcPr>
          <w:p w14:paraId="6350CF10" w14:textId="04CFD81F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Kim, S.Y., Kwon, O.J., Park, J.W. (2001). Inactivation of catalase and superoxide dismutase by singlet oxygen derived from photoactivated dye.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Biochimie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. 83(5):437-44.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: 10.1016/s0300-9084(01)01258-5.</w:t>
            </w:r>
          </w:p>
        </w:tc>
      </w:tr>
      <w:tr w:rsidR="00AF1C8E" w:rsidRPr="007F26CB" w14:paraId="3E3248CC" w14:textId="77777777" w:rsidTr="00F739A5">
        <w:tc>
          <w:tcPr>
            <w:tcW w:w="1531" w:type="dxa"/>
          </w:tcPr>
          <w:p w14:paraId="73AFE4B5" w14:textId="510D7966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Krych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, J.</w:t>
            </w:r>
          </w:p>
        </w:tc>
        <w:tc>
          <w:tcPr>
            <w:tcW w:w="3011" w:type="dxa"/>
          </w:tcPr>
          <w:p w14:paraId="3DE5F9A7" w14:textId="783E9B06" w:rsidR="00AF1C8E" w:rsidRPr="002A4B80" w:rsidRDefault="00E746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Authors show inhibition of catalase by flavonoids, suggesting additional resources for fungi control. </w:t>
            </w:r>
          </w:p>
        </w:tc>
        <w:tc>
          <w:tcPr>
            <w:tcW w:w="4286" w:type="dxa"/>
          </w:tcPr>
          <w:p w14:paraId="3AA745EC" w14:textId="2B7AE9ED" w:rsidR="00AF1C8E" w:rsidRPr="00E7461B" w:rsidRDefault="00E746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Krych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J.,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>Gebicka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  <w:lang w:val="en-US"/>
              </w:rPr>
              <w:t xml:space="preserve">, L. (2013). Catalase is inhibited by flavonoids.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</w:rPr>
              <w:t xml:space="preserve"> J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</w:rPr>
              <w:t>Biol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</w:rPr>
              <w:t>Macromol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</w:rPr>
              <w:t xml:space="preserve">. 58:148-53. </w:t>
            </w:r>
            <w:proofErr w:type="spellStart"/>
            <w:r w:rsidRPr="00E7461B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E7461B">
              <w:rPr>
                <w:rFonts w:ascii="Arial" w:hAnsi="Arial" w:cs="Arial"/>
                <w:sz w:val="24"/>
                <w:szCs w:val="24"/>
              </w:rPr>
              <w:t>: 10.1016/j.ijbiomac.2013.03.070.</w:t>
            </w:r>
          </w:p>
        </w:tc>
      </w:tr>
      <w:tr w:rsidR="00E7461B" w:rsidRPr="007F26CB" w14:paraId="796DABAE" w14:textId="77777777" w:rsidTr="00F739A5">
        <w:tc>
          <w:tcPr>
            <w:tcW w:w="1531" w:type="dxa"/>
          </w:tcPr>
          <w:p w14:paraId="6B8CC94A" w14:textId="14151ECF" w:rsidR="00E7461B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Kwok, L.Y.</w:t>
            </w:r>
          </w:p>
        </w:tc>
        <w:tc>
          <w:tcPr>
            <w:tcW w:w="3011" w:type="dxa"/>
          </w:tcPr>
          <w:p w14:paraId="1313181E" w14:textId="6A0D3462" w:rsidR="00E7461B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Authors showed that in the parasite </w:t>
            </w:r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Toxoplasma gondii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only one catalase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is present and contributes to virulence. </w:t>
            </w:r>
          </w:p>
        </w:tc>
        <w:tc>
          <w:tcPr>
            <w:tcW w:w="4286" w:type="dxa"/>
          </w:tcPr>
          <w:p w14:paraId="5E90F0AB" w14:textId="6EBDE780" w:rsidR="00E7461B" w:rsidRPr="00D36975" w:rsidRDefault="00D36975">
            <w:pPr>
              <w:rPr>
                <w:rFonts w:ascii="Arial" w:hAnsi="Arial" w:cs="Arial"/>
                <w:sz w:val="24"/>
                <w:szCs w:val="24"/>
              </w:rPr>
            </w:pP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Kwok, L.Y., Schlüter, D., Clayton, C., Soldati, D. (2004). The antioxidant systems in </w:t>
            </w:r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Toxoplasma gondii</w:t>
            </w: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the role of cytosolic catalase in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defence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 against oxidative injury. </w:t>
            </w:r>
            <w:r w:rsidRPr="00D36975">
              <w:rPr>
                <w:rFonts w:ascii="Arial" w:hAnsi="Arial" w:cs="Arial"/>
                <w:sz w:val="24"/>
                <w:szCs w:val="24"/>
              </w:rPr>
              <w:t xml:space="preserve">Mol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Microbiol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>. 51:47–61. doi.org/10.1046/j.1365-2958.2003.03823.x.</w:t>
            </w:r>
          </w:p>
        </w:tc>
      </w:tr>
      <w:tr w:rsidR="00E7461B" w:rsidRPr="007F26CB" w14:paraId="6A498A71" w14:textId="77777777" w:rsidTr="00F739A5">
        <w:tc>
          <w:tcPr>
            <w:tcW w:w="1531" w:type="dxa"/>
          </w:tcPr>
          <w:p w14:paraId="773BDA15" w14:textId="07C1D7C2" w:rsidR="00E7461B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Li, G.</w:t>
            </w:r>
          </w:p>
        </w:tc>
        <w:tc>
          <w:tcPr>
            <w:tcW w:w="3011" w:type="dxa"/>
          </w:tcPr>
          <w:p w14:paraId="4E2A45B3" w14:textId="78FCC2C7" w:rsidR="00E7461B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Here, authors demonstrate also that appressoria formation is linked to catalase expression in </w:t>
            </w:r>
            <w:proofErr w:type="spellStart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Metharizium</w:t>
            </w:r>
            <w:proofErr w:type="spellEnd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acridum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and, is needed for virulence. The cuticle and host defense systems posse a threat to this organism, therefore, the catalase plays a central role. </w:t>
            </w:r>
          </w:p>
        </w:tc>
        <w:tc>
          <w:tcPr>
            <w:tcW w:w="4286" w:type="dxa"/>
          </w:tcPr>
          <w:p w14:paraId="46C0B76C" w14:textId="38D0B82C" w:rsidR="00E7461B" w:rsidRPr="00D36975" w:rsidRDefault="00D36975">
            <w:pPr>
              <w:rPr>
                <w:rFonts w:ascii="Arial" w:hAnsi="Arial" w:cs="Arial"/>
                <w:sz w:val="24"/>
                <w:szCs w:val="24"/>
              </w:rPr>
            </w:pP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Li, G., Fan, A., Peng, G.,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Keyhani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, N.O., Xin, J., Cao, Y., Xia, Y. (2017). A bifunctional catalase-peroxidase, MakatG1, contributes to the virulence of </w:t>
            </w:r>
            <w:proofErr w:type="spellStart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Metarhizium</w:t>
            </w:r>
            <w:proofErr w:type="spellEnd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acridum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 by overcoming oxidative stress on the host insect cuticle.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Environ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Microbiol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. 19(10):4365-4378.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>: 10.1111/1462-2920.13932.</w:t>
            </w:r>
          </w:p>
        </w:tc>
      </w:tr>
      <w:tr w:rsidR="00E7461B" w:rsidRPr="00EB58AA" w14:paraId="6C9ECBCC" w14:textId="77777777" w:rsidTr="00F739A5">
        <w:tc>
          <w:tcPr>
            <w:tcW w:w="1531" w:type="dxa"/>
          </w:tcPr>
          <w:p w14:paraId="5B34C13A" w14:textId="68AC1460" w:rsidR="00E7461B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Ma, X.</w:t>
            </w:r>
          </w:p>
        </w:tc>
        <w:tc>
          <w:tcPr>
            <w:tcW w:w="3011" w:type="dxa"/>
          </w:tcPr>
          <w:p w14:paraId="11E5C356" w14:textId="1A15979E" w:rsidR="00E7461B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seminal review on the activators and inhibitors of antioxidant enzymes. </w:t>
            </w:r>
          </w:p>
        </w:tc>
        <w:tc>
          <w:tcPr>
            <w:tcW w:w="4286" w:type="dxa"/>
          </w:tcPr>
          <w:p w14:paraId="368377FC" w14:textId="4020CE68" w:rsidR="00E7461B" w:rsidRPr="00D36975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Ma, X., Deng, D., Chen, W. (2017). Inhibitors and Activators of SOD, GSH</w:t>
            </w:r>
            <w:r w:rsidRPr="00D36975">
              <w:rPr>
                <w:rFonts w:ascii="Cambria Math" w:hAnsi="Cambria Math" w:cs="Cambria Math"/>
                <w:sz w:val="24"/>
                <w:szCs w:val="24"/>
                <w:lang w:val="en-US"/>
              </w:rPr>
              <w:t>‐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Px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, and CAT. In: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Senturk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, M. , editor. Enzyme Inhibitors and Activators [Internet]. London: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IntechOpen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: 10.5772/65936.</w:t>
            </w:r>
          </w:p>
        </w:tc>
      </w:tr>
      <w:tr w:rsidR="00D36975" w:rsidRPr="007F26CB" w14:paraId="0A25C3BF" w14:textId="77777777" w:rsidTr="00F739A5">
        <w:tc>
          <w:tcPr>
            <w:tcW w:w="1531" w:type="dxa"/>
          </w:tcPr>
          <w:p w14:paraId="4C65F4AB" w14:textId="54C28068" w:rsidR="00D36975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Michán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S.</w:t>
            </w:r>
          </w:p>
        </w:tc>
        <w:tc>
          <w:tcPr>
            <w:tcW w:w="3011" w:type="dxa"/>
          </w:tcPr>
          <w:p w14:paraId="7E682CA4" w14:textId="0EFEDD76" w:rsidR="00D36975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demonstration that ROS and development are tightly linked in </w:t>
            </w:r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Neurospora </w:t>
            </w:r>
            <w:proofErr w:type="spellStart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crassa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86" w:type="dxa"/>
          </w:tcPr>
          <w:p w14:paraId="7D859EB0" w14:textId="473DB69E" w:rsidR="00D36975" w:rsidRPr="002A4B80" w:rsidRDefault="00D36975" w:rsidP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Michán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, S.,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Lledías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, F.,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Hansberg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, W. (2003). </w:t>
            </w: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Asexual development is increased in </w:t>
            </w:r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Neurospora </w:t>
            </w:r>
            <w:proofErr w:type="spellStart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crassa</w:t>
            </w:r>
            <w:proofErr w:type="spellEnd"/>
            <w:r w:rsidRPr="00D3697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cat-3</w:t>
            </w: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-null mutant strains.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Eukaryot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 Cell. 2(4):798-808.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doi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>: 10.1128/EC.2.4.798-808.2003.</w:t>
            </w:r>
          </w:p>
        </w:tc>
      </w:tr>
      <w:tr w:rsidR="00D36975" w:rsidRPr="007F26CB" w14:paraId="499A08A4" w14:textId="77777777" w:rsidTr="00F739A5">
        <w:tc>
          <w:tcPr>
            <w:tcW w:w="1531" w:type="dxa"/>
          </w:tcPr>
          <w:p w14:paraId="0194F290" w14:textId="511D4D26" w:rsidR="00D36975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Nava-Ramírez, T.</w:t>
            </w:r>
          </w:p>
        </w:tc>
        <w:tc>
          <w:tcPr>
            <w:tcW w:w="3011" w:type="dxa"/>
          </w:tcPr>
          <w:p w14:paraId="4A2A2E91" w14:textId="19CB85F8" w:rsidR="00D36975" w:rsidRPr="002A4B80" w:rsidRDefault="00D369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Further evidence of the C-terminal domain chaperon activity in large subunit catalases using unfolded proteins by urea, hydrogen peroxide and heat as models. </w:t>
            </w:r>
          </w:p>
        </w:tc>
        <w:tc>
          <w:tcPr>
            <w:tcW w:w="4286" w:type="dxa"/>
          </w:tcPr>
          <w:p w14:paraId="4F49499E" w14:textId="15AEDEC7" w:rsidR="00D36975" w:rsidRPr="00D36975" w:rsidRDefault="00D36975">
            <w:pPr>
              <w:rPr>
                <w:rFonts w:ascii="Arial" w:hAnsi="Arial" w:cs="Arial"/>
                <w:sz w:val="24"/>
                <w:szCs w:val="24"/>
              </w:rPr>
            </w:pPr>
            <w:r w:rsidRPr="00D36975">
              <w:rPr>
                <w:rFonts w:ascii="Arial" w:hAnsi="Arial" w:cs="Arial"/>
                <w:sz w:val="24"/>
                <w:szCs w:val="24"/>
              </w:rPr>
              <w:t xml:space="preserve">Nava-Ramírez, T.,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Hansberg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, W. (2020). </w:t>
            </w:r>
            <w:r w:rsidRPr="00D36975">
              <w:rPr>
                <w:rFonts w:ascii="Arial" w:hAnsi="Arial" w:cs="Arial"/>
                <w:sz w:val="24"/>
                <w:szCs w:val="24"/>
                <w:lang w:val="en-US"/>
              </w:rPr>
              <w:t xml:space="preserve">Chaperone activity of large-size subunit catalases. </w:t>
            </w:r>
            <w:r w:rsidRPr="00D36975"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Radic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Biol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 xml:space="preserve">. 20;156:99-106. </w:t>
            </w:r>
            <w:proofErr w:type="spellStart"/>
            <w:r w:rsidRPr="00D36975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D36975">
              <w:rPr>
                <w:rFonts w:ascii="Arial" w:hAnsi="Arial" w:cs="Arial"/>
                <w:sz w:val="24"/>
                <w:szCs w:val="24"/>
              </w:rPr>
              <w:t>: 10.1016/j.freeradbiomed.2020.05.020.</w:t>
            </w:r>
          </w:p>
        </w:tc>
      </w:tr>
      <w:tr w:rsidR="00D36975" w:rsidRPr="007F26CB" w14:paraId="51FC75CA" w14:textId="77777777" w:rsidTr="00F739A5">
        <w:tc>
          <w:tcPr>
            <w:tcW w:w="1531" w:type="dxa"/>
          </w:tcPr>
          <w:p w14:paraId="354A580A" w14:textId="139847B3" w:rsidR="00D36975" w:rsidRPr="002A4B80" w:rsidRDefault="003D21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Ortega, I. </w:t>
            </w:r>
          </w:p>
        </w:tc>
        <w:tc>
          <w:tcPr>
            <w:tcW w:w="3011" w:type="dxa"/>
          </w:tcPr>
          <w:p w14:paraId="00205705" w14:textId="3E6FE6F3" w:rsidR="00D36975" w:rsidRPr="002A4B80" w:rsidRDefault="003D21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Bioinformatic and functional analysis demonstrating the elements found in the signal transduction pathway in </w:t>
            </w:r>
            <w:r w:rsidRPr="003D21B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D21B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involved in peroxide sensing. </w:t>
            </w:r>
          </w:p>
        </w:tc>
        <w:tc>
          <w:tcPr>
            <w:tcW w:w="4286" w:type="dxa"/>
          </w:tcPr>
          <w:p w14:paraId="73B7170E" w14:textId="16DFF6FA" w:rsidR="00D36975" w:rsidRPr="003D21BC" w:rsidRDefault="003D21BC">
            <w:pPr>
              <w:rPr>
                <w:rFonts w:ascii="Arial" w:hAnsi="Arial" w:cs="Arial"/>
                <w:sz w:val="24"/>
                <w:szCs w:val="24"/>
              </w:rPr>
            </w:pPr>
            <w:r w:rsidRPr="003D21BC">
              <w:rPr>
                <w:rFonts w:ascii="Arial" w:hAnsi="Arial" w:cs="Arial"/>
                <w:sz w:val="24"/>
                <w:szCs w:val="24"/>
              </w:rPr>
              <w:t xml:space="preserve">Ortega, I., Soares Felipe, M.S., Vasconcelos, A.T., </w:t>
            </w:r>
            <w:proofErr w:type="spellStart"/>
            <w:r w:rsidRPr="003D21BC">
              <w:rPr>
                <w:rFonts w:ascii="Arial" w:hAnsi="Arial" w:cs="Arial"/>
                <w:sz w:val="24"/>
                <w:szCs w:val="24"/>
              </w:rPr>
              <w:t>Lopes</w:t>
            </w:r>
            <w:proofErr w:type="spellEnd"/>
            <w:r w:rsidRPr="003D21BC">
              <w:rPr>
                <w:rFonts w:ascii="Arial" w:hAnsi="Arial" w:cs="Arial"/>
                <w:sz w:val="24"/>
                <w:szCs w:val="24"/>
              </w:rPr>
              <w:t xml:space="preserve"> Bezerra, L.M., Da Silva Dantas, A. (2015). </w:t>
            </w:r>
            <w:r w:rsidRPr="003D21BC">
              <w:rPr>
                <w:rFonts w:ascii="Arial" w:hAnsi="Arial" w:cs="Arial"/>
                <w:sz w:val="24"/>
                <w:szCs w:val="24"/>
                <w:lang w:val="en-US"/>
              </w:rPr>
              <w:t xml:space="preserve">Peroxide sensing and signaling in the </w:t>
            </w:r>
            <w:proofErr w:type="spellStart"/>
            <w:r w:rsidRPr="003D21B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3D21B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1B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 w:rsidRPr="003D21BC">
              <w:rPr>
                <w:rFonts w:ascii="Arial" w:hAnsi="Arial" w:cs="Arial"/>
                <w:sz w:val="24"/>
                <w:szCs w:val="24"/>
                <w:lang w:val="en-US"/>
              </w:rPr>
              <w:t xml:space="preserve"> complex: an in silico analysis to uncover putative mechanisms regulating the Hog1 and AP-1 like signaling pathways. </w:t>
            </w:r>
            <w:proofErr w:type="spellStart"/>
            <w:r w:rsidRPr="003D21BC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3D21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1BC">
              <w:rPr>
                <w:rFonts w:ascii="Arial" w:hAnsi="Arial" w:cs="Arial"/>
                <w:sz w:val="24"/>
                <w:szCs w:val="24"/>
              </w:rPr>
              <w:t>Mycol</w:t>
            </w:r>
            <w:proofErr w:type="spellEnd"/>
            <w:r w:rsidRPr="003D21BC">
              <w:rPr>
                <w:rFonts w:ascii="Arial" w:hAnsi="Arial" w:cs="Arial"/>
                <w:sz w:val="24"/>
                <w:szCs w:val="24"/>
              </w:rPr>
              <w:t xml:space="preserve">. 53(1):51-9. </w:t>
            </w:r>
            <w:proofErr w:type="spellStart"/>
            <w:r w:rsidRPr="003D21BC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3D21BC">
              <w:rPr>
                <w:rFonts w:ascii="Arial" w:hAnsi="Arial" w:cs="Arial"/>
                <w:sz w:val="24"/>
                <w:szCs w:val="24"/>
              </w:rPr>
              <w:t>: 10.1093/</w:t>
            </w:r>
            <w:proofErr w:type="spellStart"/>
            <w:r w:rsidRPr="003D21BC">
              <w:rPr>
                <w:rFonts w:ascii="Arial" w:hAnsi="Arial" w:cs="Arial"/>
                <w:sz w:val="24"/>
                <w:szCs w:val="24"/>
              </w:rPr>
              <w:t>mmy</w:t>
            </w:r>
            <w:proofErr w:type="spellEnd"/>
            <w:r w:rsidRPr="003D21BC">
              <w:rPr>
                <w:rFonts w:ascii="Arial" w:hAnsi="Arial" w:cs="Arial"/>
                <w:sz w:val="24"/>
                <w:szCs w:val="24"/>
              </w:rPr>
              <w:t>/myu069.</w:t>
            </w:r>
          </w:p>
        </w:tc>
      </w:tr>
      <w:tr w:rsidR="00D36975" w:rsidRPr="007F26CB" w14:paraId="1B35D27F" w14:textId="77777777" w:rsidTr="00F739A5">
        <w:tc>
          <w:tcPr>
            <w:tcW w:w="1531" w:type="dxa"/>
          </w:tcPr>
          <w:p w14:paraId="3FFEAA6D" w14:textId="099077C6" w:rsidR="00D36975" w:rsidRPr="002A4B80" w:rsidRDefault="009815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Passardi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F. </w:t>
            </w:r>
          </w:p>
        </w:tc>
        <w:tc>
          <w:tcPr>
            <w:tcW w:w="3011" w:type="dxa"/>
          </w:tcPr>
          <w:p w14:paraId="27DCE8BF" w14:textId="7F2B1C6A" w:rsidR="00D36975" w:rsidRPr="002A4B80" w:rsidRDefault="009815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report shows the intricated evolutionary pattern of catalase-peroxidase genes in bacteria and fungi. The complex transfer suggest</w:t>
            </w:r>
            <w:r w:rsidR="00AF034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that these genes are evolutionary complex. </w:t>
            </w:r>
          </w:p>
        </w:tc>
        <w:tc>
          <w:tcPr>
            <w:tcW w:w="4286" w:type="dxa"/>
          </w:tcPr>
          <w:p w14:paraId="60D9B65C" w14:textId="1AD078D0" w:rsidR="00D36975" w:rsidRPr="00981549" w:rsidRDefault="00981549" w:rsidP="009815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>Passardi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 xml:space="preserve">, F., </w:t>
            </w:r>
            <w:proofErr w:type="spellStart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>Zamocky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>Favet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 xml:space="preserve">, J., </w:t>
            </w:r>
            <w:proofErr w:type="spellStart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>Jakopitsch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 xml:space="preserve">, C., </w:t>
            </w:r>
            <w:proofErr w:type="spellStart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>Penel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 xml:space="preserve">, C., </w:t>
            </w:r>
            <w:proofErr w:type="spellStart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>Obinger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 xml:space="preserve">, C., </w:t>
            </w:r>
            <w:proofErr w:type="spellStart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>Dunand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  <w:lang w:val="en-US"/>
              </w:rPr>
              <w:t xml:space="preserve">, C. (2007). Phylogenetic distribution of catalase-peroxidases: are there patches of order in chaos? </w:t>
            </w:r>
            <w:r w:rsidRPr="00981549">
              <w:rPr>
                <w:rFonts w:ascii="Arial" w:hAnsi="Arial" w:cs="Arial"/>
                <w:sz w:val="24"/>
                <w:szCs w:val="24"/>
              </w:rPr>
              <w:t xml:space="preserve">Gene. 1;397(1-2):101-13. </w:t>
            </w:r>
            <w:proofErr w:type="spellStart"/>
            <w:r w:rsidRPr="00981549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981549">
              <w:rPr>
                <w:rFonts w:ascii="Arial" w:hAnsi="Arial" w:cs="Arial"/>
                <w:sz w:val="24"/>
                <w:szCs w:val="24"/>
              </w:rPr>
              <w:t>: 10.1016/j.gene.2007.04.016.</w:t>
            </w:r>
          </w:p>
        </w:tc>
      </w:tr>
      <w:tr w:rsidR="00D36975" w:rsidRPr="007F26CB" w14:paraId="7E5D6A35" w14:textId="77777777" w:rsidTr="00F739A5">
        <w:tc>
          <w:tcPr>
            <w:tcW w:w="1531" w:type="dxa"/>
          </w:tcPr>
          <w:p w14:paraId="7AD91B43" w14:textId="1BDF8DEB" w:rsidR="00D36975" w:rsidRPr="002A4B80" w:rsidRDefault="005C2D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Pradhan, A. </w:t>
            </w:r>
          </w:p>
        </w:tc>
        <w:tc>
          <w:tcPr>
            <w:tcW w:w="3011" w:type="dxa"/>
          </w:tcPr>
          <w:p w14:paraId="75F7E454" w14:textId="23F94E5A" w:rsidR="00D36975" w:rsidRPr="002A4B80" w:rsidRDefault="005C2D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study discusses the role of catalase and the iron acquisition as a double edge sword between surviving ROS and iron scavenging mechanisms. </w:t>
            </w:r>
          </w:p>
        </w:tc>
        <w:tc>
          <w:tcPr>
            <w:tcW w:w="4286" w:type="dxa"/>
          </w:tcPr>
          <w:p w14:paraId="41FF689F" w14:textId="70ED053B" w:rsidR="00D36975" w:rsidRPr="005C2D32" w:rsidRDefault="005C2D32">
            <w:pPr>
              <w:rPr>
                <w:rFonts w:ascii="Arial" w:hAnsi="Arial" w:cs="Arial"/>
                <w:sz w:val="24"/>
                <w:szCs w:val="24"/>
              </w:rPr>
            </w:pPr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Pradhan, A., Herrero-de-Dios, C., Belmonte, R., Budge, S., Lopez Garcia, A.,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>Kolmogorova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, A., Lee, K.K., Martin, B.D., Ribeiro, A.,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>Bebes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>Yuecel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, R.,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>Gow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, N.A.R., Munro, C.A., MacCallum, D.M., Quinn, J., Brown, A.J.P. (2017). Elevated catalase expression in a fungal pathogen is a double-edged sword of iron.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PLoS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Pathog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 xml:space="preserve">. 22;13(5):e1006405.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>: 10.1371/journal.ppat.1006405.</w:t>
            </w:r>
          </w:p>
        </w:tc>
      </w:tr>
      <w:tr w:rsidR="00D36975" w:rsidRPr="007F26CB" w14:paraId="423F3B1E" w14:textId="77777777" w:rsidTr="00F739A5">
        <w:tc>
          <w:tcPr>
            <w:tcW w:w="1531" w:type="dxa"/>
          </w:tcPr>
          <w:p w14:paraId="60C07A46" w14:textId="3D6E7D67" w:rsidR="00D36975" w:rsidRPr="002A4B80" w:rsidRDefault="005C2D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Román-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Casiano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K.M. </w:t>
            </w:r>
          </w:p>
        </w:tc>
        <w:tc>
          <w:tcPr>
            <w:tcW w:w="3011" w:type="dxa"/>
          </w:tcPr>
          <w:p w14:paraId="531FB58E" w14:textId="63C14D79" w:rsidR="00D36975" w:rsidRPr="002A4B80" w:rsidRDefault="005C2D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One of the few studies addressing the expression and enzymatic activity of catalases in </w:t>
            </w:r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Here, the differential expression and activity </w:t>
            </w:r>
            <w:r w:rsidR="00AF0347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shown. </w:t>
            </w:r>
          </w:p>
        </w:tc>
        <w:tc>
          <w:tcPr>
            <w:tcW w:w="4286" w:type="dxa"/>
          </w:tcPr>
          <w:p w14:paraId="0284F888" w14:textId="7CA47B03" w:rsidR="00D36975" w:rsidRPr="005C2D32" w:rsidRDefault="005C2D32">
            <w:pPr>
              <w:rPr>
                <w:rFonts w:ascii="Arial" w:hAnsi="Arial" w:cs="Arial"/>
                <w:sz w:val="24"/>
                <w:szCs w:val="24"/>
              </w:rPr>
            </w:pPr>
            <w:r w:rsidRPr="005C2D32">
              <w:rPr>
                <w:rFonts w:ascii="Arial" w:hAnsi="Arial" w:cs="Arial"/>
                <w:sz w:val="24"/>
                <w:szCs w:val="24"/>
              </w:rPr>
              <w:t xml:space="preserve">Román-Casiano, K.M., Martínez-Rocha, A.L., Romo-Lozano, Y., López-Rodríguez, A., Cervantes-García, D., Sierra-Campos, E., Cuéllar-Cruz, M., Ruiz-Baca, E. (2021). </w:t>
            </w:r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Enzyme activity and expression of catalases in response to oxidative stress in </w:t>
            </w:r>
            <w:proofErr w:type="spellStart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Microb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Pathog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 xml:space="preserve">. 161(Pt B):105270.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>: 10.1016/j.micpath.2021.105270.</w:t>
            </w:r>
          </w:p>
        </w:tc>
      </w:tr>
      <w:tr w:rsidR="003D21BC" w:rsidRPr="007F26CB" w14:paraId="2F905602" w14:textId="77777777" w:rsidTr="00F739A5">
        <w:tc>
          <w:tcPr>
            <w:tcW w:w="1531" w:type="dxa"/>
          </w:tcPr>
          <w:p w14:paraId="3842C7C6" w14:textId="2E2F3F2D" w:rsidR="003D21BC" w:rsidRPr="002A4B80" w:rsidRDefault="005C2D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Saucedo-Campa, D.O.</w:t>
            </w:r>
          </w:p>
        </w:tc>
        <w:tc>
          <w:tcPr>
            <w:tcW w:w="3011" w:type="dxa"/>
          </w:tcPr>
          <w:p w14:paraId="74F6B9D6" w14:textId="24173EB7" w:rsidR="003D21BC" w:rsidRPr="002A4B80" w:rsidRDefault="005C2D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Proteomic analysis showing novel moonlight proteins </w:t>
            </w:r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>such as the Hsp70-5, lipase 1 (Lip1), enolase (Eno), and pyruvate kinase (Pk)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as part of the induced proteins in </w:t>
            </w:r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exposed to hydrogen peroxide. </w:t>
            </w:r>
          </w:p>
        </w:tc>
        <w:tc>
          <w:tcPr>
            <w:tcW w:w="4286" w:type="dxa"/>
          </w:tcPr>
          <w:p w14:paraId="38444ED0" w14:textId="3F07C846" w:rsidR="003D21BC" w:rsidRPr="005C2D32" w:rsidRDefault="005C2D32">
            <w:pPr>
              <w:rPr>
                <w:rFonts w:ascii="Arial" w:hAnsi="Arial" w:cs="Arial"/>
                <w:sz w:val="24"/>
                <w:szCs w:val="24"/>
              </w:rPr>
            </w:pPr>
            <w:r w:rsidRPr="005C2D32">
              <w:rPr>
                <w:rFonts w:ascii="Arial" w:hAnsi="Arial" w:cs="Arial"/>
                <w:sz w:val="24"/>
                <w:szCs w:val="24"/>
              </w:rPr>
              <w:t xml:space="preserve">Saucedo-Campa, D.O., Martínez-Rocha, A.L., Ríos-Castro, E., Alba-Fierro, C.A., Escobedo-Bretado, M.A., Cuéllar-Cruz, M., Ruiz-Baca, E. (2022). </w:t>
            </w:r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Proteomic Analysis of </w:t>
            </w:r>
            <w:proofErr w:type="spellStart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Sporothrix</w:t>
            </w:r>
            <w:proofErr w:type="spellEnd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D3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schenckii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  <w:lang w:val="en-US"/>
              </w:rPr>
              <w:t xml:space="preserve"> Exposed to Oxidative Stress Induced by Hydrogen Peroxide.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Pathogens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 xml:space="preserve">. 10;11(2):230. </w:t>
            </w:r>
            <w:proofErr w:type="spellStart"/>
            <w:r w:rsidRPr="005C2D32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5C2D32">
              <w:rPr>
                <w:rFonts w:ascii="Arial" w:hAnsi="Arial" w:cs="Arial"/>
                <w:sz w:val="24"/>
                <w:szCs w:val="24"/>
              </w:rPr>
              <w:t>: 10.3390/pathogens11020230.</w:t>
            </w:r>
          </w:p>
        </w:tc>
      </w:tr>
      <w:tr w:rsidR="003D21BC" w:rsidRPr="007F26CB" w14:paraId="7518CC38" w14:textId="77777777" w:rsidTr="00F739A5">
        <w:tc>
          <w:tcPr>
            <w:tcW w:w="1531" w:type="dxa"/>
          </w:tcPr>
          <w:p w14:paraId="4F405967" w14:textId="2CFB5909" w:rsidR="003D21BC" w:rsidRPr="002A4B80" w:rsidRDefault="00DE29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Sutay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Kocabas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D. </w:t>
            </w:r>
          </w:p>
        </w:tc>
        <w:tc>
          <w:tcPr>
            <w:tcW w:w="3011" w:type="dxa"/>
          </w:tcPr>
          <w:p w14:paraId="72B2939D" w14:textId="0BD3F632" w:rsidR="003D21BC" w:rsidRPr="002A4B80" w:rsidRDefault="00DE29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Authors report the identification of a catalase with phenol oxidase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activity </w:t>
            </w:r>
            <w:r w:rsidR="00AF034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 a thermophilic fungus. </w:t>
            </w:r>
          </w:p>
        </w:tc>
        <w:tc>
          <w:tcPr>
            <w:tcW w:w="4286" w:type="dxa"/>
          </w:tcPr>
          <w:p w14:paraId="47D5EE03" w14:textId="1E34FBA4" w:rsidR="003D21BC" w:rsidRPr="00DE2928" w:rsidRDefault="00DE29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Sutay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>Kocabas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 xml:space="preserve">, D., Bakir, U., Phillips, S.E.V., McPherson, M.J., 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>Ogel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 xml:space="preserve">, Z.B. (2008) Purification, characterization, and identification of a novel </w:t>
            </w:r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bifunctional catalase-phenol oxidase from </w:t>
            </w:r>
            <w:proofErr w:type="spellStart"/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Scytalidium</w:t>
            </w:r>
            <w:proofErr w:type="spellEnd"/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thermophilum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>. Applied Microbiology and Biotechnology. 79:407-415. DOI: 10.1007/ s00253-008-1437-y</w:t>
            </w:r>
          </w:p>
        </w:tc>
      </w:tr>
      <w:tr w:rsidR="003D21BC" w:rsidRPr="007F26CB" w14:paraId="672E5A8A" w14:textId="77777777" w:rsidTr="00F739A5">
        <w:tc>
          <w:tcPr>
            <w:tcW w:w="1531" w:type="dxa"/>
          </w:tcPr>
          <w:p w14:paraId="535F6618" w14:textId="68172C75" w:rsidR="003D21BC" w:rsidRPr="002A4B80" w:rsidRDefault="00DE29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2928">
              <w:rPr>
                <w:rFonts w:ascii="Arial" w:hAnsi="Arial" w:cs="Arial"/>
                <w:sz w:val="24"/>
                <w:szCs w:val="24"/>
              </w:rPr>
              <w:lastRenderedPageBreak/>
              <w:t>Valenzuela-Cota, D.F.</w:t>
            </w:r>
          </w:p>
        </w:tc>
        <w:tc>
          <w:tcPr>
            <w:tcW w:w="3011" w:type="dxa"/>
          </w:tcPr>
          <w:p w14:paraId="0DDC9A56" w14:textId="440EF394" w:rsidR="003D21BC" w:rsidRPr="00DE2928" w:rsidRDefault="00DE29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Effect of an antifungal fraction obtained from the plant </w:t>
            </w:r>
            <w:proofErr w:type="spellStart"/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Jacquinia</w:t>
            </w:r>
            <w:proofErr w:type="spellEnd"/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macrocarpa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showing inhibition of catalases in the fungus </w:t>
            </w:r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Fusarium verticillioides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86" w:type="dxa"/>
          </w:tcPr>
          <w:p w14:paraId="63199322" w14:textId="07047634" w:rsidR="003D21BC" w:rsidRPr="00DE2928" w:rsidRDefault="00DE2928">
            <w:pPr>
              <w:rPr>
                <w:rFonts w:ascii="Arial" w:hAnsi="Arial" w:cs="Arial"/>
                <w:sz w:val="24"/>
                <w:szCs w:val="24"/>
              </w:rPr>
            </w:pPr>
            <w:r w:rsidRPr="00DE2928">
              <w:rPr>
                <w:rFonts w:ascii="Arial" w:hAnsi="Arial" w:cs="Arial"/>
                <w:sz w:val="24"/>
                <w:szCs w:val="24"/>
              </w:rPr>
              <w:t>Valenzuela-Cota, D.F., Buitimea-Cantúa, G.V., Plascencia-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</w:rPr>
              <w:t>Jatomea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</w:rPr>
              <w:t>, M., Cinco-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</w:rPr>
              <w:t>Moroyoqui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</w:rPr>
              <w:t xml:space="preserve">, F.J., Martínez-Higuera, A.A., Rosas-Burgos, E.C. (2019). </w:t>
            </w:r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 xml:space="preserve">Inhibition of the antioxidant activity of catalase and superoxide dismutase from </w:t>
            </w:r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Fusarium verticillioides</w:t>
            </w:r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 xml:space="preserve"> exposed to a </w:t>
            </w:r>
            <w:proofErr w:type="spellStart"/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Jacquinia</w:t>
            </w:r>
            <w:proofErr w:type="spellEnd"/>
            <w:r w:rsidRPr="00DE2928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macrocarpa</w:t>
            </w:r>
            <w:r w:rsidRPr="00DE2928">
              <w:rPr>
                <w:rFonts w:ascii="Arial" w:hAnsi="Arial" w:cs="Arial"/>
                <w:sz w:val="24"/>
                <w:szCs w:val="24"/>
                <w:lang w:val="en-US"/>
              </w:rPr>
              <w:t xml:space="preserve"> antifungal fraction. </w:t>
            </w:r>
            <w:r w:rsidRPr="00DE2928">
              <w:rPr>
                <w:rFonts w:ascii="Arial" w:hAnsi="Arial" w:cs="Arial"/>
                <w:sz w:val="24"/>
                <w:szCs w:val="24"/>
              </w:rPr>
              <w:t xml:space="preserve">J 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</w:rPr>
              <w:t>Environ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</w:rPr>
              <w:t xml:space="preserve"> B. 54(8):647-654. </w:t>
            </w:r>
            <w:proofErr w:type="spellStart"/>
            <w:r w:rsidRPr="00DE2928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DE2928">
              <w:rPr>
                <w:rFonts w:ascii="Arial" w:hAnsi="Arial" w:cs="Arial"/>
                <w:sz w:val="24"/>
                <w:szCs w:val="24"/>
              </w:rPr>
              <w:t>: 10.1080/03601234.2019.1622978.</w:t>
            </w:r>
          </w:p>
        </w:tc>
      </w:tr>
      <w:tr w:rsidR="00DE2928" w:rsidRPr="007F26CB" w14:paraId="1055F23E" w14:textId="77777777" w:rsidTr="00F739A5">
        <w:tc>
          <w:tcPr>
            <w:tcW w:w="1531" w:type="dxa"/>
          </w:tcPr>
          <w:p w14:paraId="1175D51F" w14:textId="46FF0AA6" w:rsidR="00DE2928" w:rsidRPr="002A4B80" w:rsidRDefault="00F739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Ziccardi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M. </w:t>
            </w:r>
          </w:p>
        </w:tc>
        <w:tc>
          <w:tcPr>
            <w:tcW w:w="3011" w:type="dxa"/>
          </w:tcPr>
          <w:p w14:paraId="707DBD2E" w14:textId="42F8FF29" w:rsidR="00DE2928" w:rsidRPr="00F739A5" w:rsidRDefault="00F739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differential catalase activity </w:t>
            </w:r>
            <w:r w:rsidR="00AF034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 clinical isolates in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Candida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parapsilosis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86" w:type="dxa"/>
          </w:tcPr>
          <w:p w14:paraId="22CF9363" w14:textId="695A716A" w:rsidR="00DE2928" w:rsidRPr="00F739A5" w:rsidRDefault="00F739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>Ziccardi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 xml:space="preserve">, M., Souza, L.O.,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>Gandra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 xml:space="preserve">, R.M.,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>Galdino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 xml:space="preserve">, A.C., Baptista, A.R., Nunes, A.P., Ribeiro, M.A.,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>Branquinha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 xml:space="preserve">, M.H., Santos, A.L. (2015). </w:t>
            </w:r>
            <w:r w:rsidRPr="00F739A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Candida </w:t>
            </w:r>
            <w:proofErr w:type="spellStart"/>
            <w:r w:rsidRPr="00F739A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parapsilosis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>sensu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>lato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  <w:lang w:val="en-US"/>
              </w:rPr>
              <w:t xml:space="preserve">) isolated from hospitals located in the Southeast of Brazil: Species distribution, antifungal susceptibility and virulence attributes.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</w:rPr>
              <w:t xml:space="preserve"> J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</w:rPr>
              <w:t>Microbiol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</w:rPr>
              <w:t xml:space="preserve">. 305(8):848-59. </w:t>
            </w:r>
            <w:proofErr w:type="spellStart"/>
            <w:r w:rsidRPr="00F739A5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F739A5">
              <w:rPr>
                <w:rFonts w:ascii="Arial" w:hAnsi="Arial" w:cs="Arial"/>
                <w:sz w:val="24"/>
                <w:szCs w:val="24"/>
              </w:rPr>
              <w:t>: 10.1016/j.ijmm.2015.08.003.</w:t>
            </w:r>
          </w:p>
        </w:tc>
      </w:tr>
    </w:tbl>
    <w:p w14:paraId="2CB601A1" w14:textId="77777777" w:rsidR="004B7C08" w:rsidRPr="007F26CB" w:rsidRDefault="004B7C08">
      <w:pPr>
        <w:rPr>
          <w:lang w:val="en-US"/>
        </w:rPr>
      </w:pPr>
    </w:p>
    <w:sectPr w:rsidR="004B7C08" w:rsidRPr="007F2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jeyMDSyNDEwNDNS0lEKTi0uzszPAykwqgUA+ARGHiwAAAA="/>
  </w:docVars>
  <w:rsids>
    <w:rsidRoot w:val="007F26CB"/>
    <w:rsid w:val="00017AB3"/>
    <w:rsid w:val="000F45B0"/>
    <w:rsid w:val="001374E9"/>
    <w:rsid w:val="002A4B80"/>
    <w:rsid w:val="003D21BC"/>
    <w:rsid w:val="004B7C08"/>
    <w:rsid w:val="005C2D32"/>
    <w:rsid w:val="006704F3"/>
    <w:rsid w:val="007F26CB"/>
    <w:rsid w:val="00926982"/>
    <w:rsid w:val="0095417E"/>
    <w:rsid w:val="00981549"/>
    <w:rsid w:val="00A460B8"/>
    <w:rsid w:val="00AF0347"/>
    <w:rsid w:val="00AF1C8E"/>
    <w:rsid w:val="00B110D4"/>
    <w:rsid w:val="00C843A4"/>
    <w:rsid w:val="00D36975"/>
    <w:rsid w:val="00DE2928"/>
    <w:rsid w:val="00E7461B"/>
    <w:rsid w:val="00EB58AA"/>
    <w:rsid w:val="00ED7F86"/>
    <w:rsid w:val="00F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A2BF"/>
  <w15:chartTrackingRefBased/>
  <w15:docId w15:val="{202F900F-BC55-4E33-9277-03F6B276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2869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bfranco</dc:creator>
  <cp:keywords/>
  <dc:description/>
  <cp:lastModifiedBy>bfranco</cp:lastModifiedBy>
  <cp:revision>19</cp:revision>
  <dcterms:created xsi:type="dcterms:W3CDTF">2022-10-18T00:41:00Z</dcterms:created>
  <dcterms:modified xsi:type="dcterms:W3CDTF">2022-10-19T23:48:00Z</dcterms:modified>
</cp:coreProperties>
</file>