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4629"/>
        <w:gridCol w:w="3118"/>
      </w:tblGrid>
      <w:tr w:rsidR="00445B91" w:rsidRPr="00644590" w14:paraId="6AB5CE04" w14:textId="77777777" w:rsidTr="00CE2E57">
        <w:tc>
          <w:tcPr>
            <w:tcW w:w="1603" w:type="dxa"/>
          </w:tcPr>
          <w:p w14:paraId="6DED2651" w14:textId="06E72827" w:rsidR="00445B91" w:rsidRPr="00644590" w:rsidRDefault="00445B91">
            <w:pPr>
              <w:rPr>
                <w:b/>
                <w:bCs/>
              </w:rPr>
            </w:pPr>
            <w:r w:rsidRPr="00644590">
              <w:rPr>
                <w:b/>
                <w:bCs/>
              </w:rPr>
              <w:t>Biomarker</w:t>
            </w:r>
          </w:p>
        </w:tc>
        <w:tc>
          <w:tcPr>
            <w:tcW w:w="4629" w:type="dxa"/>
          </w:tcPr>
          <w:p w14:paraId="3DE3DDD9" w14:textId="31F2C231" w:rsidR="00445B91" w:rsidRPr="00644590" w:rsidRDefault="00445B91">
            <w:pPr>
              <w:rPr>
                <w:b/>
                <w:bCs/>
              </w:rPr>
            </w:pPr>
            <w:r w:rsidRPr="00644590">
              <w:rPr>
                <w:b/>
                <w:bCs/>
              </w:rPr>
              <w:t>Function</w:t>
            </w:r>
          </w:p>
        </w:tc>
        <w:tc>
          <w:tcPr>
            <w:tcW w:w="3118" w:type="dxa"/>
          </w:tcPr>
          <w:p w14:paraId="69C2A160" w14:textId="3759B429" w:rsidR="00445B91" w:rsidRPr="00644590" w:rsidRDefault="002D4AFF">
            <w:pPr>
              <w:rPr>
                <w:b/>
                <w:bCs/>
              </w:rPr>
            </w:pPr>
            <w:r w:rsidRPr="00644590">
              <w:rPr>
                <w:b/>
                <w:bCs/>
              </w:rPr>
              <w:t>Reference</w:t>
            </w:r>
          </w:p>
        </w:tc>
      </w:tr>
      <w:tr w:rsidR="00445B91" w:rsidRPr="00644590" w14:paraId="1B0D8B1A" w14:textId="77777777" w:rsidTr="00CE2E57">
        <w:tc>
          <w:tcPr>
            <w:tcW w:w="1603" w:type="dxa"/>
          </w:tcPr>
          <w:p w14:paraId="5BAD701B" w14:textId="50824A94" w:rsidR="00445B91" w:rsidRPr="00644590" w:rsidRDefault="00445B91">
            <w:r w:rsidRPr="00644590">
              <w:t>ICAM1</w:t>
            </w:r>
          </w:p>
        </w:tc>
        <w:tc>
          <w:tcPr>
            <w:tcW w:w="4629" w:type="dxa"/>
          </w:tcPr>
          <w:p w14:paraId="27B290EE" w14:textId="58594090" w:rsidR="00445B91" w:rsidRPr="00644590" w:rsidRDefault="003E40C2" w:rsidP="00345230">
            <w:pPr>
              <w:jc w:val="both"/>
            </w:pPr>
            <w:r w:rsidRPr="00644590">
              <w:t>Its ligand role allows the binding stabilization between leukocytes and endothelial cells</w:t>
            </w:r>
            <w:r w:rsidR="00CA0FF5" w:rsidRPr="00644590">
              <w:t>, facilitating leukocyte endothelial transmigration</w:t>
            </w:r>
            <w:r w:rsidR="00BF2DC5">
              <w:t xml:space="preserve">, serving as a mortality predictor </w:t>
            </w:r>
            <w:r w:rsidR="006C5AF2">
              <w:t>for COVID-19 sepsis.</w:t>
            </w:r>
          </w:p>
        </w:tc>
        <w:tc>
          <w:tcPr>
            <w:tcW w:w="3118" w:type="dxa"/>
          </w:tcPr>
          <w:p w14:paraId="163BB455" w14:textId="77777777" w:rsidR="00445B91" w:rsidRDefault="00644590">
            <w:proofErr w:type="spellStart"/>
            <w:r w:rsidRPr="00644590">
              <w:t>Pingatelli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1994</w:t>
            </w:r>
          </w:p>
          <w:p w14:paraId="086EBB21" w14:textId="7DBEFD89" w:rsidR="006C5AF2" w:rsidRPr="006C5AF2" w:rsidRDefault="006C5AF2">
            <w:r>
              <w:t xml:space="preserve">Kaur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445B91" w:rsidRPr="00644590" w14:paraId="62FD3BB9" w14:textId="77777777" w:rsidTr="00CE2E57">
        <w:tc>
          <w:tcPr>
            <w:tcW w:w="1603" w:type="dxa"/>
          </w:tcPr>
          <w:p w14:paraId="719E1B11" w14:textId="0F84F170" w:rsidR="00445B91" w:rsidRPr="00644590" w:rsidRDefault="00445B91">
            <w:r w:rsidRPr="00644590">
              <w:t>LIPO</w:t>
            </w:r>
          </w:p>
        </w:tc>
        <w:tc>
          <w:tcPr>
            <w:tcW w:w="4629" w:type="dxa"/>
          </w:tcPr>
          <w:p w14:paraId="598144F9" w14:textId="2BAA841C" w:rsidR="00445B91" w:rsidRPr="00644590" w:rsidRDefault="00CA0FF5" w:rsidP="00345230">
            <w:pPr>
              <w:jc w:val="both"/>
            </w:pPr>
            <w:r w:rsidRPr="00644590">
              <w:t>Sequestrates iron and prevent it to be use</w:t>
            </w:r>
            <w:r w:rsidR="00FB7244" w:rsidRPr="00644590">
              <w:t>d</w:t>
            </w:r>
            <w:r w:rsidRPr="00644590">
              <w:t xml:space="preserve"> by bacteria for their growth. Also functions as a growth factor, stimulating immune cells proliferation.</w:t>
            </w:r>
            <w:r w:rsidR="000E775E">
              <w:t xml:space="preserve"> Its expression was found to be higher during sepsis onsets.</w:t>
            </w:r>
          </w:p>
        </w:tc>
        <w:tc>
          <w:tcPr>
            <w:tcW w:w="3118" w:type="dxa"/>
          </w:tcPr>
          <w:p w14:paraId="20E07ED1" w14:textId="77777777" w:rsidR="00445B91" w:rsidRDefault="008C38F0">
            <w:r w:rsidRPr="00644590">
              <w:t xml:space="preserve">Yang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2002</w:t>
            </w:r>
          </w:p>
          <w:p w14:paraId="4F3FF094" w14:textId="1A122E35" w:rsidR="000E775E" w:rsidRPr="000E775E" w:rsidRDefault="000E775E">
            <w:r>
              <w:t xml:space="preserve">Vazquez </w:t>
            </w:r>
            <w:r>
              <w:rPr>
                <w:i/>
                <w:iCs/>
              </w:rPr>
              <w:t xml:space="preserve">et </w:t>
            </w:r>
            <w:r>
              <w:t>al, 2014</w:t>
            </w:r>
          </w:p>
        </w:tc>
      </w:tr>
      <w:tr w:rsidR="00445B91" w:rsidRPr="00644590" w14:paraId="07DC568A" w14:textId="77777777" w:rsidTr="00CE2E57">
        <w:tc>
          <w:tcPr>
            <w:tcW w:w="1603" w:type="dxa"/>
          </w:tcPr>
          <w:p w14:paraId="27E91FDF" w14:textId="3C641F2A" w:rsidR="00445B91" w:rsidRPr="00644590" w:rsidRDefault="00445B91">
            <w:r w:rsidRPr="00644590">
              <w:t>MPO</w:t>
            </w:r>
          </w:p>
        </w:tc>
        <w:tc>
          <w:tcPr>
            <w:tcW w:w="4629" w:type="dxa"/>
          </w:tcPr>
          <w:p w14:paraId="3578648F" w14:textId="3E03FA5E" w:rsidR="00445B91" w:rsidRPr="00644590" w:rsidRDefault="00CA0FF5" w:rsidP="00345230">
            <w:pPr>
              <w:jc w:val="both"/>
            </w:pPr>
            <w:r w:rsidRPr="00644590">
              <w:t xml:space="preserve">Peroxidase </w:t>
            </w:r>
            <w:r w:rsidR="000E775E">
              <w:t xml:space="preserve">is an </w:t>
            </w:r>
            <w:r w:rsidRPr="00644590">
              <w:t xml:space="preserve">enzyme that </w:t>
            </w:r>
            <w:r w:rsidR="00650F26" w:rsidRPr="00644590">
              <w:t>is expressed in neutrophil granulocytes. It produces hypohalous acid to be used in antimicrobial activities.</w:t>
            </w:r>
            <w:r w:rsidR="000E775E">
              <w:t xml:space="preserve"> Therefore, its upregulation is positively associate</w:t>
            </w:r>
            <w:r w:rsidR="00345230">
              <w:t>d</w:t>
            </w:r>
            <w:r w:rsidR="000E775E">
              <w:t xml:space="preserve"> with cytokine storms and consequently, being a predictor of death.</w:t>
            </w:r>
          </w:p>
        </w:tc>
        <w:tc>
          <w:tcPr>
            <w:tcW w:w="3118" w:type="dxa"/>
          </w:tcPr>
          <w:p w14:paraId="66B6A4C7" w14:textId="69D5A0F6" w:rsidR="00445B91" w:rsidRPr="00644590" w:rsidRDefault="008C38F0">
            <w:r w:rsidRPr="00644590">
              <w:t>Nichols and Hazen, 2005</w:t>
            </w:r>
          </w:p>
        </w:tc>
      </w:tr>
      <w:tr w:rsidR="00445B91" w:rsidRPr="00644590" w14:paraId="2C0DE3DD" w14:textId="77777777" w:rsidTr="00CE2E57">
        <w:tc>
          <w:tcPr>
            <w:tcW w:w="1603" w:type="dxa"/>
          </w:tcPr>
          <w:p w14:paraId="2AF0A35B" w14:textId="395D7FE3" w:rsidR="00445B91" w:rsidRPr="00644590" w:rsidRDefault="00445B91">
            <w:r w:rsidRPr="00644590">
              <w:t>VCAM</w:t>
            </w:r>
          </w:p>
        </w:tc>
        <w:tc>
          <w:tcPr>
            <w:tcW w:w="4629" w:type="dxa"/>
          </w:tcPr>
          <w:p w14:paraId="6CB7AEE0" w14:textId="476F7C58" w:rsidR="00445B91" w:rsidRPr="00644590" w:rsidRDefault="00650F26" w:rsidP="00345230">
            <w:pPr>
              <w:jc w:val="both"/>
            </w:pPr>
            <w:r w:rsidRPr="00644590">
              <w:t xml:space="preserve">Promotes the adhesion of immune cells to vascular endothelium. </w:t>
            </w:r>
            <w:r w:rsidR="000E775E">
              <w:t>It was found to be elevated in COVID-19 patients (mild) and drastically elevated in severe manifestations.</w:t>
            </w:r>
          </w:p>
        </w:tc>
        <w:tc>
          <w:tcPr>
            <w:tcW w:w="3118" w:type="dxa"/>
          </w:tcPr>
          <w:p w14:paraId="37D53159" w14:textId="77777777" w:rsidR="00445B91" w:rsidRDefault="008C38F0">
            <w:r w:rsidRPr="00644590">
              <w:t xml:space="preserve">Kong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2018</w:t>
            </w:r>
          </w:p>
          <w:p w14:paraId="5DBCB8E4" w14:textId="0B6063A0" w:rsidR="000E775E" w:rsidRPr="000E775E" w:rsidRDefault="000E775E">
            <w:r>
              <w:t xml:space="preserve">Tong </w:t>
            </w:r>
            <w:r>
              <w:rPr>
                <w:i/>
                <w:iCs/>
              </w:rPr>
              <w:t xml:space="preserve">et </w:t>
            </w:r>
            <w:r>
              <w:t>al, 2020</w:t>
            </w:r>
          </w:p>
        </w:tc>
      </w:tr>
      <w:tr w:rsidR="00445B91" w:rsidRPr="00644590" w14:paraId="1A9F06BB" w14:textId="77777777" w:rsidTr="00CE2E57">
        <w:tc>
          <w:tcPr>
            <w:tcW w:w="1603" w:type="dxa"/>
          </w:tcPr>
          <w:p w14:paraId="2BEB5161" w14:textId="0751C4B9" w:rsidR="00445B91" w:rsidRPr="00644590" w:rsidRDefault="00445B91">
            <w:r w:rsidRPr="00644590">
              <w:t>D-Dimer</w:t>
            </w:r>
          </w:p>
        </w:tc>
        <w:tc>
          <w:tcPr>
            <w:tcW w:w="4629" w:type="dxa"/>
          </w:tcPr>
          <w:p w14:paraId="7D9DC3A3" w14:textId="04BDC9BD" w:rsidR="00445B91" w:rsidRPr="00644590" w:rsidRDefault="00650F26" w:rsidP="00345230">
            <w:pPr>
              <w:jc w:val="both"/>
            </w:pPr>
            <w:r w:rsidRPr="00644590">
              <w:t>I</w:t>
            </w:r>
            <w:r w:rsidR="001A4C2E">
              <w:t>t i</w:t>
            </w:r>
            <w:r w:rsidRPr="00644590">
              <w:t xml:space="preserve">s a small product found in blood after the dissolution of blood clots. </w:t>
            </w:r>
            <w:r w:rsidR="00FE20AF">
              <w:t>Elevated levels of it have been associated to predicting severity in COVID-19 infections.</w:t>
            </w:r>
          </w:p>
        </w:tc>
        <w:tc>
          <w:tcPr>
            <w:tcW w:w="3118" w:type="dxa"/>
          </w:tcPr>
          <w:p w14:paraId="5AC9CBF7" w14:textId="77777777" w:rsidR="00445B91" w:rsidRDefault="008C38F0">
            <w:proofErr w:type="spellStart"/>
            <w:r w:rsidRPr="00644590">
              <w:t>Asakura</w:t>
            </w:r>
            <w:proofErr w:type="spellEnd"/>
            <w:r w:rsidRPr="00644590">
              <w:t xml:space="preserve"> and Ogawa, 2021</w:t>
            </w:r>
          </w:p>
          <w:p w14:paraId="28673668" w14:textId="28390514" w:rsidR="00FE20AF" w:rsidRPr="00FE20AF" w:rsidRDefault="00FE20AF">
            <w:r>
              <w:t xml:space="preserve">Lehmann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445B91" w:rsidRPr="00644590" w14:paraId="643C008F" w14:textId="77777777" w:rsidTr="00CE2E57">
        <w:tc>
          <w:tcPr>
            <w:tcW w:w="1603" w:type="dxa"/>
          </w:tcPr>
          <w:p w14:paraId="61D1EA54" w14:textId="12C2CFC3" w:rsidR="00445B91" w:rsidRPr="00644590" w:rsidRDefault="00445B91">
            <w:r w:rsidRPr="00644590">
              <w:t>E-selectin</w:t>
            </w:r>
          </w:p>
        </w:tc>
        <w:tc>
          <w:tcPr>
            <w:tcW w:w="4629" w:type="dxa"/>
          </w:tcPr>
          <w:p w14:paraId="4D1793C6" w14:textId="6F0E8344" w:rsidR="00445B91" w:rsidRPr="00644590" w:rsidRDefault="002D4AFF" w:rsidP="00345230">
            <w:pPr>
              <w:jc w:val="both"/>
            </w:pPr>
            <w:r w:rsidRPr="00644590">
              <w:t>Expressed by endothelial cells, this glycoprotein slows down leukocytes rolling</w:t>
            </w:r>
            <w:r w:rsidR="00FB7244" w:rsidRPr="00644590">
              <w:t>,</w:t>
            </w:r>
            <w:r w:rsidRPr="00644590">
              <w:t xml:space="preserve"> </w:t>
            </w:r>
            <w:r w:rsidR="00FB7244" w:rsidRPr="00644590">
              <w:t>p</w:t>
            </w:r>
            <w:r w:rsidRPr="00644590">
              <w:t>romoting the recruitment of immune cells to the endothelium.</w:t>
            </w:r>
            <w:r w:rsidR="000A0A65">
              <w:t xml:space="preserve"> This protein was found to be a predictor of ICU admission in COVID-19 patients.</w:t>
            </w:r>
          </w:p>
        </w:tc>
        <w:tc>
          <w:tcPr>
            <w:tcW w:w="3118" w:type="dxa"/>
          </w:tcPr>
          <w:p w14:paraId="0614EC48" w14:textId="77777777" w:rsidR="00445B91" w:rsidRDefault="008C38F0">
            <w:r w:rsidRPr="00644590">
              <w:t xml:space="preserve">Timmerman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2016</w:t>
            </w:r>
          </w:p>
          <w:p w14:paraId="30ABA133" w14:textId="77777777" w:rsidR="000A0A65" w:rsidRDefault="000A0A65">
            <w:r>
              <w:t xml:space="preserve">Oliva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  <w:p w14:paraId="1C8CE50E" w14:textId="721BBB00" w:rsidR="00EA3194" w:rsidRPr="00EA3194" w:rsidRDefault="00EA3194"/>
        </w:tc>
      </w:tr>
      <w:tr w:rsidR="00445B91" w:rsidRPr="00644590" w14:paraId="1B77C7E5" w14:textId="77777777" w:rsidTr="00CE2E57">
        <w:tc>
          <w:tcPr>
            <w:tcW w:w="1603" w:type="dxa"/>
          </w:tcPr>
          <w:p w14:paraId="6CEE49CF" w14:textId="51A46D09" w:rsidR="00445B91" w:rsidRPr="00644590" w:rsidRDefault="002D4AFF">
            <w:r w:rsidRPr="00644590">
              <w:t>Ferritin</w:t>
            </w:r>
          </w:p>
        </w:tc>
        <w:tc>
          <w:tcPr>
            <w:tcW w:w="4629" w:type="dxa"/>
          </w:tcPr>
          <w:p w14:paraId="0C927E91" w14:textId="15FD67D0" w:rsidR="00445B91" w:rsidRPr="00644590" w:rsidRDefault="00CE2E57" w:rsidP="00345230">
            <w:pPr>
              <w:jc w:val="both"/>
            </w:pPr>
            <w:r w:rsidRPr="00644590">
              <w:t>Increased ferritin levels represent a host immune mechanism that deprives iron-based bacterial growth.</w:t>
            </w:r>
            <w:r w:rsidR="00EA3194">
              <w:t xml:space="preserve"> Critical COVID patients showed higher levels of it compared to mild, granting the predictive characteristic to the biomarker.</w:t>
            </w:r>
          </w:p>
        </w:tc>
        <w:tc>
          <w:tcPr>
            <w:tcW w:w="3118" w:type="dxa"/>
          </w:tcPr>
          <w:p w14:paraId="71D378F2" w14:textId="77777777" w:rsidR="00445B91" w:rsidRDefault="008C38F0" w:rsidP="008C38F0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Kernan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and </w:t>
            </w:r>
            <w:proofErr w:type="spellStart"/>
            <w:r w:rsidRPr="00644590">
              <w:rPr>
                <w:color w:val="212121"/>
                <w:shd w:val="clear" w:color="auto" w:fill="FFFFFF"/>
              </w:rPr>
              <w:t>Carcillo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>, 2017</w:t>
            </w:r>
          </w:p>
          <w:p w14:paraId="6B0E3799" w14:textId="58D3D872" w:rsidR="00EA3194" w:rsidRPr="00644590" w:rsidRDefault="00EA3194" w:rsidP="008C38F0">
            <w:r>
              <w:t xml:space="preserve">Kaushal </w:t>
            </w:r>
            <w:r>
              <w:rPr>
                <w:i/>
                <w:iCs/>
              </w:rPr>
              <w:t xml:space="preserve">et </w:t>
            </w:r>
            <w:r>
              <w:t>al, 2022</w:t>
            </w:r>
          </w:p>
        </w:tc>
      </w:tr>
      <w:tr w:rsidR="002D4AFF" w:rsidRPr="00644590" w14:paraId="0EBD28E0" w14:textId="77777777" w:rsidTr="00CE2E57">
        <w:tc>
          <w:tcPr>
            <w:tcW w:w="1603" w:type="dxa"/>
          </w:tcPr>
          <w:p w14:paraId="4B688DE6" w14:textId="1204BC05" w:rsidR="002D4AFF" w:rsidRPr="00644590" w:rsidRDefault="002D4AFF">
            <w:r w:rsidRPr="00644590">
              <w:t>SPD</w:t>
            </w:r>
          </w:p>
        </w:tc>
        <w:tc>
          <w:tcPr>
            <w:tcW w:w="4629" w:type="dxa"/>
          </w:tcPr>
          <w:p w14:paraId="051899AF" w14:textId="59C91DAB" w:rsidR="002D4AFF" w:rsidRPr="00644590" w:rsidRDefault="005D0C1B" w:rsidP="00345230">
            <w:pPr>
              <w:jc w:val="both"/>
            </w:pPr>
            <w:r w:rsidRPr="00644590">
              <w:t>It is predominantly found in the lung surfactant. It promotes the aggregation of inhaled microorganisms, protecting the lung.</w:t>
            </w:r>
            <w:r w:rsidR="00F3076A">
              <w:t xml:space="preserve"> Higher concentrations of it were suggested to be associated with severe lung injuries.</w:t>
            </w:r>
          </w:p>
        </w:tc>
        <w:tc>
          <w:tcPr>
            <w:tcW w:w="3118" w:type="dxa"/>
          </w:tcPr>
          <w:p w14:paraId="4E635BA5" w14:textId="77777777" w:rsidR="002D4AFF" w:rsidRDefault="00D32FF7">
            <w:r w:rsidRPr="00644590">
              <w:t>Sorensen, 2018</w:t>
            </w:r>
          </w:p>
          <w:p w14:paraId="1BCC7BFC" w14:textId="0F5C35C8" w:rsidR="00F3076A" w:rsidRPr="00F3076A" w:rsidRDefault="00F3076A">
            <w:r>
              <w:t xml:space="preserve">Tong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2D4AFF" w:rsidRPr="00644590" w14:paraId="0EF64947" w14:textId="77777777" w:rsidTr="00CE2E57">
        <w:tc>
          <w:tcPr>
            <w:tcW w:w="1603" w:type="dxa"/>
          </w:tcPr>
          <w:p w14:paraId="12ACBB9F" w14:textId="1FB7320F" w:rsidR="002D4AFF" w:rsidRPr="00644590" w:rsidRDefault="002D4AFF">
            <w:r w:rsidRPr="00644590">
              <w:t>PDL1</w:t>
            </w:r>
          </w:p>
        </w:tc>
        <w:tc>
          <w:tcPr>
            <w:tcW w:w="4629" w:type="dxa"/>
          </w:tcPr>
          <w:p w14:paraId="07A67F03" w14:textId="14EB856B" w:rsidR="002D4AFF" w:rsidRPr="00644590" w:rsidRDefault="005D0C1B" w:rsidP="00345230">
            <w:pPr>
              <w:jc w:val="both"/>
            </w:pPr>
            <w:r w:rsidRPr="00644590">
              <w:t xml:space="preserve">It supresses the immune system by a binding interaction (with PD1), </w:t>
            </w:r>
            <w:r w:rsidR="00EF3243" w:rsidRPr="00644590">
              <w:t>transmitting an inhibitory signal.</w:t>
            </w:r>
            <w:r w:rsidR="009B4FED">
              <w:t xml:space="preserve"> It is upregulated in critical manifestations of COVID.</w:t>
            </w:r>
          </w:p>
        </w:tc>
        <w:tc>
          <w:tcPr>
            <w:tcW w:w="3118" w:type="dxa"/>
          </w:tcPr>
          <w:p w14:paraId="4144245E" w14:textId="77777777" w:rsidR="002D4AFF" w:rsidRDefault="00D32FF7" w:rsidP="00D32FF7">
            <w:proofErr w:type="spellStart"/>
            <w:r w:rsidRPr="00644590">
              <w:t>Ahmadzadeh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2009</w:t>
            </w:r>
          </w:p>
          <w:p w14:paraId="19633BB5" w14:textId="400A2722" w:rsidR="009B4FED" w:rsidRPr="009B4FED" w:rsidRDefault="009B4FED" w:rsidP="00D32FF7">
            <w:proofErr w:type="spellStart"/>
            <w:r>
              <w:t>Sabbatino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D32FF7" w:rsidRPr="00644590" w14:paraId="396DF06C" w14:textId="77777777" w:rsidTr="00CE2E57">
        <w:tc>
          <w:tcPr>
            <w:tcW w:w="1603" w:type="dxa"/>
          </w:tcPr>
          <w:p w14:paraId="47F532B3" w14:textId="2BA90AF1" w:rsidR="00D32FF7" w:rsidRPr="00644590" w:rsidRDefault="00D32FF7" w:rsidP="00D32FF7">
            <w:r w:rsidRPr="00644590">
              <w:lastRenderedPageBreak/>
              <w:t>GCSF</w:t>
            </w:r>
          </w:p>
        </w:tc>
        <w:tc>
          <w:tcPr>
            <w:tcW w:w="4629" w:type="dxa"/>
          </w:tcPr>
          <w:p w14:paraId="24A6EA93" w14:textId="2E6BA6AF" w:rsidR="00D32FF7" w:rsidRPr="00644590" w:rsidRDefault="00D32FF7" w:rsidP="00345230">
            <w:pPr>
              <w:jc w:val="both"/>
            </w:pPr>
            <w:r w:rsidRPr="00644590">
              <w:t xml:space="preserve">Causes cells (mainly neutrophils) found in the bone marrow to become mature and activated, ready to circulate in the blood stream. </w:t>
            </w:r>
          </w:p>
        </w:tc>
        <w:tc>
          <w:tcPr>
            <w:tcW w:w="3118" w:type="dxa"/>
          </w:tcPr>
          <w:p w14:paraId="3281D24F" w14:textId="24468F8C" w:rsidR="00D32FF7" w:rsidRPr="00644590" w:rsidRDefault="00D32FF7" w:rsidP="00D32FF7">
            <w:proofErr w:type="spellStart"/>
            <w:r w:rsidRPr="00644590">
              <w:t>Brender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2006</w:t>
            </w:r>
          </w:p>
        </w:tc>
      </w:tr>
      <w:tr w:rsidR="00D32FF7" w:rsidRPr="00644590" w14:paraId="4A022042" w14:textId="77777777" w:rsidTr="00CE2E57">
        <w:tc>
          <w:tcPr>
            <w:tcW w:w="1603" w:type="dxa"/>
          </w:tcPr>
          <w:p w14:paraId="4A59CC8C" w14:textId="41C05C2D" w:rsidR="00D32FF7" w:rsidRPr="00644590" w:rsidRDefault="00D32FF7" w:rsidP="00D32FF7">
            <w:r w:rsidRPr="00644590">
              <w:t>IL1β</w:t>
            </w:r>
          </w:p>
        </w:tc>
        <w:tc>
          <w:tcPr>
            <w:tcW w:w="4629" w:type="dxa"/>
          </w:tcPr>
          <w:p w14:paraId="7208F664" w14:textId="433FDE08" w:rsidR="00D32FF7" w:rsidRPr="00644590" w:rsidRDefault="00D32FF7" w:rsidP="00345230">
            <w:pPr>
              <w:jc w:val="both"/>
            </w:pPr>
            <w:r w:rsidRPr="00644590">
              <w:t>It is a cytokine that marks several cellular activities, such as cell proliferation, differentiation, and apoptosis. It also has a pro-inflammatory role.</w:t>
            </w:r>
            <w:r w:rsidR="00F3663A">
              <w:t xml:space="preserve"> The suppression of IL1b in inflammatory states was potentially identified as having therapeutic effects in preventing respiratory failures caused by COVID-19.</w:t>
            </w:r>
          </w:p>
        </w:tc>
        <w:tc>
          <w:tcPr>
            <w:tcW w:w="3118" w:type="dxa"/>
          </w:tcPr>
          <w:p w14:paraId="18459B86" w14:textId="6E94C82D" w:rsidR="00D32FF7" w:rsidRDefault="00D32FF7" w:rsidP="00D32FF7">
            <w:proofErr w:type="spellStart"/>
            <w:r w:rsidRPr="00644590">
              <w:t>Andenæs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2018</w:t>
            </w:r>
          </w:p>
          <w:p w14:paraId="5CD04A27" w14:textId="368A7AF2" w:rsidR="00F3663A" w:rsidRPr="00F3663A" w:rsidRDefault="00F3663A" w:rsidP="00D32FF7">
            <w:r>
              <w:t xml:space="preserve">Conti </w:t>
            </w:r>
            <w:r>
              <w:rPr>
                <w:i/>
                <w:iCs/>
              </w:rPr>
              <w:t xml:space="preserve">et </w:t>
            </w:r>
            <w:r>
              <w:t>al, 2020</w:t>
            </w:r>
          </w:p>
          <w:p w14:paraId="5CE14ADE" w14:textId="63131836" w:rsidR="00F3663A" w:rsidRPr="00F3663A" w:rsidRDefault="00F3663A" w:rsidP="00D32FF7">
            <w:r>
              <w:t xml:space="preserve">Van de </w:t>
            </w:r>
            <w:proofErr w:type="spellStart"/>
            <w:r>
              <w:t>Veerdonk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et </w:t>
            </w:r>
            <w:r>
              <w:t>al, 2020</w:t>
            </w:r>
          </w:p>
        </w:tc>
      </w:tr>
      <w:tr w:rsidR="00D32FF7" w:rsidRPr="00644590" w14:paraId="170B337A" w14:textId="77777777" w:rsidTr="00CE2E57">
        <w:tc>
          <w:tcPr>
            <w:tcW w:w="1603" w:type="dxa"/>
          </w:tcPr>
          <w:p w14:paraId="3E9A9F1D" w14:textId="05A5C1D6" w:rsidR="00D32FF7" w:rsidRPr="00644590" w:rsidRDefault="00D32FF7" w:rsidP="00D32FF7">
            <w:r w:rsidRPr="00644590">
              <w:t>IL1ra</w:t>
            </w:r>
          </w:p>
        </w:tc>
        <w:tc>
          <w:tcPr>
            <w:tcW w:w="4629" w:type="dxa"/>
          </w:tcPr>
          <w:p w14:paraId="4CD6FED1" w14:textId="00D4C55F" w:rsidR="00D32FF7" w:rsidRPr="00644590" w:rsidRDefault="00D32FF7" w:rsidP="00D32FF7">
            <w:r w:rsidRPr="00644590">
              <w:t>Inhibits the activities of IL1β.</w:t>
            </w:r>
          </w:p>
        </w:tc>
        <w:tc>
          <w:tcPr>
            <w:tcW w:w="3118" w:type="dxa"/>
          </w:tcPr>
          <w:p w14:paraId="6EFA6540" w14:textId="3D84ECAD" w:rsidR="00D32FF7" w:rsidRPr="00644590" w:rsidRDefault="00D32FF7" w:rsidP="00D32FF7">
            <w:r w:rsidRPr="00644590">
              <w:t xml:space="preserve">Patterson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2003</w:t>
            </w:r>
          </w:p>
        </w:tc>
      </w:tr>
      <w:tr w:rsidR="00D32FF7" w:rsidRPr="00644590" w14:paraId="521AFFE8" w14:textId="77777777" w:rsidTr="00CE2E57">
        <w:tc>
          <w:tcPr>
            <w:tcW w:w="1603" w:type="dxa"/>
          </w:tcPr>
          <w:p w14:paraId="3089215D" w14:textId="7385C6A2" w:rsidR="00D32FF7" w:rsidRPr="00644590" w:rsidRDefault="00D32FF7" w:rsidP="00D32FF7">
            <w:r w:rsidRPr="00644590">
              <w:t>VEGFC</w:t>
            </w:r>
          </w:p>
        </w:tc>
        <w:tc>
          <w:tcPr>
            <w:tcW w:w="4629" w:type="dxa"/>
          </w:tcPr>
          <w:p w14:paraId="17D1C9C6" w14:textId="164BCA0E" w:rsidR="00D32FF7" w:rsidRPr="00644590" w:rsidRDefault="00D32FF7" w:rsidP="00345230">
            <w:pPr>
              <w:jc w:val="both"/>
            </w:pPr>
            <w:r w:rsidRPr="00644590">
              <w:t>Promotes the growth of new blood vessels, being involved in migration, growth, and differentiation of endothelial cells.</w:t>
            </w:r>
            <w:r w:rsidR="0031639C">
              <w:t xml:space="preserve"> Apart from angiogenesis, it also induces vascular leakiness and permeability, therefore, anti-VEGFC therapeutics are potential candidates for treatment in ICU patients.</w:t>
            </w:r>
          </w:p>
        </w:tc>
        <w:tc>
          <w:tcPr>
            <w:tcW w:w="3118" w:type="dxa"/>
          </w:tcPr>
          <w:p w14:paraId="518A2CA6" w14:textId="77777777" w:rsidR="00D32FF7" w:rsidRDefault="00D32FF7" w:rsidP="00D32FF7">
            <w:proofErr w:type="spellStart"/>
            <w:r w:rsidRPr="00644590">
              <w:t>Rauniyar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2018</w:t>
            </w:r>
          </w:p>
          <w:p w14:paraId="7B1F16F1" w14:textId="77777777" w:rsidR="0031639C" w:rsidRDefault="0031639C" w:rsidP="00D32FF7">
            <w:proofErr w:type="spellStart"/>
            <w:r>
              <w:t>Sahebnasagh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  <w:p w14:paraId="6636745D" w14:textId="3412F14B" w:rsidR="0031639C" w:rsidRPr="0031639C" w:rsidRDefault="0031639C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t>Turkia</w:t>
            </w:r>
            <w:proofErr w:type="spellEnd"/>
            <w:r>
              <w:t xml:space="preserve"> 2020</w:t>
            </w:r>
          </w:p>
        </w:tc>
      </w:tr>
      <w:tr w:rsidR="00D32FF7" w:rsidRPr="00644590" w14:paraId="70264F01" w14:textId="77777777" w:rsidTr="00CE2E57">
        <w:tc>
          <w:tcPr>
            <w:tcW w:w="1603" w:type="dxa"/>
          </w:tcPr>
          <w:p w14:paraId="2DAC178C" w14:textId="2EDD79BC" w:rsidR="00D32FF7" w:rsidRPr="00644590" w:rsidRDefault="00D32FF7" w:rsidP="00D32FF7">
            <w:r w:rsidRPr="00644590">
              <w:t>ANG2</w:t>
            </w:r>
          </w:p>
        </w:tc>
        <w:tc>
          <w:tcPr>
            <w:tcW w:w="4629" w:type="dxa"/>
          </w:tcPr>
          <w:p w14:paraId="3E1027C2" w14:textId="5F146174" w:rsidR="00D32FF7" w:rsidRPr="00644590" w:rsidRDefault="00D32FF7" w:rsidP="00345230">
            <w:pPr>
              <w:jc w:val="both"/>
            </w:pPr>
            <w:r w:rsidRPr="00644590">
              <w:t>Promotes angiogenesis. In a context-dependent scenario, acts alongside with VEGFC to form new blood vessels.</w:t>
            </w:r>
          </w:p>
        </w:tc>
        <w:tc>
          <w:tcPr>
            <w:tcW w:w="3118" w:type="dxa"/>
          </w:tcPr>
          <w:p w14:paraId="0CD20569" w14:textId="00FD47A2" w:rsidR="00D32FF7" w:rsidRPr="00644590" w:rsidRDefault="00D32FF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Fangiani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and </w:t>
            </w:r>
            <w:proofErr w:type="spellStart"/>
            <w:r w:rsidRPr="00644590">
              <w:t>Christofori</w:t>
            </w:r>
            <w:proofErr w:type="spellEnd"/>
            <w:r w:rsidRPr="00644590">
              <w:t>, 2013</w:t>
            </w:r>
          </w:p>
        </w:tc>
      </w:tr>
      <w:tr w:rsidR="00D32FF7" w:rsidRPr="00644590" w14:paraId="670BB423" w14:textId="77777777" w:rsidTr="00CE2E57">
        <w:tc>
          <w:tcPr>
            <w:tcW w:w="1603" w:type="dxa"/>
          </w:tcPr>
          <w:p w14:paraId="533BD43A" w14:textId="78CCCEFC" w:rsidR="00D32FF7" w:rsidRPr="00644590" w:rsidRDefault="00D32FF7" w:rsidP="00D32FF7">
            <w:r w:rsidRPr="00644590">
              <w:t>CXCL10</w:t>
            </w:r>
          </w:p>
        </w:tc>
        <w:tc>
          <w:tcPr>
            <w:tcW w:w="4629" w:type="dxa"/>
          </w:tcPr>
          <w:p w14:paraId="3949A131" w14:textId="60571877" w:rsidR="00D32FF7" w:rsidRPr="00644590" w:rsidRDefault="00D32FF7" w:rsidP="00345230">
            <w:pPr>
              <w:jc w:val="both"/>
            </w:pPr>
            <w:r w:rsidRPr="00644590">
              <w:t>Chemoattractant for immune cells. Promotes the adhesion of T cells to endothelial cells.</w:t>
            </w:r>
            <w:r w:rsidR="00113036">
              <w:t xml:space="preserve"> High levels of it were associated with predicting severity of COVID.</w:t>
            </w:r>
          </w:p>
        </w:tc>
        <w:tc>
          <w:tcPr>
            <w:tcW w:w="3118" w:type="dxa"/>
          </w:tcPr>
          <w:p w14:paraId="6067DFBF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r w:rsidRPr="00644590">
              <w:rPr>
                <w:color w:val="212121"/>
                <w:shd w:val="clear" w:color="auto" w:fill="FFFFFF"/>
              </w:rPr>
              <w:t xml:space="preserve">Lee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2009</w:t>
            </w:r>
          </w:p>
          <w:p w14:paraId="58B9B2C2" w14:textId="15E9CDC8" w:rsidR="00113036" w:rsidRPr="00113036" w:rsidRDefault="00113036" w:rsidP="00D32FF7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Lore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2021</w:t>
            </w:r>
          </w:p>
        </w:tc>
      </w:tr>
      <w:tr w:rsidR="00D32FF7" w:rsidRPr="00644590" w14:paraId="3E3F1E24" w14:textId="77777777" w:rsidTr="00CE2E57">
        <w:tc>
          <w:tcPr>
            <w:tcW w:w="1603" w:type="dxa"/>
          </w:tcPr>
          <w:p w14:paraId="2FE92687" w14:textId="36086E6E" w:rsidR="00D32FF7" w:rsidRPr="00644590" w:rsidRDefault="00D32FF7" w:rsidP="00D32FF7">
            <w:r w:rsidRPr="00644590">
              <w:t>GMCSF</w:t>
            </w:r>
          </w:p>
        </w:tc>
        <w:tc>
          <w:tcPr>
            <w:tcW w:w="4629" w:type="dxa"/>
          </w:tcPr>
          <w:p w14:paraId="1E77D6AC" w14:textId="3232C864" w:rsidR="00D32FF7" w:rsidRPr="00644590" w:rsidRDefault="00D32FF7" w:rsidP="00345230">
            <w:pPr>
              <w:jc w:val="both"/>
            </w:pPr>
            <w:r w:rsidRPr="00644590">
              <w:t>It stimulates stem cells to produce granulocytes and monocytes.</w:t>
            </w:r>
            <w:r w:rsidR="00113036">
              <w:t xml:space="preserve"> Increased concentrations of GMCSF were reported in COVID-19 patients compared to healthy controls.</w:t>
            </w:r>
          </w:p>
        </w:tc>
        <w:tc>
          <w:tcPr>
            <w:tcW w:w="3118" w:type="dxa"/>
          </w:tcPr>
          <w:p w14:paraId="3597C800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r w:rsidRPr="00644590">
              <w:rPr>
                <w:color w:val="212121"/>
                <w:shd w:val="clear" w:color="auto" w:fill="FFFFFF"/>
              </w:rPr>
              <w:t xml:space="preserve">Francisco-Cruz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2014</w:t>
            </w:r>
          </w:p>
          <w:p w14:paraId="76733EDA" w14:textId="0FD2D53A" w:rsidR="00113036" w:rsidRPr="00113036" w:rsidRDefault="00113036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Leavis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2022</w:t>
            </w:r>
          </w:p>
        </w:tc>
      </w:tr>
      <w:tr w:rsidR="00D32FF7" w:rsidRPr="00644590" w14:paraId="3BBDF8DA" w14:textId="77777777" w:rsidTr="00CE2E57">
        <w:tc>
          <w:tcPr>
            <w:tcW w:w="1603" w:type="dxa"/>
          </w:tcPr>
          <w:p w14:paraId="42F372D6" w14:textId="4A49F5CB" w:rsidR="00D32FF7" w:rsidRPr="00644590" w:rsidRDefault="00D32FF7" w:rsidP="00D32FF7">
            <w:r w:rsidRPr="00644590">
              <w:t>IL10</w:t>
            </w:r>
          </w:p>
        </w:tc>
        <w:tc>
          <w:tcPr>
            <w:tcW w:w="4629" w:type="dxa"/>
          </w:tcPr>
          <w:p w14:paraId="10895E80" w14:textId="3E9917AE" w:rsidR="00D32FF7" w:rsidRPr="00644590" w:rsidRDefault="00D32FF7" w:rsidP="00345230">
            <w:pPr>
              <w:jc w:val="both"/>
            </w:pPr>
            <w:r w:rsidRPr="00644590">
              <w:t>Downregulates the expression of cytokines, antigens, and stimulant factors, limiting the host immune response.</w:t>
            </w:r>
            <w:r w:rsidR="00113036">
              <w:t xml:space="preserve"> It was found to drastically rise in severe cases of COVID-19.</w:t>
            </w:r>
          </w:p>
        </w:tc>
        <w:tc>
          <w:tcPr>
            <w:tcW w:w="3118" w:type="dxa"/>
          </w:tcPr>
          <w:p w14:paraId="14C589F1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Iyer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and Cheng, 2012</w:t>
            </w:r>
          </w:p>
          <w:p w14:paraId="00FB176A" w14:textId="5B9CC29B" w:rsidR="00113036" w:rsidRPr="00113036" w:rsidRDefault="00113036" w:rsidP="00D32FF7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Islam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2021</w:t>
            </w:r>
          </w:p>
        </w:tc>
      </w:tr>
      <w:tr w:rsidR="00D32FF7" w:rsidRPr="00644590" w14:paraId="1B94616B" w14:textId="77777777" w:rsidTr="00CE2E57">
        <w:tc>
          <w:tcPr>
            <w:tcW w:w="1603" w:type="dxa"/>
          </w:tcPr>
          <w:p w14:paraId="08903D06" w14:textId="3E548D80" w:rsidR="00D32FF7" w:rsidRPr="00644590" w:rsidRDefault="00D32FF7" w:rsidP="00D32FF7">
            <w:r w:rsidRPr="00644590">
              <w:t>IL17a</w:t>
            </w:r>
          </w:p>
        </w:tc>
        <w:tc>
          <w:tcPr>
            <w:tcW w:w="4629" w:type="dxa"/>
          </w:tcPr>
          <w:p w14:paraId="2081D40B" w14:textId="4565B465" w:rsidR="00D32FF7" w:rsidRPr="00644590" w:rsidRDefault="00D32FF7" w:rsidP="00345230">
            <w:pPr>
              <w:jc w:val="both"/>
            </w:pPr>
            <w:r w:rsidRPr="00644590">
              <w:t>Allows the maturation of non-mature immune cells. It also links activation of T cells to neutrophil mobilization.</w:t>
            </w:r>
            <w:r w:rsidR="009F5E40">
              <w:t xml:space="preserve"> Interestingly, it was linked as a marker of disease progression as it activates inflammatory pathways, resulting in cytokine storms.</w:t>
            </w:r>
          </w:p>
        </w:tc>
        <w:tc>
          <w:tcPr>
            <w:tcW w:w="3118" w:type="dxa"/>
          </w:tcPr>
          <w:p w14:paraId="7C3B1E83" w14:textId="77777777" w:rsidR="00D32FF7" w:rsidRDefault="00D32FF7" w:rsidP="00D32FF7">
            <w:r w:rsidRPr="00644590">
              <w:rPr>
                <w:color w:val="212121"/>
                <w:shd w:val="clear" w:color="auto" w:fill="FFFFFF"/>
              </w:rPr>
              <w:t xml:space="preserve">Zenobia and </w:t>
            </w:r>
            <w:proofErr w:type="spellStart"/>
            <w:r w:rsidRPr="00644590">
              <w:t>Hajishengallis</w:t>
            </w:r>
            <w:proofErr w:type="spellEnd"/>
            <w:r w:rsidRPr="00644590">
              <w:t>, 2015</w:t>
            </w:r>
          </w:p>
          <w:p w14:paraId="2FB05AB3" w14:textId="6CABABFA" w:rsidR="009F5E40" w:rsidRPr="009F5E40" w:rsidRDefault="009F5E40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t>Maione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D32FF7" w:rsidRPr="00644590" w14:paraId="5A272773" w14:textId="77777777" w:rsidTr="00CE2E57">
        <w:tc>
          <w:tcPr>
            <w:tcW w:w="1603" w:type="dxa"/>
          </w:tcPr>
          <w:p w14:paraId="7F6B10A0" w14:textId="342727BB" w:rsidR="00D32FF7" w:rsidRPr="00644590" w:rsidRDefault="00D32FF7" w:rsidP="00D32FF7">
            <w:r w:rsidRPr="00644590">
              <w:t>IL6</w:t>
            </w:r>
          </w:p>
        </w:tc>
        <w:tc>
          <w:tcPr>
            <w:tcW w:w="4629" w:type="dxa"/>
          </w:tcPr>
          <w:p w14:paraId="4969CDEC" w14:textId="433B2216" w:rsidR="00D32FF7" w:rsidRPr="00644590" w:rsidRDefault="00730E99" w:rsidP="00345230">
            <w:pPr>
              <w:jc w:val="both"/>
            </w:pPr>
            <w:r w:rsidRPr="00730E99">
              <w:rPr>
                <w:color w:val="212121"/>
                <w:shd w:val="clear" w:color="auto" w:fill="FFFFFF"/>
              </w:rPr>
              <w:t>IL-6 maintain both pro- and anti-inflammatory cascade by binding with its soluble and cognate receptor respectively.</w:t>
            </w:r>
            <w:r w:rsidR="00E81725">
              <w:rPr>
                <w:color w:val="212121"/>
                <w:shd w:val="clear" w:color="auto" w:fill="FFFFFF"/>
              </w:rPr>
              <w:t xml:space="preserve"> Its upregulation marks the progression of severity in COVID-19 patients.</w:t>
            </w:r>
          </w:p>
        </w:tc>
        <w:tc>
          <w:tcPr>
            <w:tcW w:w="3118" w:type="dxa"/>
          </w:tcPr>
          <w:p w14:paraId="1195E3CD" w14:textId="77777777" w:rsidR="00D32FF7" w:rsidRDefault="00730E99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Scheller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2011</w:t>
            </w:r>
          </w:p>
          <w:p w14:paraId="7B0DC40D" w14:textId="43F61F2C" w:rsidR="00E81725" w:rsidRPr="00E81725" w:rsidRDefault="00E81725" w:rsidP="00D32FF7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Cruz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2021</w:t>
            </w:r>
          </w:p>
        </w:tc>
      </w:tr>
      <w:tr w:rsidR="00D32FF7" w:rsidRPr="00644590" w14:paraId="5B776F00" w14:textId="77777777" w:rsidTr="00CE2E57">
        <w:tc>
          <w:tcPr>
            <w:tcW w:w="1603" w:type="dxa"/>
          </w:tcPr>
          <w:p w14:paraId="52BDAE7C" w14:textId="5D2C120A" w:rsidR="00D32FF7" w:rsidRPr="00644590" w:rsidRDefault="00D32FF7" w:rsidP="00D32FF7">
            <w:r w:rsidRPr="00644590">
              <w:lastRenderedPageBreak/>
              <w:t>IL7</w:t>
            </w:r>
          </w:p>
        </w:tc>
        <w:tc>
          <w:tcPr>
            <w:tcW w:w="4629" w:type="dxa"/>
          </w:tcPr>
          <w:p w14:paraId="51DBB359" w14:textId="7D4B218A" w:rsidR="00D32FF7" w:rsidRPr="00644590" w:rsidRDefault="00D32FF7" w:rsidP="00345230">
            <w:pPr>
              <w:jc w:val="both"/>
            </w:pPr>
            <w:r w:rsidRPr="00644590">
              <w:t>Stimulates cellular differentiation of hematopoietic stem cells into lymphoid progenitor cells.</w:t>
            </w:r>
            <w:r w:rsidR="008420C8">
              <w:t xml:space="preserve"> Therapies based on it were associated with restoration of lymphocytes, enhancing the antiviral activity.</w:t>
            </w:r>
          </w:p>
        </w:tc>
        <w:tc>
          <w:tcPr>
            <w:tcW w:w="3118" w:type="dxa"/>
          </w:tcPr>
          <w:p w14:paraId="4F8DE0F0" w14:textId="77777777" w:rsidR="008420C8" w:rsidRDefault="008420C8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Laterre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2020</w:t>
            </w:r>
          </w:p>
          <w:p w14:paraId="10FB3573" w14:textId="77777777" w:rsidR="008420C8" w:rsidRDefault="008420C8" w:rsidP="008420C8">
            <w:pPr>
              <w:rPr>
                <w:color w:val="212121"/>
                <w:shd w:val="clear" w:color="auto" w:fill="FFFFFF"/>
              </w:rPr>
            </w:pPr>
            <w:r w:rsidRPr="00644590">
              <w:rPr>
                <w:color w:val="212121"/>
                <w:shd w:val="clear" w:color="auto" w:fill="FFFFFF"/>
              </w:rPr>
              <w:t xml:space="preserve">Chen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2021</w:t>
            </w:r>
          </w:p>
          <w:p w14:paraId="747C312D" w14:textId="0E1B7CC2" w:rsidR="008420C8" w:rsidRPr="008420C8" w:rsidRDefault="008420C8" w:rsidP="00D32FF7">
            <w:pPr>
              <w:rPr>
                <w:color w:val="212121"/>
                <w:shd w:val="clear" w:color="auto" w:fill="FFFFFF"/>
              </w:rPr>
            </w:pPr>
          </w:p>
        </w:tc>
      </w:tr>
      <w:tr w:rsidR="00D32FF7" w:rsidRPr="00644590" w14:paraId="4429C352" w14:textId="77777777" w:rsidTr="00CE2E57">
        <w:tc>
          <w:tcPr>
            <w:tcW w:w="1603" w:type="dxa"/>
          </w:tcPr>
          <w:p w14:paraId="77FFA3A4" w14:textId="7EBCF30E" w:rsidR="00D32FF7" w:rsidRPr="00644590" w:rsidRDefault="00D32FF7" w:rsidP="00D32FF7">
            <w:r w:rsidRPr="00644590">
              <w:t>CCL2</w:t>
            </w:r>
          </w:p>
        </w:tc>
        <w:tc>
          <w:tcPr>
            <w:tcW w:w="4629" w:type="dxa"/>
          </w:tcPr>
          <w:p w14:paraId="2535BCA9" w14:textId="545A3B96" w:rsidR="00D32FF7" w:rsidRPr="00644590" w:rsidRDefault="00D32FF7" w:rsidP="00345230">
            <w:pPr>
              <w:jc w:val="both"/>
            </w:pPr>
            <w:r w:rsidRPr="00644590">
              <w:t>Promotes the recruitment of monocytes, T cells, and dendritic cells to sites of inflammation.</w:t>
            </w:r>
            <w:r w:rsidR="008420C8">
              <w:t xml:space="preserve"> High levels of it </w:t>
            </w:r>
            <w:r w:rsidR="00C7628F">
              <w:t>correlates with activation of coagulation and respiratory impairment, related to pathology of COVID-19.</w:t>
            </w:r>
          </w:p>
        </w:tc>
        <w:tc>
          <w:tcPr>
            <w:tcW w:w="3118" w:type="dxa"/>
          </w:tcPr>
          <w:p w14:paraId="1297C803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Carr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1994</w:t>
            </w:r>
          </w:p>
          <w:p w14:paraId="199354D2" w14:textId="74FB4AB5" w:rsidR="00C7628F" w:rsidRPr="00C7628F" w:rsidRDefault="00C7628F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Nieri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2021</w:t>
            </w:r>
          </w:p>
        </w:tc>
      </w:tr>
      <w:tr w:rsidR="00D32FF7" w:rsidRPr="00644590" w14:paraId="7AAF03BB" w14:textId="77777777" w:rsidTr="00CE2E57">
        <w:tc>
          <w:tcPr>
            <w:tcW w:w="1603" w:type="dxa"/>
          </w:tcPr>
          <w:p w14:paraId="5DCF9194" w14:textId="31C54FBB" w:rsidR="00D32FF7" w:rsidRPr="00644590" w:rsidRDefault="00D32FF7" w:rsidP="00D32FF7">
            <w:r w:rsidRPr="00644590">
              <w:t>GRANB</w:t>
            </w:r>
          </w:p>
        </w:tc>
        <w:tc>
          <w:tcPr>
            <w:tcW w:w="4629" w:type="dxa"/>
          </w:tcPr>
          <w:p w14:paraId="7F10BB58" w14:textId="7F007BCB" w:rsidR="00D32FF7" w:rsidRPr="00644590" w:rsidRDefault="00D32FF7" w:rsidP="00345230">
            <w:pPr>
              <w:jc w:val="both"/>
            </w:pPr>
            <w:r w:rsidRPr="00644590">
              <w:t>It is found in the granules of immune cells. This enzyme is secreted to mediate apoptosis.</w:t>
            </w:r>
            <w:r w:rsidR="00C7628F">
              <w:t xml:space="preserve"> GRANB inhibitors are potential targets for therapeutics, aiming to regulate the pro-inflammatory activity of the biomarker.</w:t>
            </w:r>
          </w:p>
        </w:tc>
        <w:tc>
          <w:tcPr>
            <w:tcW w:w="3118" w:type="dxa"/>
          </w:tcPr>
          <w:p w14:paraId="3FF02457" w14:textId="7C81E3F6" w:rsidR="00D32FF7" w:rsidRPr="00644590" w:rsidRDefault="00D32FF7" w:rsidP="00D32FF7">
            <w:proofErr w:type="spellStart"/>
            <w:r w:rsidRPr="00644590">
              <w:t>Velotti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2020</w:t>
            </w:r>
          </w:p>
        </w:tc>
      </w:tr>
      <w:tr w:rsidR="00D32FF7" w:rsidRPr="00644590" w14:paraId="3950E03E" w14:textId="77777777" w:rsidTr="00CE2E57">
        <w:tc>
          <w:tcPr>
            <w:tcW w:w="1603" w:type="dxa"/>
          </w:tcPr>
          <w:p w14:paraId="7DE31F66" w14:textId="4A874334" w:rsidR="00D32FF7" w:rsidRPr="00644590" w:rsidRDefault="00D32FF7" w:rsidP="00D32FF7">
            <w:proofErr w:type="spellStart"/>
            <w:r w:rsidRPr="00644590">
              <w:t>IFNɣ</w:t>
            </w:r>
            <w:proofErr w:type="spellEnd"/>
          </w:p>
        </w:tc>
        <w:tc>
          <w:tcPr>
            <w:tcW w:w="4629" w:type="dxa"/>
          </w:tcPr>
          <w:p w14:paraId="0D38752F" w14:textId="085A6464" w:rsidR="00D32FF7" w:rsidRPr="00644590" w:rsidRDefault="00D32FF7" w:rsidP="00345230">
            <w:pPr>
              <w:jc w:val="both"/>
            </w:pPr>
            <w:r w:rsidRPr="00644590">
              <w:t>Primary activator of macrophages and stimulant of natural killer cells and neutrophils.</w:t>
            </w:r>
            <w:r w:rsidR="00FB0A51">
              <w:t xml:space="preserve"> Its expression was found to be higher in immune cells of critically ill patients.</w:t>
            </w:r>
          </w:p>
        </w:tc>
        <w:tc>
          <w:tcPr>
            <w:tcW w:w="3118" w:type="dxa"/>
          </w:tcPr>
          <w:p w14:paraId="3AA861EB" w14:textId="77777777" w:rsidR="00D32FF7" w:rsidRDefault="00D32FF7" w:rsidP="00D32FF7">
            <w:r w:rsidRPr="00644590">
              <w:t>Schoenborn and Wilson, 2007</w:t>
            </w:r>
          </w:p>
          <w:p w14:paraId="49F4398E" w14:textId="21BA5A93" w:rsidR="00FB0A51" w:rsidRPr="00FB0A51" w:rsidRDefault="00FB0A51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Gadotti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2020</w:t>
            </w:r>
          </w:p>
        </w:tc>
      </w:tr>
      <w:tr w:rsidR="00D32FF7" w:rsidRPr="00644590" w14:paraId="72D438AA" w14:textId="77777777" w:rsidTr="00CE2E57">
        <w:tc>
          <w:tcPr>
            <w:tcW w:w="1603" w:type="dxa"/>
          </w:tcPr>
          <w:p w14:paraId="5AE546A9" w14:textId="4FA60801" w:rsidR="00D32FF7" w:rsidRPr="00644590" w:rsidRDefault="00D32FF7" w:rsidP="00D32FF7">
            <w:r w:rsidRPr="00644590">
              <w:t>IL12</w:t>
            </w:r>
          </w:p>
        </w:tc>
        <w:tc>
          <w:tcPr>
            <w:tcW w:w="4629" w:type="dxa"/>
          </w:tcPr>
          <w:p w14:paraId="28D49757" w14:textId="71F53930" w:rsidR="00D32FF7" w:rsidRPr="00644590" w:rsidRDefault="00D32FF7" w:rsidP="00345230">
            <w:pPr>
              <w:jc w:val="both"/>
            </w:pPr>
            <w:r w:rsidRPr="00644590">
              <w:t>It activates T cells and natural killers; it also increases their toxicity.</w:t>
            </w:r>
            <w:r w:rsidR="00FB0A51">
              <w:t xml:space="preserve"> High levels of it were associated with severe progression of COVID-19.</w:t>
            </w:r>
          </w:p>
        </w:tc>
        <w:tc>
          <w:tcPr>
            <w:tcW w:w="3118" w:type="dxa"/>
          </w:tcPr>
          <w:p w14:paraId="788E9F4B" w14:textId="77777777" w:rsidR="00D32FF7" w:rsidRDefault="00D32FF7" w:rsidP="00D32FF7">
            <w:proofErr w:type="spellStart"/>
            <w:r w:rsidRPr="00644590">
              <w:t>Kaliński</w:t>
            </w:r>
            <w:proofErr w:type="spellEnd"/>
            <w:r w:rsidRPr="00644590">
              <w:t xml:space="preserve"> </w:t>
            </w:r>
            <w:r w:rsidRPr="00644590">
              <w:rPr>
                <w:i/>
                <w:iCs/>
              </w:rPr>
              <w:t xml:space="preserve">et </w:t>
            </w:r>
            <w:r w:rsidRPr="00644590">
              <w:t>al, 1997</w:t>
            </w:r>
          </w:p>
          <w:p w14:paraId="7EBEA531" w14:textId="203F3D7B" w:rsidR="00FB0A51" w:rsidRPr="00FB0A51" w:rsidRDefault="00FB0A51" w:rsidP="00D32FF7">
            <w:pPr>
              <w:rPr>
                <w:color w:val="212121"/>
                <w:shd w:val="clear" w:color="auto" w:fill="FFFFFF"/>
              </w:rPr>
            </w:pPr>
            <w:r>
              <w:t>Moll-</w:t>
            </w:r>
            <w:proofErr w:type="spellStart"/>
            <w:r>
              <w:t>Bernardes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et </w:t>
            </w:r>
            <w:r>
              <w:t>al, 2021</w:t>
            </w:r>
          </w:p>
        </w:tc>
      </w:tr>
      <w:tr w:rsidR="00D32FF7" w:rsidRPr="00644590" w14:paraId="74088243" w14:textId="77777777" w:rsidTr="00CE2E57">
        <w:tc>
          <w:tcPr>
            <w:tcW w:w="1603" w:type="dxa"/>
          </w:tcPr>
          <w:p w14:paraId="35E56F02" w14:textId="4CA3A242" w:rsidR="00D32FF7" w:rsidRPr="00644590" w:rsidRDefault="00D32FF7" w:rsidP="00D32FF7">
            <w:r w:rsidRPr="00644590">
              <w:t>IL15</w:t>
            </w:r>
          </w:p>
        </w:tc>
        <w:tc>
          <w:tcPr>
            <w:tcW w:w="4629" w:type="dxa"/>
          </w:tcPr>
          <w:p w14:paraId="3DE07465" w14:textId="1912352B" w:rsidR="00D32FF7" w:rsidRPr="00644590" w:rsidRDefault="00D32FF7" w:rsidP="00345230">
            <w:pPr>
              <w:jc w:val="both"/>
            </w:pPr>
            <w:r w:rsidRPr="00644590">
              <w:t>It regulates the activation and proliferation of T cells and natural killers.</w:t>
            </w:r>
            <w:r w:rsidR="00FB0A51">
              <w:t xml:space="preserve"> It has a role in viral clearance and has been suggested as a potential </w:t>
            </w:r>
            <w:r w:rsidR="003E7B87">
              <w:t>immunotherapy.</w:t>
            </w:r>
          </w:p>
        </w:tc>
        <w:tc>
          <w:tcPr>
            <w:tcW w:w="3118" w:type="dxa"/>
          </w:tcPr>
          <w:p w14:paraId="7442FB00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Perera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2012</w:t>
            </w:r>
          </w:p>
          <w:p w14:paraId="66DE2A45" w14:textId="6B4A9764" w:rsidR="003E7B87" w:rsidRPr="003E7B87" w:rsidRDefault="003E7B8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121"/>
                <w:shd w:val="clear" w:color="auto" w:fill="FFFFFF"/>
              </w:rPr>
              <w:t>Kandikattu</w:t>
            </w:r>
            <w:proofErr w:type="spellEnd"/>
            <w:r>
              <w:rPr>
                <w:color w:val="212121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2020</w:t>
            </w:r>
          </w:p>
        </w:tc>
      </w:tr>
      <w:tr w:rsidR="00D32FF7" w:rsidRPr="00644590" w14:paraId="50D9A8AD" w14:textId="77777777" w:rsidTr="00CE2E57">
        <w:tc>
          <w:tcPr>
            <w:tcW w:w="1603" w:type="dxa"/>
          </w:tcPr>
          <w:p w14:paraId="2FBA118E" w14:textId="6EB043AC" w:rsidR="00D32FF7" w:rsidRPr="00644590" w:rsidRDefault="00D32FF7" w:rsidP="00D32FF7">
            <w:r w:rsidRPr="00644590">
              <w:t>IL2</w:t>
            </w:r>
          </w:p>
        </w:tc>
        <w:tc>
          <w:tcPr>
            <w:tcW w:w="4629" w:type="dxa"/>
          </w:tcPr>
          <w:p w14:paraId="1040322E" w14:textId="329A1F5F" w:rsidR="00D32FF7" w:rsidRPr="00644590" w:rsidRDefault="00D32FF7" w:rsidP="00345230">
            <w:pPr>
              <w:jc w:val="both"/>
            </w:pPr>
            <w:r w:rsidRPr="00644590">
              <w:t>It is a T-cell growth factor.</w:t>
            </w:r>
            <w:r w:rsidR="003E7B87">
              <w:t xml:space="preserve"> Its levels were found elevated in critical COVID-19 patients.</w:t>
            </w:r>
          </w:p>
        </w:tc>
        <w:tc>
          <w:tcPr>
            <w:tcW w:w="3118" w:type="dxa"/>
          </w:tcPr>
          <w:p w14:paraId="3D0A2467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r w:rsidRPr="00644590">
              <w:rPr>
                <w:color w:val="212121"/>
                <w:shd w:val="clear" w:color="auto" w:fill="FFFFFF"/>
              </w:rPr>
              <w:t xml:space="preserve">Jian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2016</w:t>
            </w:r>
          </w:p>
          <w:p w14:paraId="09D1CE07" w14:textId="637C4CC5" w:rsidR="003E7B87" w:rsidRPr="003E7B87" w:rsidRDefault="003E7B87" w:rsidP="00D32FF7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Shi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2020</w:t>
            </w:r>
          </w:p>
        </w:tc>
      </w:tr>
      <w:tr w:rsidR="00D32FF7" w:rsidRPr="00B23A53" w14:paraId="68515878" w14:textId="77777777" w:rsidTr="00CE2E57">
        <w:tc>
          <w:tcPr>
            <w:tcW w:w="1603" w:type="dxa"/>
          </w:tcPr>
          <w:p w14:paraId="0F8856A4" w14:textId="2A4DA077" w:rsidR="00D32FF7" w:rsidRPr="00644590" w:rsidRDefault="00D32FF7" w:rsidP="00D32FF7">
            <w:r w:rsidRPr="00644590">
              <w:t>IL4</w:t>
            </w:r>
          </w:p>
        </w:tc>
        <w:tc>
          <w:tcPr>
            <w:tcW w:w="4629" w:type="dxa"/>
          </w:tcPr>
          <w:p w14:paraId="7C7099E1" w14:textId="4082E2BA" w:rsidR="00D32FF7" w:rsidRPr="00644590" w:rsidRDefault="00D32FF7" w:rsidP="00345230">
            <w:pPr>
              <w:jc w:val="both"/>
            </w:pPr>
            <w:r w:rsidRPr="00644590">
              <w:t>It induces the differentiation of naïve T cells into Th2 cells. It also regulates antibody production.</w:t>
            </w:r>
            <w:r w:rsidR="003E7B87">
              <w:t xml:space="preserve"> When compared to H1N1 patients, higher levels of IL4 were found in COVID-19 induced lung injuries.</w:t>
            </w:r>
          </w:p>
        </w:tc>
        <w:tc>
          <w:tcPr>
            <w:tcW w:w="3118" w:type="dxa"/>
          </w:tcPr>
          <w:p w14:paraId="1B5BB604" w14:textId="7840CCD0" w:rsidR="00D32FF7" w:rsidRDefault="00644590" w:rsidP="00D32FF7">
            <w:pPr>
              <w:rPr>
                <w:color w:val="212121"/>
                <w:shd w:val="clear" w:color="auto" w:fill="FFFFFF"/>
              </w:rPr>
            </w:pPr>
            <w:r w:rsidRPr="00644590">
              <w:rPr>
                <w:color w:val="212121"/>
                <w:shd w:val="clear" w:color="auto" w:fill="FFFFFF"/>
              </w:rPr>
              <w:t xml:space="preserve">Gadani </w:t>
            </w:r>
            <w:r w:rsidRPr="00644590"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 w:rsidRPr="00644590">
              <w:rPr>
                <w:color w:val="212121"/>
                <w:shd w:val="clear" w:color="auto" w:fill="FFFFFF"/>
              </w:rPr>
              <w:t>al, 2013</w:t>
            </w:r>
          </w:p>
          <w:p w14:paraId="68FE4032" w14:textId="70F6751A" w:rsidR="003E7B87" w:rsidRPr="00B23A53" w:rsidRDefault="00B23A53" w:rsidP="00D32FF7">
            <w:pPr>
              <w:rPr>
                <w:lang w:val="pt-BR"/>
              </w:rPr>
            </w:pPr>
            <w:r w:rsidRPr="00B23A53">
              <w:rPr>
                <w:color w:val="212121"/>
                <w:shd w:val="clear" w:color="auto" w:fill="FFFFFF"/>
                <w:lang w:val="pt-BR"/>
              </w:rPr>
              <w:t>Vaz d</w:t>
            </w:r>
            <w:r w:rsidR="003E7B87" w:rsidRPr="00B23A53">
              <w:rPr>
                <w:color w:val="212121"/>
                <w:shd w:val="clear" w:color="auto" w:fill="FFFFFF"/>
                <w:lang w:val="pt-BR"/>
              </w:rPr>
              <w:t xml:space="preserve">e Paula </w:t>
            </w:r>
            <w:r w:rsidR="003E7B87" w:rsidRPr="00B23A53">
              <w:rPr>
                <w:i/>
                <w:iCs/>
                <w:color w:val="212121"/>
                <w:shd w:val="clear" w:color="auto" w:fill="FFFFFF"/>
                <w:lang w:val="pt-BR"/>
              </w:rPr>
              <w:t xml:space="preserve">et </w:t>
            </w:r>
            <w:r w:rsidR="003E7B87" w:rsidRPr="00B23A53">
              <w:rPr>
                <w:color w:val="212121"/>
                <w:shd w:val="clear" w:color="auto" w:fill="FFFFFF"/>
                <w:lang w:val="pt-BR"/>
              </w:rPr>
              <w:t>al, 2020</w:t>
            </w:r>
          </w:p>
          <w:p w14:paraId="06CC57CF" w14:textId="77777777" w:rsidR="00D32FF7" w:rsidRPr="00B23A53" w:rsidRDefault="00D32FF7" w:rsidP="00D32FF7">
            <w:pPr>
              <w:rPr>
                <w:color w:val="212121"/>
                <w:shd w:val="clear" w:color="auto" w:fill="FFFFFF"/>
                <w:lang w:val="pt-BR"/>
              </w:rPr>
            </w:pPr>
          </w:p>
        </w:tc>
      </w:tr>
      <w:tr w:rsidR="00D32FF7" w:rsidRPr="00644590" w14:paraId="24670996" w14:textId="77777777" w:rsidTr="00CE2E57">
        <w:tc>
          <w:tcPr>
            <w:tcW w:w="1603" w:type="dxa"/>
          </w:tcPr>
          <w:p w14:paraId="31AA2F6E" w14:textId="654C76BA" w:rsidR="00D32FF7" w:rsidRPr="00644590" w:rsidRDefault="00D32FF7" w:rsidP="00D32FF7">
            <w:r w:rsidRPr="00644590">
              <w:t>TNF-ɑ</w:t>
            </w:r>
          </w:p>
        </w:tc>
        <w:tc>
          <w:tcPr>
            <w:tcW w:w="4629" w:type="dxa"/>
          </w:tcPr>
          <w:p w14:paraId="68EA6C65" w14:textId="4D9BC34D" w:rsidR="00D32FF7" w:rsidRPr="00644590" w:rsidRDefault="00D32FF7" w:rsidP="00345230">
            <w:pPr>
              <w:jc w:val="both"/>
            </w:pPr>
            <w:r w:rsidRPr="00644590">
              <w:t xml:space="preserve">It mediates inflammatory responses by regulating growth and differentiation of several immune cells. </w:t>
            </w:r>
            <w:r w:rsidR="00F4450D">
              <w:t>Inhibitors of this protein were linked to a lower probability of hospitalization.</w:t>
            </w:r>
          </w:p>
        </w:tc>
        <w:tc>
          <w:tcPr>
            <w:tcW w:w="3118" w:type="dxa"/>
          </w:tcPr>
          <w:p w14:paraId="7F9DB0F8" w14:textId="77777777" w:rsidR="00D32FF7" w:rsidRDefault="00D32FF7" w:rsidP="00D32FF7">
            <w:pPr>
              <w:rPr>
                <w:color w:val="212121"/>
                <w:shd w:val="clear" w:color="auto" w:fill="FFFFFF"/>
              </w:rPr>
            </w:pPr>
            <w:proofErr w:type="spellStart"/>
            <w:r w:rsidRPr="00644590">
              <w:rPr>
                <w:color w:val="212121"/>
                <w:shd w:val="clear" w:color="auto" w:fill="FFFFFF"/>
              </w:rPr>
              <w:t>Idriss</w:t>
            </w:r>
            <w:proofErr w:type="spellEnd"/>
            <w:r w:rsidRPr="00644590">
              <w:rPr>
                <w:color w:val="212121"/>
                <w:shd w:val="clear" w:color="auto" w:fill="FFFFFF"/>
              </w:rPr>
              <w:t xml:space="preserve"> and Naismith, 2000.</w:t>
            </w:r>
          </w:p>
          <w:p w14:paraId="044D4BF1" w14:textId="2FD28BEE" w:rsidR="00F4450D" w:rsidRPr="00F4450D" w:rsidRDefault="00F4450D" w:rsidP="00D32FF7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Guo </w:t>
            </w:r>
            <w:r>
              <w:rPr>
                <w:i/>
                <w:iCs/>
                <w:color w:val="212121"/>
                <w:shd w:val="clear" w:color="auto" w:fill="FFFFFF"/>
              </w:rPr>
              <w:t xml:space="preserve">et </w:t>
            </w:r>
            <w:r>
              <w:rPr>
                <w:color w:val="212121"/>
                <w:shd w:val="clear" w:color="auto" w:fill="FFFFFF"/>
              </w:rPr>
              <w:t>al, 2022</w:t>
            </w:r>
          </w:p>
        </w:tc>
      </w:tr>
    </w:tbl>
    <w:p w14:paraId="4148D448" w14:textId="39F756C3" w:rsidR="00C60137" w:rsidRDefault="00C60137"/>
    <w:p w14:paraId="60C85B78" w14:textId="39A8ADE8" w:rsidR="00B23A53" w:rsidRDefault="00B23A53"/>
    <w:p w14:paraId="17247B3F" w14:textId="6D98CAD1" w:rsidR="00345230" w:rsidRDefault="00345230"/>
    <w:p w14:paraId="19A9B734" w14:textId="1EE6025C" w:rsidR="00345230" w:rsidRDefault="00345230"/>
    <w:p w14:paraId="78F54D4C" w14:textId="77777777" w:rsidR="00345230" w:rsidRDefault="00345230"/>
    <w:p w14:paraId="5619EBBF" w14:textId="77777777" w:rsidR="00B23A53" w:rsidRPr="00644590" w:rsidRDefault="00B23A53"/>
    <w:p w14:paraId="2CAA7DC2" w14:textId="60B37753" w:rsidR="00167B54" w:rsidRPr="00644590" w:rsidRDefault="00167B54">
      <w:r w:rsidRPr="00644590">
        <w:lastRenderedPageBreak/>
        <w:t>References</w:t>
      </w:r>
    </w:p>
    <w:p w14:paraId="204E5BE5" w14:textId="79282D24" w:rsidR="00167B54" w:rsidRPr="00644590" w:rsidRDefault="00167B54"/>
    <w:p w14:paraId="71F0739F" w14:textId="77777777" w:rsidR="00AA6EBA" w:rsidRPr="00644590" w:rsidRDefault="00AA6EBA" w:rsidP="00167B54"/>
    <w:p w14:paraId="715C4568" w14:textId="77777777" w:rsidR="00D32FF7" w:rsidRPr="00644590" w:rsidRDefault="00D32FF7" w:rsidP="00D32FF7">
      <w:proofErr w:type="spellStart"/>
      <w:r w:rsidRPr="00644590">
        <w:t>Ahmadzadeh</w:t>
      </w:r>
      <w:proofErr w:type="spellEnd"/>
      <w:r w:rsidRPr="00644590">
        <w:t xml:space="preserve">, M., Johnson, L. A., Heemskerk, B., Wunderlich, J. R., Dudley, M. E., White, D. E., &amp; Rosenberg, S. A. (2009). Tumor antigen-specific CD8 T cells infiltrating the tumor express high levels of PD-1 and are functionally impaired. </w:t>
      </w:r>
      <w:r w:rsidRPr="00644590">
        <w:rPr>
          <w:i/>
          <w:iCs/>
        </w:rPr>
        <w:t>Blood</w:t>
      </w:r>
      <w:r w:rsidRPr="00644590">
        <w:t xml:space="preserve">, </w:t>
      </w:r>
      <w:r w:rsidRPr="00644590">
        <w:rPr>
          <w:i/>
          <w:iCs/>
        </w:rPr>
        <w:t>114</w:t>
      </w:r>
      <w:r w:rsidRPr="00644590">
        <w:t>(8). https://doi.org/10.1182/blood-2008-12-195792</w:t>
      </w:r>
    </w:p>
    <w:p w14:paraId="17E79D28" w14:textId="77777777" w:rsidR="00D32FF7" w:rsidRPr="00644590" w:rsidRDefault="00D32FF7" w:rsidP="00D32FF7"/>
    <w:p w14:paraId="6AF4504D" w14:textId="159F3602" w:rsidR="00D32FF7" w:rsidRPr="00644590" w:rsidRDefault="00D32FF7" w:rsidP="00D32FF7">
      <w:proofErr w:type="spellStart"/>
      <w:r w:rsidRPr="00644590">
        <w:t>Andenæs</w:t>
      </w:r>
      <w:proofErr w:type="spellEnd"/>
      <w:r w:rsidRPr="00644590">
        <w:t xml:space="preserve">, R., </w:t>
      </w:r>
      <w:proofErr w:type="spellStart"/>
      <w:r w:rsidRPr="00644590">
        <w:t>Småstuen</w:t>
      </w:r>
      <w:proofErr w:type="spellEnd"/>
      <w:r w:rsidRPr="00644590">
        <w:t xml:space="preserve">, M. C., </w:t>
      </w:r>
      <w:proofErr w:type="spellStart"/>
      <w:r w:rsidRPr="00644590">
        <w:t>Misvær</w:t>
      </w:r>
      <w:proofErr w:type="spellEnd"/>
      <w:r w:rsidRPr="00644590">
        <w:t xml:space="preserve">, N., </w:t>
      </w:r>
      <w:proofErr w:type="spellStart"/>
      <w:r w:rsidRPr="00644590">
        <w:t>Ribu</w:t>
      </w:r>
      <w:proofErr w:type="spellEnd"/>
      <w:r w:rsidRPr="00644590">
        <w:t xml:space="preserve">, L., </w:t>
      </w:r>
      <w:proofErr w:type="spellStart"/>
      <w:r w:rsidRPr="00644590">
        <w:t>Vistad</w:t>
      </w:r>
      <w:proofErr w:type="spellEnd"/>
      <w:r w:rsidRPr="00644590">
        <w:t xml:space="preserve">, I., </w:t>
      </w:r>
      <w:proofErr w:type="spellStart"/>
      <w:r w:rsidRPr="00644590">
        <w:t>Helseth</w:t>
      </w:r>
      <w:proofErr w:type="spellEnd"/>
      <w:r w:rsidRPr="00644590">
        <w:t xml:space="preserve">, S., Rahman, A., Jackson, H., Hristov, H., Isaacson, R. S., </w:t>
      </w:r>
      <w:proofErr w:type="spellStart"/>
      <w:r w:rsidRPr="00644590">
        <w:t>Saif</w:t>
      </w:r>
      <w:proofErr w:type="spellEnd"/>
      <w:r w:rsidRPr="00644590">
        <w:t xml:space="preserve">, N., Shetty, T., </w:t>
      </w:r>
      <w:proofErr w:type="spellStart"/>
      <w:r w:rsidRPr="00644590">
        <w:t>Etingin</w:t>
      </w:r>
      <w:proofErr w:type="spellEnd"/>
      <w:r w:rsidRPr="00644590">
        <w:t xml:space="preserve">, O., </w:t>
      </w:r>
      <w:proofErr w:type="spellStart"/>
      <w:r w:rsidRPr="00644590">
        <w:t>Henchcliffe</w:t>
      </w:r>
      <w:proofErr w:type="spellEnd"/>
      <w:r w:rsidRPr="00644590">
        <w:t>, C., Brinton, R. D., Mosconi, L., Correa-Rodríguez, M., Mansouri-</w:t>
      </w:r>
      <w:proofErr w:type="spellStart"/>
      <w:r w:rsidRPr="00644590">
        <w:t>Yachou</w:t>
      </w:r>
      <w:proofErr w:type="spellEnd"/>
      <w:r w:rsidRPr="00644590">
        <w:t>, J. el, Casas-</w:t>
      </w:r>
      <w:proofErr w:type="spellStart"/>
      <w:r w:rsidRPr="00644590">
        <w:t>Barragán</w:t>
      </w:r>
      <w:proofErr w:type="spellEnd"/>
      <w:r w:rsidRPr="00644590">
        <w:t xml:space="preserve">, A., … Payam, F. (2018). Mayo Clinic - Pharmaceuticals &amp;amp; Healthcare - Deals and Alliances Profile. </w:t>
      </w:r>
      <w:r w:rsidRPr="00644590">
        <w:rPr>
          <w:i/>
          <w:iCs/>
        </w:rPr>
        <w:t>ProQuest Dissertations and Theses</w:t>
      </w:r>
      <w:r w:rsidRPr="00644590">
        <w:t xml:space="preserve">, </w:t>
      </w:r>
      <w:r w:rsidRPr="00644590">
        <w:rPr>
          <w:i/>
          <w:iCs/>
        </w:rPr>
        <w:t>17</w:t>
      </w:r>
      <w:r w:rsidRPr="00644590">
        <w:t>(2).</w:t>
      </w:r>
    </w:p>
    <w:p w14:paraId="4C5A7F85" w14:textId="277D8242" w:rsidR="00D32FF7" w:rsidRPr="00644590" w:rsidRDefault="00D32FF7" w:rsidP="00AA6EBA"/>
    <w:p w14:paraId="39E3449F" w14:textId="77777777" w:rsidR="008C38F0" w:rsidRPr="00644590" w:rsidRDefault="008C38F0" w:rsidP="008C38F0">
      <w:proofErr w:type="spellStart"/>
      <w:r w:rsidRPr="00644590">
        <w:t>Asakura</w:t>
      </w:r>
      <w:proofErr w:type="spellEnd"/>
      <w:r w:rsidRPr="00644590">
        <w:t xml:space="preserve">, H., &amp; Ogawa, H. (2021). COVID-19-associated coagulopathy and disseminated intravascular coagulation. </w:t>
      </w:r>
      <w:r w:rsidRPr="00644590">
        <w:rPr>
          <w:i/>
          <w:iCs/>
        </w:rPr>
        <w:t>International Journal of Hematology</w:t>
      </w:r>
      <w:r w:rsidRPr="00644590">
        <w:t xml:space="preserve">, </w:t>
      </w:r>
      <w:r w:rsidRPr="00644590">
        <w:rPr>
          <w:i/>
          <w:iCs/>
        </w:rPr>
        <w:t>113</w:t>
      </w:r>
      <w:r w:rsidRPr="00644590">
        <w:t>(1). https://doi.org/10.1007/s12185-020-03029-y</w:t>
      </w:r>
    </w:p>
    <w:p w14:paraId="14FAE490" w14:textId="77777777" w:rsidR="008C38F0" w:rsidRPr="00644590" w:rsidRDefault="008C38F0" w:rsidP="00AA6EBA"/>
    <w:p w14:paraId="02927811" w14:textId="77777777" w:rsidR="00D32FF7" w:rsidRPr="00D32FF7" w:rsidRDefault="00D32FF7" w:rsidP="00D32FF7">
      <w:proofErr w:type="spellStart"/>
      <w:r w:rsidRPr="00D32FF7">
        <w:t>Brender</w:t>
      </w:r>
      <w:proofErr w:type="spellEnd"/>
      <w:r w:rsidRPr="00D32FF7">
        <w:t xml:space="preserve"> E, </w:t>
      </w:r>
      <w:proofErr w:type="spellStart"/>
      <w:r w:rsidRPr="00D32FF7">
        <w:t>Lynm</w:t>
      </w:r>
      <w:proofErr w:type="spellEnd"/>
      <w:r w:rsidRPr="00D32FF7">
        <w:t xml:space="preserve"> C, Glass RM. Granulocyte-Colony Stimulating Factor. </w:t>
      </w:r>
      <w:r w:rsidRPr="00D32FF7">
        <w:rPr>
          <w:i/>
          <w:iCs/>
        </w:rPr>
        <w:t>JAMA.</w:t>
      </w:r>
      <w:r w:rsidRPr="00D32FF7">
        <w:t> 2006;295(9):1088. doi:10.1001/jama.295.9.1088</w:t>
      </w:r>
    </w:p>
    <w:p w14:paraId="27C1F274" w14:textId="77777777" w:rsidR="00D32FF7" w:rsidRPr="00644590" w:rsidRDefault="00D32FF7" w:rsidP="00AA6EBA"/>
    <w:p w14:paraId="55B3575D" w14:textId="6180DD98" w:rsidR="00AA6EBA" w:rsidRPr="00644590" w:rsidRDefault="00AA6EBA" w:rsidP="00AA6EBA">
      <w:proofErr w:type="spellStart"/>
      <w:r w:rsidRPr="00644590">
        <w:t>Carr</w:t>
      </w:r>
      <w:proofErr w:type="spellEnd"/>
      <w:r w:rsidRPr="00644590">
        <w:t xml:space="preserve">, M. W., Roth, S. J., Luther, E., Rose, S. S., &amp; Springer, T. A. (1994). Monocyte chemoattractant protein 1 acts as a T-lymphocyte chemoattractant. </w:t>
      </w:r>
      <w:r w:rsidRPr="00644590">
        <w:rPr>
          <w:i/>
          <w:iCs/>
        </w:rPr>
        <w:t>Proceedings of the National Academy of Sciences of the United States of America</w:t>
      </w:r>
      <w:r w:rsidRPr="00644590">
        <w:t xml:space="preserve">, </w:t>
      </w:r>
      <w:r w:rsidRPr="00644590">
        <w:rPr>
          <w:i/>
          <w:iCs/>
        </w:rPr>
        <w:t>91</w:t>
      </w:r>
      <w:r w:rsidRPr="00644590">
        <w:t>(9). https://doi.org/10.1073/pnas.91.9.3652</w:t>
      </w:r>
    </w:p>
    <w:p w14:paraId="340944C3" w14:textId="39B528B0" w:rsidR="00AA6EBA" w:rsidRPr="00644590" w:rsidRDefault="00AA6EBA" w:rsidP="00167B54"/>
    <w:p w14:paraId="265D1F64" w14:textId="77777777" w:rsidR="00AA6EBA" w:rsidRPr="00644590" w:rsidRDefault="00AA6EBA" w:rsidP="00AA6EBA">
      <w:r w:rsidRPr="00644590">
        <w:t xml:space="preserve">Chen, D., Tang, T. X., Deng, H., Yang, X. P., &amp; Tang, Z. H. (2021). Interleukin-7 Biology and Its Effects on Immune Cells: Mediator of Generation, Differentiation, Survival, and Homeostasis. In </w:t>
      </w:r>
      <w:r w:rsidRPr="00644590">
        <w:rPr>
          <w:i/>
          <w:iCs/>
        </w:rPr>
        <w:t>Frontiers in Immunology</w:t>
      </w:r>
      <w:r w:rsidRPr="00644590">
        <w:t xml:space="preserve"> (Vol. 12). https://doi.org/10.3389/fimmu.2021.747324</w:t>
      </w:r>
    </w:p>
    <w:p w14:paraId="73E8D856" w14:textId="77777777" w:rsidR="00AA6EBA" w:rsidRPr="00730E99" w:rsidRDefault="00AA6EBA" w:rsidP="00AA6EBA"/>
    <w:p w14:paraId="7ABFFAB9" w14:textId="77777777" w:rsidR="00665E1D" w:rsidRDefault="00665E1D" w:rsidP="00665E1D">
      <w:r>
        <w:t xml:space="preserve">Conti, P., </w:t>
      </w:r>
      <w:proofErr w:type="spellStart"/>
      <w:r>
        <w:t>Ronconi</w:t>
      </w:r>
      <w:proofErr w:type="spellEnd"/>
      <w:r>
        <w:t xml:space="preserve">, G., </w:t>
      </w:r>
      <w:proofErr w:type="spellStart"/>
      <w:r>
        <w:t>Caraffa</w:t>
      </w:r>
      <w:proofErr w:type="spellEnd"/>
      <w:r>
        <w:t xml:space="preserve">, A., </w:t>
      </w:r>
      <w:proofErr w:type="spellStart"/>
      <w:r>
        <w:t>Gallenga</w:t>
      </w:r>
      <w:proofErr w:type="spellEnd"/>
      <w:r>
        <w:t xml:space="preserve">, C. E., Ross, R., </w:t>
      </w:r>
      <w:proofErr w:type="spellStart"/>
      <w:r>
        <w:t>Frydas</w:t>
      </w:r>
      <w:proofErr w:type="spellEnd"/>
      <w:r>
        <w:t xml:space="preserve">, I., &amp; </w:t>
      </w:r>
      <w:proofErr w:type="spellStart"/>
      <w:r>
        <w:t>Kritas</w:t>
      </w:r>
      <w:proofErr w:type="spellEnd"/>
      <w:r>
        <w:t xml:space="preserve">, S. K. (2020). Induction of pro-inflammatory cytokines (IL-1 and IL-6) and lung inflammation by Coronavirus-19 (COVI-19 or SARS-CoV-2): anti-inflammatory strategies. In </w:t>
      </w:r>
      <w:r>
        <w:rPr>
          <w:i/>
          <w:iCs/>
        </w:rPr>
        <w:t>Journal of biological regulators and homeostatic agents</w:t>
      </w:r>
      <w:r>
        <w:t xml:space="preserve"> (Vol. 34, Issue 2). https://doi.org/10.23812/CONTI-E</w:t>
      </w:r>
    </w:p>
    <w:p w14:paraId="4E18C2BB" w14:textId="77777777" w:rsidR="00665E1D" w:rsidRDefault="00665E1D" w:rsidP="00D32FF7"/>
    <w:p w14:paraId="5363C9B9" w14:textId="06282B7B" w:rsidR="00D32FF7" w:rsidRPr="00644590" w:rsidRDefault="00D32FF7" w:rsidP="00D32FF7">
      <w:proofErr w:type="spellStart"/>
      <w:r w:rsidRPr="00644590">
        <w:t>Fagiani</w:t>
      </w:r>
      <w:proofErr w:type="spellEnd"/>
      <w:r w:rsidRPr="00644590">
        <w:t xml:space="preserve">, E., &amp; </w:t>
      </w:r>
      <w:proofErr w:type="spellStart"/>
      <w:r w:rsidRPr="00644590">
        <w:t>Christofori</w:t>
      </w:r>
      <w:proofErr w:type="spellEnd"/>
      <w:r w:rsidRPr="00644590">
        <w:t xml:space="preserve">, G. (2013). Angiopoietins in angiogenesis. In </w:t>
      </w:r>
      <w:r w:rsidRPr="00644590">
        <w:rPr>
          <w:i/>
          <w:iCs/>
        </w:rPr>
        <w:t>Cancer Letters</w:t>
      </w:r>
      <w:r w:rsidRPr="00644590">
        <w:t xml:space="preserve"> (Vol. 328, Issue 1). https://doi.org/10.1016/j.canlet.2012.08.018</w:t>
      </w:r>
    </w:p>
    <w:p w14:paraId="5B9EF007" w14:textId="77777777" w:rsidR="00D32FF7" w:rsidRPr="00644590" w:rsidRDefault="00D32FF7" w:rsidP="00AA6EBA"/>
    <w:p w14:paraId="53B29432" w14:textId="435CD688" w:rsidR="00AA6EBA" w:rsidRPr="00644590" w:rsidRDefault="00AA6EBA" w:rsidP="00AA6EBA">
      <w:r w:rsidRPr="00644590">
        <w:rPr>
          <w:lang w:val="pt-BR"/>
        </w:rPr>
        <w:t>Francisco-Cruz, A., Aguilar-</w:t>
      </w:r>
      <w:proofErr w:type="spellStart"/>
      <w:r w:rsidRPr="00644590">
        <w:rPr>
          <w:lang w:val="pt-BR"/>
        </w:rPr>
        <w:t>Santelises</w:t>
      </w:r>
      <w:proofErr w:type="spellEnd"/>
      <w:r w:rsidRPr="00644590">
        <w:rPr>
          <w:lang w:val="pt-BR"/>
        </w:rPr>
        <w:t xml:space="preserve">, M., Ramos-Espinosa, O., Mata-Espinosa, D., </w:t>
      </w:r>
      <w:proofErr w:type="spellStart"/>
      <w:r w:rsidRPr="00644590">
        <w:rPr>
          <w:lang w:val="pt-BR"/>
        </w:rPr>
        <w:t>Marquina-Castillo</w:t>
      </w:r>
      <w:proofErr w:type="spellEnd"/>
      <w:r w:rsidRPr="00644590">
        <w:rPr>
          <w:lang w:val="pt-BR"/>
        </w:rPr>
        <w:t>, B., Barrios-</w:t>
      </w:r>
      <w:proofErr w:type="spellStart"/>
      <w:r w:rsidRPr="00644590">
        <w:rPr>
          <w:lang w:val="pt-BR"/>
        </w:rPr>
        <w:t>Payan</w:t>
      </w:r>
      <w:proofErr w:type="spellEnd"/>
      <w:r w:rsidRPr="00644590">
        <w:rPr>
          <w:lang w:val="pt-BR"/>
        </w:rPr>
        <w:t xml:space="preserve">, J., &amp; Hernandez-Pando, R. (2014). </w:t>
      </w:r>
      <w:r w:rsidRPr="00644590">
        <w:t xml:space="preserve">Granulocyte-macrophage colony-stimulating factor: Not just another haematopoietic growth factor. </w:t>
      </w:r>
      <w:r w:rsidRPr="00644590">
        <w:rPr>
          <w:i/>
          <w:iCs/>
        </w:rPr>
        <w:t>Medical Oncology</w:t>
      </w:r>
      <w:r w:rsidRPr="00644590">
        <w:t xml:space="preserve">, </w:t>
      </w:r>
      <w:r w:rsidRPr="00644590">
        <w:rPr>
          <w:i/>
          <w:iCs/>
        </w:rPr>
        <w:t>31</w:t>
      </w:r>
      <w:r w:rsidRPr="00644590">
        <w:t>(1). https://doi.org/10.1007/s12032-013-0774-6</w:t>
      </w:r>
    </w:p>
    <w:p w14:paraId="75E6CBF7" w14:textId="64FF9107" w:rsidR="00AA6EBA" w:rsidRPr="00644590" w:rsidRDefault="00AA6EBA" w:rsidP="00167B54"/>
    <w:p w14:paraId="131D11DA" w14:textId="5C725D45" w:rsidR="00644590" w:rsidRDefault="00644590" w:rsidP="00644590">
      <w:r w:rsidRPr="00644590">
        <w:t xml:space="preserve">Gadani, </w:t>
      </w:r>
      <w:proofErr w:type="spellStart"/>
      <w:r w:rsidRPr="00644590">
        <w:t>Sachin</w:t>
      </w:r>
      <w:proofErr w:type="spellEnd"/>
      <w:r w:rsidRPr="00644590">
        <w:t xml:space="preserve"> P; Cronk, J. (2013). Interleukin-4: A Cytokine to Remember. </w:t>
      </w:r>
      <w:r w:rsidRPr="00644590">
        <w:rPr>
          <w:i/>
          <w:iCs/>
        </w:rPr>
        <w:t>The Journal of Immunology</w:t>
      </w:r>
      <w:r w:rsidRPr="00644590">
        <w:t xml:space="preserve">, </w:t>
      </w:r>
      <w:r w:rsidRPr="00644590">
        <w:rPr>
          <w:i/>
          <w:iCs/>
        </w:rPr>
        <w:t>189</w:t>
      </w:r>
      <w:r w:rsidRPr="00644590">
        <w:t>(9).</w:t>
      </w:r>
    </w:p>
    <w:p w14:paraId="2A711ACD" w14:textId="77777777" w:rsidR="00F42C12" w:rsidRPr="00644590" w:rsidRDefault="00F42C12" w:rsidP="00644590"/>
    <w:p w14:paraId="70F3B259" w14:textId="77777777" w:rsidR="00B23A53" w:rsidRDefault="00B23A53" w:rsidP="00B23A53">
      <w:r w:rsidRPr="00B23A53">
        <w:rPr>
          <w:lang w:val="pt-BR"/>
        </w:rPr>
        <w:lastRenderedPageBreak/>
        <w:t xml:space="preserve">Gadotti, A. C., de Castro Deus, M., Telles, J. P., Wind, R., </w:t>
      </w:r>
      <w:proofErr w:type="spellStart"/>
      <w:r w:rsidRPr="00B23A53">
        <w:rPr>
          <w:lang w:val="pt-BR"/>
        </w:rPr>
        <w:t>Goes</w:t>
      </w:r>
      <w:proofErr w:type="spellEnd"/>
      <w:r w:rsidRPr="00B23A53">
        <w:rPr>
          <w:lang w:val="pt-BR"/>
        </w:rPr>
        <w:t xml:space="preserve">, M., Garcia </w:t>
      </w:r>
      <w:proofErr w:type="spellStart"/>
      <w:r w:rsidRPr="00B23A53">
        <w:rPr>
          <w:lang w:val="pt-BR"/>
        </w:rPr>
        <w:t>Charello</w:t>
      </w:r>
      <w:proofErr w:type="spellEnd"/>
      <w:r w:rsidRPr="00B23A53">
        <w:rPr>
          <w:lang w:val="pt-BR"/>
        </w:rPr>
        <w:t xml:space="preserve"> </w:t>
      </w:r>
      <w:proofErr w:type="spellStart"/>
      <w:r w:rsidRPr="00B23A53">
        <w:rPr>
          <w:lang w:val="pt-BR"/>
        </w:rPr>
        <w:t>Ossoski</w:t>
      </w:r>
      <w:proofErr w:type="spellEnd"/>
      <w:r w:rsidRPr="00B23A53">
        <w:rPr>
          <w:lang w:val="pt-BR"/>
        </w:rPr>
        <w:t xml:space="preserve">, R., de </w:t>
      </w:r>
      <w:proofErr w:type="spellStart"/>
      <w:r w:rsidRPr="00B23A53">
        <w:rPr>
          <w:lang w:val="pt-BR"/>
        </w:rPr>
        <w:t>Padua</w:t>
      </w:r>
      <w:proofErr w:type="spellEnd"/>
      <w:r w:rsidRPr="00B23A53">
        <w:rPr>
          <w:lang w:val="pt-BR"/>
        </w:rPr>
        <w:t xml:space="preserve">, A. M., de Noronha, L., Moreno-Amaral, A., </w:t>
      </w:r>
      <w:proofErr w:type="spellStart"/>
      <w:r w:rsidRPr="00B23A53">
        <w:rPr>
          <w:lang w:val="pt-BR"/>
        </w:rPr>
        <w:t>Baena</w:t>
      </w:r>
      <w:proofErr w:type="spellEnd"/>
      <w:r w:rsidRPr="00B23A53">
        <w:rPr>
          <w:lang w:val="pt-BR"/>
        </w:rPr>
        <w:t xml:space="preserve">, C. P., &amp; </w:t>
      </w:r>
      <w:proofErr w:type="spellStart"/>
      <w:r w:rsidRPr="00B23A53">
        <w:rPr>
          <w:lang w:val="pt-BR"/>
        </w:rPr>
        <w:t>Tuon</w:t>
      </w:r>
      <w:proofErr w:type="spellEnd"/>
      <w:r w:rsidRPr="00B23A53">
        <w:rPr>
          <w:lang w:val="pt-BR"/>
        </w:rPr>
        <w:t xml:space="preserve">, F. F. (2020). </w:t>
      </w:r>
      <w:r>
        <w:t xml:space="preserve">IFN-γ is an independent risk factor associated with mortality in patients with moderate and severe COVID-19 infection. </w:t>
      </w:r>
      <w:r>
        <w:rPr>
          <w:i/>
          <w:iCs/>
        </w:rPr>
        <w:t>Virus Research</w:t>
      </w:r>
      <w:r>
        <w:t xml:space="preserve">, </w:t>
      </w:r>
      <w:r>
        <w:rPr>
          <w:i/>
          <w:iCs/>
        </w:rPr>
        <w:t>289</w:t>
      </w:r>
      <w:r>
        <w:t>. https://doi.org/10.1016/j.virusres.2020.198171</w:t>
      </w:r>
    </w:p>
    <w:p w14:paraId="636869B6" w14:textId="77777777" w:rsidR="00B23A53" w:rsidRDefault="00B23A53" w:rsidP="00F42C12"/>
    <w:p w14:paraId="354CBB25" w14:textId="37A8D7B7" w:rsidR="00F42C12" w:rsidRDefault="00F42C12" w:rsidP="00F42C12">
      <w:r>
        <w:t xml:space="preserve">Guo, Y., Hu, K., Li, Y., Lu, C., Ling, K., Cai, C., Wang, W., &amp; Ye, D. (2022). Targeting TNF-α for COVID-19: Recent Advanced and Controversies. In </w:t>
      </w:r>
      <w:r>
        <w:rPr>
          <w:i/>
          <w:iCs/>
        </w:rPr>
        <w:t>Frontiers in Public Health</w:t>
      </w:r>
      <w:r>
        <w:t xml:space="preserve"> (Vol. 10). https://doi.org/10.3389/fpubh.2022.833967</w:t>
      </w:r>
    </w:p>
    <w:p w14:paraId="3B6BAF42" w14:textId="77777777" w:rsidR="00644590" w:rsidRPr="00644590" w:rsidRDefault="00644590" w:rsidP="00167B54"/>
    <w:p w14:paraId="7247CC8C" w14:textId="1B12AAC3" w:rsidR="00167B54" w:rsidRPr="00644590" w:rsidRDefault="00167B54" w:rsidP="00167B54">
      <w:proofErr w:type="spellStart"/>
      <w:r w:rsidRPr="00644590">
        <w:t>Idriss</w:t>
      </w:r>
      <w:proofErr w:type="spellEnd"/>
      <w:r w:rsidRPr="00644590">
        <w:t xml:space="preserve">, H. T., &amp; Naismith, J. H. (2000). TNFα and the TNF receptor superfamily: Structure-function relationship(s). </w:t>
      </w:r>
      <w:r w:rsidRPr="00644590">
        <w:rPr>
          <w:i/>
          <w:iCs/>
        </w:rPr>
        <w:t>Microscopy Research and Technique</w:t>
      </w:r>
      <w:r w:rsidRPr="00644590">
        <w:t xml:space="preserve">, </w:t>
      </w:r>
      <w:r w:rsidRPr="00644590">
        <w:rPr>
          <w:i/>
          <w:iCs/>
        </w:rPr>
        <w:t>50</w:t>
      </w:r>
      <w:r w:rsidRPr="00644590">
        <w:t xml:space="preserve">(3). </w:t>
      </w:r>
      <w:hyperlink r:id="rId5" w:history="1">
        <w:r w:rsidR="00AA6EBA" w:rsidRPr="00644590">
          <w:rPr>
            <w:rStyle w:val="Hyperlink"/>
          </w:rPr>
          <w:t>https://doi.org/10.1002/1097-0029(20000801)50:3&lt;184::AID-JEMT2&gt;3.0.CO;2-H</w:t>
        </w:r>
      </w:hyperlink>
    </w:p>
    <w:p w14:paraId="50C9FB17" w14:textId="362DAFF7" w:rsidR="00AA6EBA" w:rsidRPr="00644590" w:rsidRDefault="00AA6EBA" w:rsidP="00167B54"/>
    <w:p w14:paraId="641B3D03" w14:textId="77777777" w:rsidR="00665E1D" w:rsidRDefault="00665E1D" w:rsidP="00665E1D">
      <w:r>
        <w:t xml:space="preserve">Islam, H., Chamberlain, T. C., Mui, A. L., &amp; Little, J. P. (2021). Elevated Interleukin-10 Levels in COVID-19: Potentiation of Pro-Inflammatory Responses or Impaired Anti-Inflammatory Action? </w:t>
      </w:r>
      <w:r>
        <w:rPr>
          <w:i/>
          <w:iCs/>
        </w:rPr>
        <w:t>Frontiers in Immunology</w:t>
      </w:r>
      <w:r>
        <w:t xml:space="preserve">, </w:t>
      </w:r>
      <w:r>
        <w:rPr>
          <w:i/>
          <w:iCs/>
        </w:rPr>
        <w:t>12</w:t>
      </w:r>
      <w:r>
        <w:t>. https://doi.org/10.3389/fimmu.2021.677008</w:t>
      </w:r>
    </w:p>
    <w:p w14:paraId="0C0E1C7A" w14:textId="77777777" w:rsidR="00665E1D" w:rsidRDefault="00665E1D" w:rsidP="00167B54"/>
    <w:p w14:paraId="11C46841" w14:textId="5859E75F" w:rsidR="00AA6EBA" w:rsidRPr="00644590" w:rsidRDefault="00AA6EBA" w:rsidP="00167B54">
      <w:proofErr w:type="spellStart"/>
      <w:r w:rsidRPr="00644590">
        <w:t>Iyer</w:t>
      </w:r>
      <w:proofErr w:type="spellEnd"/>
      <w:r w:rsidRPr="00644590">
        <w:t xml:space="preserve">, S. S., &amp; Cheng, G. (2012). Role of interleukin 10 transcriptional regulation in inflammation and autoimmune disease. </w:t>
      </w:r>
      <w:r w:rsidRPr="00644590">
        <w:rPr>
          <w:i/>
          <w:iCs/>
        </w:rPr>
        <w:t>Critical Reviews in Immunology</w:t>
      </w:r>
      <w:r w:rsidRPr="00644590">
        <w:t xml:space="preserve">, </w:t>
      </w:r>
      <w:r w:rsidRPr="00644590">
        <w:rPr>
          <w:i/>
          <w:iCs/>
        </w:rPr>
        <w:t>32</w:t>
      </w:r>
      <w:r w:rsidRPr="00644590">
        <w:t>(1). https://doi.org/10.1615/critrevimmunol.v32.i1.30</w:t>
      </w:r>
    </w:p>
    <w:p w14:paraId="1558ACD3" w14:textId="7D7E5107" w:rsidR="00167B54" w:rsidRPr="00644590" w:rsidRDefault="00167B54"/>
    <w:p w14:paraId="0044B8CD" w14:textId="3707C0B4" w:rsidR="0086055C" w:rsidRPr="00644590" w:rsidRDefault="0086055C" w:rsidP="0086055C">
      <w:r w:rsidRPr="00644590">
        <w:rPr>
          <w:lang w:val="pt-BR"/>
        </w:rPr>
        <w:t xml:space="preserve">Jiang, T., </w:t>
      </w:r>
      <w:proofErr w:type="spellStart"/>
      <w:r w:rsidRPr="00644590">
        <w:rPr>
          <w:lang w:val="pt-BR"/>
        </w:rPr>
        <w:t>Zhou</w:t>
      </w:r>
      <w:proofErr w:type="spellEnd"/>
      <w:r w:rsidRPr="00644590">
        <w:rPr>
          <w:lang w:val="pt-BR"/>
        </w:rPr>
        <w:t xml:space="preserve">, C., &amp; </w:t>
      </w:r>
      <w:proofErr w:type="spellStart"/>
      <w:r w:rsidRPr="00644590">
        <w:rPr>
          <w:lang w:val="pt-BR"/>
        </w:rPr>
        <w:t>Ren</w:t>
      </w:r>
      <w:proofErr w:type="spellEnd"/>
      <w:r w:rsidRPr="00644590">
        <w:rPr>
          <w:lang w:val="pt-BR"/>
        </w:rPr>
        <w:t xml:space="preserve">, S. (2016). </w:t>
      </w:r>
      <w:r w:rsidRPr="00644590">
        <w:t xml:space="preserve">Role of IL-2 in cancer immunotherapy. In </w:t>
      </w:r>
      <w:proofErr w:type="spellStart"/>
      <w:r w:rsidRPr="00644590">
        <w:rPr>
          <w:i/>
          <w:iCs/>
        </w:rPr>
        <w:t>OncoImmunology</w:t>
      </w:r>
      <w:proofErr w:type="spellEnd"/>
      <w:r w:rsidRPr="00644590">
        <w:t xml:space="preserve"> (Vol. 5, Issue 6). </w:t>
      </w:r>
      <w:hyperlink r:id="rId6" w:history="1">
        <w:r w:rsidRPr="00644590">
          <w:rPr>
            <w:rStyle w:val="Hyperlink"/>
          </w:rPr>
          <w:t>https://doi.org/10.1080/2162402X.2016.1163462</w:t>
        </w:r>
      </w:hyperlink>
    </w:p>
    <w:p w14:paraId="123A65D2" w14:textId="3F78793B" w:rsidR="0086055C" w:rsidRPr="00644590" w:rsidRDefault="0086055C" w:rsidP="0086055C"/>
    <w:p w14:paraId="066F108F" w14:textId="77777777" w:rsidR="00B23A53" w:rsidRDefault="00B23A53" w:rsidP="00B23A53">
      <w:proofErr w:type="spellStart"/>
      <w:r>
        <w:t>Kandikattu</w:t>
      </w:r>
      <w:proofErr w:type="spellEnd"/>
      <w:r>
        <w:t xml:space="preserve">, H. K., </w:t>
      </w:r>
      <w:proofErr w:type="spellStart"/>
      <w:r>
        <w:t>Venkateshaiah</w:t>
      </w:r>
      <w:proofErr w:type="spellEnd"/>
      <w:r>
        <w:t xml:space="preserve">, S. U., Kumar, S., &amp; Mishra, A. (2020). IL-15 immunotherapy is a viable strategy for COVID-19. In </w:t>
      </w:r>
      <w:r>
        <w:rPr>
          <w:i/>
          <w:iCs/>
        </w:rPr>
        <w:t>Cytokine and Growth Factor Reviews</w:t>
      </w:r>
      <w:r>
        <w:t xml:space="preserve"> (Vol. 54). https://doi.org/10.1016/j.cytogfr.2020.06.008</w:t>
      </w:r>
    </w:p>
    <w:p w14:paraId="07D14FC6" w14:textId="77777777" w:rsidR="00B23A53" w:rsidRDefault="00B23A53" w:rsidP="006C5AF2"/>
    <w:p w14:paraId="308077B8" w14:textId="752AD8EF" w:rsidR="006C5AF2" w:rsidRDefault="006C5AF2" w:rsidP="006C5AF2">
      <w:r>
        <w:t xml:space="preserve">Kaur, S., Hussain, S., </w:t>
      </w:r>
      <w:proofErr w:type="spellStart"/>
      <w:r>
        <w:t>Kolhe</w:t>
      </w:r>
      <w:proofErr w:type="spellEnd"/>
      <w:r>
        <w:t xml:space="preserve">, K., Kumar, G., Tripathi, D. M., </w:t>
      </w:r>
      <w:proofErr w:type="spellStart"/>
      <w:r>
        <w:t>Tomar</w:t>
      </w:r>
      <w:proofErr w:type="spellEnd"/>
      <w:r>
        <w:t xml:space="preserve">, A., Kale, P., Narayanan, A., Bihari, C., Bajpai, M., </w:t>
      </w:r>
      <w:proofErr w:type="spellStart"/>
      <w:r>
        <w:t>Maiwall</w:t>
      </w:r>
      <w:proofErr w:type="spellEnd"/>
      <w:r>
        <w:t xml:space="preserve">, R., Gupta, E., &amp; Sarin, S. K. (2021). Elevated plasma ICAM1 levels predict 28-day mortality in cirrhotic patients with COVID-19 or bacterial sepsis. </w:t>
      </w:r>
      <w:r>
        <w:rPr>
          <w:i/>
          <w:iCs/>
        </w:rPr>
        <w:t>JHEP Reports</w:t>
      </w:r>
      <w:r>
        <w:t xml:space="preserve">, </w:t>
      </w:r>
      <w:r>
        <w:rPr>
          <w:i/>
          <w:iCs/>
        </w:rPr>
        <w:t>3</w:t>
      </w:r>
      <w:r>
        <w:t>(4). https://doi.org/10.1016/j.jhepr.2021.100303</w:t>
      </w:r>
    </w:p>
    <w:p w14:paraId="70EDFDC5" w14:textId="77777777" w:rsidR="006C5AF2" w:rsidRDefault="006C5AF2" w:rsidP="0086055C"/>
    <w:p w14:paraId="50DF91AC" w14:textId="77777777" w:rsidR="00665E1D" w:rsidRDefault="00665E1D" w:rsidP="00665E1D">
      <w:r>
        <w:t xml:space="preserve">Kaushal, K., Kaur, H., </w:t>
      </w:r>
      <w:proofErr w:type="spellStart"/>
      <w:r>
        <w:t>Sarma</w:t>
      </w:r>
      <w:proofErr w:type="spellEnd"/>
      <w:r>
        <w:t xml:space="preserve">, P., Bhattacharyya, A., Sharma, D. J., </w:t>
      </w:r>
      <w:proofErr w:type="spellStart"/>
      <w:r>
        <w:t>Prajapat</w:t>
      </w:r>
      <w:proofErr w:type="spellEnd"/>
      <w:r>
        <w:t xml:space="preserve">, M., Pathak, M., Kothari, A., Kumar, S., Rana, S., Kaur, M., Prakash, A., Mirza, A. A., Panda, P. K., </w:t>
      </w:r>
      <w:proofErr w:type="spellStart"/>
      <w:r>
        <w:t>Vivekanandan</w:t>
      </w:r>
      <w:proofErr w:type="spellEnd"/>
      <w:r>
        <w:t xml:space="preserve">, S., Omar, B. J., </w:t>
      </w:r>
      <w:proofErr w:type="spellStart"/>
      <w:r>
        <w:t>Medhi</w:t>
      </w:r>
      <w:proofErr w:type="spellEnd"/>
      <w:r>
        <w:t>, B., &amp; Naithani, M. (2022). Serum ferritin as a predictive biomarker in COVID-19. A systematic review, meta-</w:t>
      </w:r>
      <w:proofErr w:type="gramStart"/>
      <w:r>
        <w:t>analysis</w:t>
      </w:r>
      <w:proofErr w:type="gramEnd"/>
      <w:r>
        <w:t xml:space="preserve"> and meta-regression analysis. </w:t>
      </w:r>
      <w:r>
        <w:rPr>
          <w:i/>
          <w:iCs/>
        </w:rPr>
        <w:t>Journal of Critical Care</w:t>
      </w:r>
      <w:r>
        <w:t xml:space="preserve">, </w:t>
      </w:r>
      <w:r>
        <w:rPr>
          <w:i/>
          <w:iCs/>
        </w:rPr>
        <w:t>67</w:t>
      </w:r>
      <w:r>
        <w:t>. https://doi.org/10.1016/j.jcrc.2021.09.023</w:t>
      </w:r>
    </w:p>
    <w:p w14:paraId="64DECB83" w14:textId="77777777" w:rsidR="00665E1D" w:rsidRDefault="00665E1D" w:rsidP="0086055C"/>
    <w:p w14:paraId="0BCF9CFC" w14:textId="0866A544" w:rsidR="0086055C" w:rsidRPr="00644590" w:rsidRDefault="0086055C" w:rsidP="0086055C">
      <w:proofErr w:type="spellStart"/>
      <w:r w:rsidRPr="00644590">
        <w:t>Kaliński</w:t>
      </w:r>
      <w:proofErr w:type="spellEnd"/>
      <w:r w:rsidRPr="00644590">
        <w:t xml:space="preserve">, P., </w:t>
      </w:r>
      <w:proofErr w:type="spellStart"/>
      <w:r w:rsidRPr="00644590">
        <w:t>Hilkens</w:t>
      </w:r>
      <w:proofErr w:type="spellEnd"/>
      <w:r w:rsidRPr="00644590">
        <w:t xml:space="preserve">, C. M., </w:t>
      </w:r>
      <w:proofErr w:type="spellStart"/>
      <w:r w:rsidRPr="00644590">
        <w:t>Snijders</w:t>
      </w:r>
      <w:proofErr w:type="spellEnd"/>
      <w:r w:rsidRPr="00644590">
        <w:t xml:space="preserve">, A., </w:t>
      </w:r>
      <w:proofErr w:type="spellStart"/>
      <w:r w:rsidRPr="00644590">
        <w:t>Snijdewint</w:t>
      </w:r>
      <w:proofErr w:type="spellEnd"/>
      <w:r w:rsidRPr="00644590">
        <w:t xml:space="preserve">, F. G., &amp; </w:t>
      </w:r>
      <w:proofErr w:type="spellStart"/>
      <w:r w:rsidRPr="00644590">
        <w:t>Kapsenberg</w:t>
      </w:r>
      <w:proofErr w:type="spellEnd"/>
      <w:r w:rsidRPr="00644590">
        <w:t xml:space="preserve">, M. L. (1997). IL-12-deficient dendritic cells, generated in the presence of prostaglandin E2, promote type 2 cytokine production in maturing human naive T helper cells. </w:t>
      </w:r>
      <w:r w:rsidRPr="00644590">
        <w:rPr>
          <w:i/>
          <w:iCs/>
        </w:rPr>
        <w:t xml:space="preserve">Journal of Immunology (Baltimore, </w:t>
      </w:r>
      <w:proofErr w:type="gramStart"/>
      <w:r w:rsidRPr="00644590">
        <w:rPr>
          <w:i/>
          <w:iCs/>
        </w:rPr>
        <w:t>Md. :</w:t>
      </w:r>
      <w:proofErr w:type="gramEnd"/>
      <w:r w:rsidRPr="00644590">
        <w:rPr>
          <w:i/>
          <w:iCs/>
        </w:rPr>
        <w:t xml:space="preserve"> 1950)</w:t>
      </w:r>
      <w:r w:rsidRPr="00644590">
        <w:t xml:space="preserve">, </w:t>
      </w:r>
      <w:r w:rsidRPr="00644590">
        <w:rPr>
          <w:i/>
          <w:iCs/>
        </w:rPr>
        <w:t>159</w:t>
      </w:r>
      <w:r w:rsidRPr="00644590">
        <w:t>(1).</w:t>
      </w:r>
    </w:p>
    <w:p w14:paraId="366F6CED" w14:textId="6BB29C08" w:rsidR="008C38F0" w:rsidRPr="00644590" w:rsidRDefault="008C38F0" w:rsidP="0086055C"/>
    <w:p w14:paraId="3E18DA3D" w14:textId="4A4108F3" w:rsidR="008C38F0" w:rsidRPr="00644590" w:rsidRDefault="008C38F0" w:rsidP="0086055C">
      <w:proofErr w:type="spellStart"/>
      <w:r w:rsidRPr="00644590">
        <w:t>Kernan</w:t>
      </w:r>
      <w:proofErr w:type="spellEnd"/>
      <w:r w:rsidRPr="00644590">
        <w:t xml:space="preserve">, K. F., &amp; </w:t>
      </w:r>
      <w:proofErr w:type="spellStart"/>
      <w:r w:rsidRPr="00644590">
        <w:t>Carcillo</w:t>
      </w:r>
      <w:proofErr w:type="spellEnd"/>
      <w:r w:rsidRPr="00644590">
        <w:t xml:space="preserve">, J. A. (2017). </w:t>
      </w:r>
      <w:proofErr w:type="spellStart"/>
      <w:r w:rsidRPr="00644590">
        <w:t>Hyperferritinemia</w:t>
      </w:r>
      <w:proofErr w:type="spellEnd"/>
      <w:r w:rsidRPr="00644590">
        <w:t xml:space="preserve"> and inflammation. </w:t>
      </w:r>
      <w:r w:rsidRPr="00644590">
        <w:rPr>
          <w:i/>
          <w:iCs/>
        </w:rPr>
        <w:t>International Immunology</w:t>
      </w:r>
      <w:r w:rsidRPr="00644590">
        <w:t xml:space="preserve">, </w:t>
      </w:r>
      <w:r w:rsidRPr="00644590">
        <w:rPr>
          <w:i/>
          <w:iCs/>
        </w:rPr>
        <w:t>29</w:t>
      </w:r>
      <w:r w:rsidRPr="00644590">
        <w:t>(9). https://doi.org/10.1093/intimm/dxx031</w:t>
      </w:r>
    </w:p>
    <w:p w14:paraId="4F6E4C19" w14:textId="20B9439F" w:rsidR="00AA6EBA" w:rsidRPr="00644590" w:rsidRDefault="00AA6EBA" w:rsidP="0086055C"/>
    <w:p w14:paraId="653ACABD" w14:textId="77777777" w:rsidR="008C38F0" w:rsidRPr="00644590" w:rsidRDefault="008C38F0" w:rsidP="008C38F0">
      <w:r w:rsidRPr="00644590">
        <w:t xml:space="preserve">Kong, D. H., Kim, Y. K., Kim, M. R., Jang, J. H., &amp; Lee, S. (2018). Emerging roles of vascular cell adhesion molecule-1 (VCAM-1) in immunological disorders and cancer. In </w:t>
      </w:r>
      <w:r w:rsidRPr="00644590">
        <w:rPr>
          <w:i/>
          <w:iCs/>
        </w:rPr>
        <w:t>International Journal of Molecular Sciences</w:t>
      </w:r>
      <w:r w:rsidRPr="00644590">
        <w:t xml:space="preserve"> (Vol. 19, Issue 4). https://doi.org/10.3390/ijms19041057</w:t>
      </w:r>
    </w:p>
    <w:p w14:paraId="7E63E4FA" w14:textId="77777777" w:rsidR="008C38F0" w:rsidRPr="00644590" w:rsidRDefault="008C38F0" w:rsidP="0086055C"/>
    <w:p w14:paraId="3B5225C2" w14:textId="77777777" w:rsidR="00B23A53" w:rsidRDefault="00B23A53" w:rsidP="00B23A53">
      <w:proofErr w:type="spellStart"/>
      <w:r>
        <w:t>Laterre</w:t>
      </w:r>
      <w:proofErr w:type="spellEnd"/>
      <w:r>
        <w:t xml:space="preserve">, P. F., François, B., </w:t>
      </w:r>
      <w:proofErr w:type="spellStart"/>
      <w:r>
        <w:t>Collienne</w:t>
      </w:r>
      <w:proofErr w:type="spellEnd"/>
      <w:r>
        <w:t xml:space="preserve">, C., </w:t>
      </w:r>
      <w:proofErr w:type="spellStart"/>
      <w:r>
        <w:t>Hantson</w:t>
      </w:r>
      <w:proofErr w:type="spellEnd"/>
      <w:r>
        <w:t xml:space="preserve">, P., </w:t>
      </w:r>
      <w:proofErr w:type="spellStart"/>
      <w:r>
        <w:t>Jeannet</w:t>
      </w:r>
      <w:proofErr w:type="spellEnd"/>
      <w:r>
        <w:t xml:space="preserve">, R., Remy, K. E., &amp; Hotchkiss, R. S. (2020). Association of Interleukin 7 Immunotherapy with Lymphocyte Counts among Patients with Severe Coronavirus Disease 2019 (COVID-19). </w:t>
      </w:r>
      <w:r>
        <w:rPr>
          <w:i/>
          <w:iCs/>
        </w:rPr>
        <w:t>JAMA Network Open</w:t>
      </w:r>
      <w:r>
        <w:t xml:space="preserve">, </w:t>
      </w:r>
      <w:r>
        <w:rPr>
          <w:i/>
          <w:iCs/>
        </w:rPr>
        <w:t>3</w:t>
      </w:r>
      <w:r>
        <w:t>(7). https://doi.org/10.1001/jamanetworkopen.2020.16485</w:t>
      </w:r>
    </w:p>
    <w:p w14:paraId="6101285F" w14:textId="77777777" w:rsidR="00B23A53" w:rsidRDefault="00B23A53" w:rsidP="0086055C"/>
    <w:p w14:paraId="29CF1F1A" w14:textId="77777777" w:rsidR="00665E1D" w:rsidRDefault="00665E1D" w:rsidP="00665E1D">
      <w:proofErr w:type="spellStart"/>
      <w:r>
        <w:t>Leavis</w:t>
      </w:r>
      <w:proofErr w:type="spellEnd"/>
      <w:r>
        <w:t xml:space="preserve">, H. L., van de </w:t>
      </w:r>
      <w:proofErr w:type="spellStart"/>
      <w:r>
        <w:t>Veerdonk</w:t>
      </w:r>
      <w:proofErr w:type="spellEnd"/>
      <w:r>
        <w:t xml:space="preserve">, F. L., &amp; Murthy, S. (2022). Stimulating severe COVID-19: the potential role of GM-CSF antagonism. In </w:t>
      </w:r>
      <w:r>
        <w:rPr>
          <w:i/>
          <w:iCs/>
        </w:rPr>
        <w:t>The Lancet Respiratory Medicine</w:t>
      </w:r>
      <w:r>
        <w:t xml:space="preserve"> (Vol. 10, Issue 3). https://doi.org/10.1016/S2213-2600(21)00539-7</w:t>
      </w:r>
    </w:p>
    <w:p w14:paraId="253109AA" w14:textId="77777777" w:rsidR="00665E1D" w:rsidRDefault="00665E1D" w:rsidP="0086055C"/>
    <w:p w14:paraId="0534532E" w14:textId="040093C1" w:rsidR="00AA6EBA" w:rsidRPr="00644590" w:rsidRDefault="00AA6EBA" w:rsidP="0086055C">
      <w:pPr>
        <w:rPr>
          <w:lang w:val="pt-BR"/>
        </w:rPr>
      </w:pPr>
      <w:r w:rsidRPr="00644590">
        <w:t xml:space="preserve">Lee, E. Y., Lee, Z. H., &amp; Song, Y. W. (2009). CXCL10 and autoimmune diseases. In </w:t>
      </w:r>
      <w:r w:rsidRPr="00644590">
        <w:rPr>
          <w:i/>
          <w:iCs/>
        </w:rPr>
        <w:t>Autoimmunity Reviews</w:t>
      </w:r>
      <w:r w:rsidRPr="00644590">
        <w:t xml:space="preserve"> (Vol. 8, Issue 5). </w:t>
      </w:r>
      <w:hyperlink r:id="rId7" w:history="1">
        <w:r w:rsidR="008C38F0" w:rsidRPr="00644590">
          <w:rPr>
            <w:rStyle w:val="Hyperlink"/>
            <w:lang w:val="pt-BR"/>
          </w:rPr>
          <w:t>https://doi.org/10.1016/j.autrev.2008.12.002</w:t>
        </w:r>
      </w:hyperlink>
    </w:p>
    <w:p w14:paraId="0EA72CBB" w14:textId="77777777" w:rsidR="008C38F0" w:rsidRPr="00644590" w:rsidRDefault="008C38F0" w:rsidP="0086055C">
      <w:pPr>
        <w:rPr>
          <w:lang w:val="pt-BR"/>
        </w:rPr>
      </w:pPr>
    </w:p>
    <w:p w14:paraId="111D1DA4" w14:textId="77777777" w:rsidR="00FE20AF" w:rsidRPr="00B23A53" w:rsidRDefault="00FE20AF" w:rsidP="00FE20AF">
      <w:pPr>
        <w:rPr>
          <w:lang w:val="pt-BR"/>
        </w:rPr>
      </w:pPr>
      <w:r>
        <w:t xml:space="preserve">Lehmann, A., </w:t>
      </w:r>
      <w:proofErr w:type="spellStart"/>
      <w:r>
        <w:t>Prosch</w:t>
      </w:r>
      <w:proofErr w:type="spellEnd"/>
      <w:r>
        <w:t xml:space="preserve">, H., </w:t>
      </w:r>
      <w:proofErr w:type="spellStart"/>
      <w:r>
        <w:t>Zehetmayer</w:t>
      </w:r>
      <w:proofErr w:type="spellEnd"/>
      <w:r>
        <w:t xml:space="preserve">, S., </w:t>
      </w:r>
      <w:proofErr w:type="spellStart"/>
      <w:r>
        <w:t>Gysan</w:t>
      </w:r>
      <w:proofErr w:type="spellEnd"/>
      <w:r>
        <w:t xml:space="preserve">, M. R., </w:t>
      </w:r>
      <w:proofErr w:type="spellStart"/>
      <w:r>
        <w:t>Bernitzky</w:t>
      </w:r>
      <w:proofErr w:type="spellEnd"/>
      <w:r>
        <w:t xml:space="preserve">, D., </w:t>
      </w:r>
      <w:proofErr w:type="spellStart"/>
      <w:r>
        <w:t>Vonbank</w:t>
      </w:r>
      <w:proofErr w:type="spellEnd"/>
      <w:r>
        <w:t xml:space="preserve">, K., </w:t>
      </w:r>
      <w:proofErr w:type="spellStart"/>
      <w:r>
        <w:t>Idzko</w:t>
      </w:r>
      <w:proofErr w:type="spellEnd"/>
      <w:r>
        <w:t xml:space="preserve">, M., &amp; </w:t>
      </w:r>
      <w:proofErr w:type="spellStart"/>
      <w:r>
        <w:t>Gompelmann</w:t>
      </w:r>
      <w:proofErr w:type="spellEnd"/>
      <w:r>
        <w:t xml:space="preserve">, D. (2021). Impact of persistent D-dimer elevation following recovery from COVID-19. </w:t>
      </w:r>
      <w:proofErr w:type="spellStart"/>
      <w:r w:rsidRPr="00B23A53">
        <w:rPr>
          <w:i/>
          <w:iCs/>
          <w:lang w:val="pt-BR"/>
        </w:rPr>
        <w:t>PLoS</w:t>
      </w:r>
      <w:proofErr w:type="spellEnd"/>
      <w:r w:rsidRPr="00B23A53">
        <w:rPr>
          <w:i/>
          <w:iCs/>
          <w:lang w:val="pt-BR"/>
        </w:rPr>
        <w:t xml:space="preserve"> ONE</w:t>
      </w:r>
      <w:r w:rsidRPr="00B23A53">
        <w:rPr>
          <w:lang w:val="pt-BR"/>
        </w:rPr>
        <w:t xml:space="preserve">, </w:t>
      </w:r>
      <w:r w:rsidRPr="00B23A53">
        <w:rPr>
          <w:i/>
          <w:iCs/>
          <w:lang w:val="pt-BR"/>
        </w:rPr>
        <w:t>16</w:t>
      </w:r>
      <w:r w:rsidRPr="00B23A53">
        <w:rPr>
          <w:lang w:val="pt-BR"/>
        </w:rPr>
        <w:t xml:space="preserve">(10 </w:t>
      </w:r>
      <w:proofErr w:type="spellStart"/>
      <w:r w:rsidRPr="00B23A53">
        <w:rPr>
          <w:lang w:val="pt-BR"/>
        </w:rPr>
        <w:t>October</w:t>
      </w:r>
      <w:proofErr w:type="spellEnd"/>
      <w:r w:rsidRPr="00B23A53">
        <w:rPr>
          <w:lang w:val="pt-BR"/>
        </w:rPr>
        <w:t>). https://doi.org/10.1371/journal.pone.0258351</w:t>
      </w:r>
    </w:p>
    <w:p w14:paraId="2FE3BD7C" w14:textId="77777777" w:rsidR="00FE20AF" w:rsidRDefault="00FE20AF" w:rsidP="008C38F0">
      <w:pPr>
        <w:rPr>
          <w:lang w:val="pt-BR"/>
        </w:rPr>
      </w:pPr>
    </w:p>
    <w:p w14:paraId="788FEFEF" w14:textId="77777777" w:rsidR="00665E1D" w:rsidRDefault="00665E1D" w:rsidP="00665E1D">
      <w:proofErr w:type="spellStart"/>
      <w:r w:rsidRPr="00665E1D">
        <w:rPr>
          <w:lang w:val="pt-BR"/>
        </w:rPr>
        <w:t>Lorè</w:t>
      </w:r>
      <w:proofErr w:type="spellEnd"/>
      <w:r w:rsidRPr="00665E1D">
        <w:rPr>
          <w:lang w:val="pt-BR"/>
        </w:rPr>
        <w:t xml:space="preserve">, N. I., de Lorenzo, R., </w:t>
      </w:r>
      <w:proofErr w:type="spellStart"/>
      <w:r w:rsidRPr="00665E1D">
        <w:rPr>
          <w:lang w:val="pt-BR"/>
        </w:rPr>
        <w:t>Rancoita</w:t>
      </w:r>
      <w:proofErr w:type="spellEnd"/>
      <w:r w:rsidRPr="00665E1D">
        <w:rPr>
          <w:lang w:val="pt-BR"/>
        </w:rPr>
        <w:t xml:space="preserve">, P. M. V., </w:t>
      </w:r>
      <w:proofErr w:type="spellStart"/>
      <w:r w:rsidRPr="00665E1D">
        <w:rPr>
          <w:lang w:val="pt-BR"/>
        </w:rPr>
        <w:t>Cugnata</w:t>
      </w:r>
      <w:proofErr w:type="spellEnd"/>
      <w:r w:rsidRPr="00665E1D">
        <w:rPr>
          <w:lang w:val="pt-BR"/>
        </w:rPr>
        <w:t xml:space="preserve">, F., </w:t>
      </w:r>
      <w:proofErr w:type="spellStart"/>
      <w:r w:rsidRPr="00665E1D">
        <w:rPr>
          <w:lang w:val="pt-BR"/>
        </w:rPr>
        <w:t>Agresti</w:t>
      </w:r>
      <w:proofErr w:type="spellEnd"/>
      <w:r w:rsidRPr="00665E1D">
        <w:rPr>
          <w:lang w:val="pt-BR"/>
        </w:rPr>
        <w:t xml:space="preserve">, A., Benedetti, F., Bianchi, M. E., </w:t>
      </w:r>
      <w:proofErr w:type="spellStart"/>
      <w:r w:rsidRPr="00665E1D">
        <w:rPr>
          <w:lang w:val="pt-BR"/>
        </w:rPr>
        <w:t>Bonini</w:t>
      </w:r>
      <w:proofErr w:type="spellEnd"/>
      <w:r w:rsidRPr="00665E1D">
        <w:rPr>
          <w:lang w:val="pt-BR"/>
        </w:rPr>
        <w:t xml:space="preserve">, C., </w:t>
      </w:r>
      <w:proofErr w:type="spellStart"/>
      <w:r w:rsidRPr="00665E1D">
        <w:rPr>
          <w:lang w:val="pt-BR"/>
        </w:rPr>
        <w:t>Capobianco</w:t>
      </w:r>
      <w:proofErr w:type="spellEnd"/>
      <w:r w:rsidRPr="00665E1D">
        <w:rPr>
          <w:lang w:val="pt-BR"/>
        </w:rPr>
        <w:t xml:space="preserve">, A., Conte, C., </w:t>
      </w:r>
      <w:proofErr w:type="spellStart"/>
      <w:r w:rsidRPr="00665E1D">
        <w:rPr>
          <w:lang w:val="pt-BR"/>
        </w:rPr>
        <w:t>Corti</w:t>
      </w:r>
      <w:proofErr w:type="spellEnd"/>
      <w:r w:rsidRPr="00665E1D">
        <w:rPr>
          <w:lang w:val="pt-BR"/>
        </w:rPr>
        <w:t xml:space="preserve">, A., Furlan, R., </w:t>
      </w:r>
      <w:proofErr w:type="spellStart"/>
      <w:r w:rsidRPr="00665E1D">
        <w:rPr>
          <w:lang w:val="pt-BR"/>
        </w:rPr>
        <w:t>Mantegani</w:t>
      </w:r>
      <w:proofErr w:type="spellEnd"/>
      <w:r w:rsidRPr="00665E1D">
        <w:rPr>
          <w:lang w:val="pt-BR"/>
        </w:rPr>
        <w:t xml:space="preserve">, P., </w:t>
      </w:r>
      <w:proofErr w:type="spellStart"/>
      <w:r w:rsidRPr="00665E1D">
        <w:rPr>
          <w:lang w:val="pt-BR"/>
        </w:rPr>
        <w:t>Maugeri</w:t>
      </w:r>
      <w:proofErr w:type="spellEnd"/>
      <w:r w:rsidRPr="00665E1D">
        <w:rPr>
          <w:lang w:val="pt-BR"/>
        </w:rPr>
        <w:t xml:space="preserve">, N., </w:t>
      </w:r>
      <w:proofErr w:type="spellStart"/>
      <w:r w:rsidRPr="00665E1D">
        <w:rPr>
          <w:lang w:val="pt-BR"/>
        </w:rPr>
        <w:t>Sciorati</w:t>
      </w:r>
      <w:proofErr w:type="spellEnd"/>
      <w:r w:rsidRPr="00665E1D">
        <w:rPr>
          <w:lang w:val="pt-BR"/>
        </w:rPr>
        <w:t xml:space="preserve">, C., </w:t>
      </w:r>
      <w:proofErr w:type="spellStart"/>
      <w:r w:rsidRPr="00665E1D">
        <w:rPr>
          <w:lang w:val="pt-BR"/>
        </w:rPr>
        <w:t>Saliu</w:t>
      </w:r>
      <w:proofErr w:type="spellEnd"/>
      <w:r w:rsidRPr="00665E1D">
        <w:rPr>
          <w:lang w:val="pt-BR"/>
        </w:rPr>
        <w:t xml:space="preserve">, F., </w:t>
      </w:r>
      <w:proofErr w:type="spellStart"/>
      <w:r w:rsidRPr="00665E1D">
        <w:rPr>
          <w:lang w:val="pt-BR"/>
        </w:rPr>
        <w:t>Silvestri</w:t>
      </w:r>
      <w:proofErr w:type="spellEnd"/>
      <w:r w:rsidRPr="00665E1D">
        <w:rPr>
          <w:lang w:val="pt-BR"/>
        </w:rPr>
        <w:t xml:space="preserve">, L., </w:t>
      </w:r>
      <w:proofErr w:type="spellStart"/>
      <w:r w:rsidRPr="00665E1D">
        <w:rPr>
          <w:lang w:val="pt-BR"/>
        </w:rPr>
        <w:t>Tresoldi</w:t>
      </w:r>
      <w:proofErr w:type="spellEnd"/>
      <w:r w:rsidRPr="00665E1D">
        <w:rPr>
          <w:lang w:val="pt-BR"/>
        </w:rPr>
        <w:t xml:space="preserve">, C., Farina, N., … </w:t>
      </w:r>
      <w:r>
        <w:t xml:space="preserve">Manfredi, A. A. (2021). CXCL10 levels at hospital admission predict COVID-19 outcome: hierarchical assessment of 53 putative inflammatory biomarkers in an observational study. </w:t>
      </w:r>
      <w:r>
        <w:rPr>
          <w:i/>
          <w:iCs/>
        </w:rPr>
        <w:t>Molecular Medicine</w:t>
      </w:r>
      <w:r>
        <w:t xml:space="preserve">, </w:t>
      </w:r>
      <w:r>
        <w:rPr>
          <w:i/>
          <w:iCs/>
        </w:rPr>
        <w:t>27</w:t>
      </w:r>
      <w:r>
        <w:t>(1). https://doi.org/10.1186/s10020-021-00390-4</w:t>
      </w:r>
    </w:p>
    <w:p w14:paraId="48E19506" w14:textId="77777777" w:rsidR="00665E1D" w:rsidRDefault="00665E1D" w:rsidP="00B23A53">
      <w:pPr>
        <w:rPr>
          <w:lang w:val="pt-BR"/>
        </w:rPr>
      </w:pPr>
    </w:p>
    <w:p w14:paraId="07044C8F" w14:textId="09E8F3E7" w:rsidR="00B23A53" w:rsidRDefault="00B23A53" w:rsidP="00B23A53">
      <w:proofErr w:type="spellStart"/>
      <w:r w:rsidRPr="00B23A53">
        <w:rPr>
          <w:lang w:val="pt-BR"/>
        </w:rPr>
        <w:t>Maione</w:t>
      </w:r>
      <w:proofErr w:type="spellEnd"/>
      <w:r w:rsidRPr="00B23A53">
        <w:rPr>
          <w:lang w:val="pt-BR"/>
        </w:rPr>
        <w:t xml:space="preserve">, F., </w:t>
      </w:r>
      <w:proofErr w:type="spellStart"/>
      <w:r w:rsidRPr="00B23A53">
        <w:rPr>
          <w:lang w:val="pt-BR"/>
        </w:rPr>
        <w:t>Casillo</w:t>
      </w:r>
      <w:proofErr w:type="spellEnd"/>
      <w:r w:rsidRPr="00B23A53">
        <w:rPr>
          <w:lang w:val="pt-BR"/>
        </w:rPr>
        <w:t xml:space="preserve">, G. M., Raucci, F., Salvatore, C., </w:t>
      </w:r>
      <w:proofErr w:type="spellStart"/>
      <w:r w:rsidRPr="00B23A53">
        <w:rPr>
          <w:lang w:val="pt-BR"/>
        </w:rPr>
        <w:t>Ambrosini</w:t>
      </w:r>
      <w:proofErr w:type="spellEnd"/>
      <w:r w:rsidRPr="00B23A53">
        <w:rPr>
          <w:lang w:val="pt-BR"/>
        </w:rPr>
        <w:t xml:space="preserve">, G., Costa, L., Scarpa, R., Caso, F., &amp; </w:t>
      </w:r>
      <w:proofErr w:type="spellStart"/>
      <w:r w:rsidRPr="00B23A53">
        <w:rPr>
          <w:lang w:val="pt-BR"/>
        </w:rPr>
        <w:t>Bucci</w:t>
      </w:r>
      <w:proofErr w:type="spellEnd"/>
      <w:r w:rsidRPr="00B23A53">
        <w:rPr>
          <w:lang w:val="pt-BR"/>
        </w:rPr>
        <w:t xml:space="preserve">, M. (2021). </w:t>
      </w:r>
      <w:r>
        <w:t xml:space="preserve">Interleukin-17A (IL-17A): A silent amplifier of COVID-19. </w:t>
      </w:r>
      <w:r>
        <w:rPr>
          <w:i/>
          <w:iCs/>
        </w:rPr>
        <w:t>Biomedicine and Pharmacotherapy</w:t>
      </w:r>
      <w:r>
        <w:t xml:space="preserve">, </w:t>
      </w:r>
      <w:r>
        <w:rPr>
          <w:i/>
          <w:iCs/>
        </w:rPr>
        <w:t>142</w:t>
      </w:r>
      <w:r>
        <w:t>. https://doi.org/10.1016/j.biopha.2021.111980</w:t>
      </w:r>
    </w:p>
    <w:p w14:paraId="75BF0B03" w14:textId="77777777" w:rsidR="00B23A53" w:rsidRPr="00B23A53" w:rsidRDefault="00B23A53" w:rsidP="00B23A53"/>
    <w:p w14:paraId="288955AF" w14:textId="7A7BAD94" w:rsidR="00B23A53" w:rsidRDefault="00B23A53" w:rsidP="00B23A53">
      <w:proofErr w:type="spellStart"/>
      <w:r w:rsidRPr="00B23A53">
        <w:rPr>
          <w:lang w:val="pt-BR"/>
        </w:rPr>
        <w:t>Moll</w:t>
      </w:r>
      <w:proofErr w:type="spellEnd"/>
      <w:r w:rsidRPr="00B23A53">
        <w:rPr>
          <w:lang w:val="pt-BR"/>
        </w:rPr>
        <w:t xml:space="preserve">-Bernardes, R., de Sousa, A. S., Macedo, A. V. S., Lopes, R. D., Vera, N., Maia, L. C. R., Feldman, A., Arruda, G. D. A. S., Castro, M. J. C., Pimentel-Coelho, P. M., de Albuquerque, D. C., de Paula, T. C., Furquim, T. A. B., Loures, V. A., </w:t>
      </w:r>
      <w:proofErr w:type="spellStart"/>
      <w:r w:rsidRPr="00B23A53">
        <w:rPr>
          <w:lang w:val="pt-BR"/>
        </w:rPr>
        <w:t>Giusti</w:t>
      </w:r>
      <w:proofErr w:type="spellEnd"/>
      <w:r w:rsidRPr="00B23A53">
        <w:rPr>
          <w:lang w:val="pt-BR"/>
        </w:rPr>
        <w:t xml:space="preserve">, K. G. D., de Oliveira, N. M., de Luca, F. A., </w:t>
      </w:r>
      <w:proofErr w:type="spellStart"/>
      <w:r w:rsidRPr="00B23A53">
        <w:rPr>
          <w:lang w:val="pt-BR"/>
        </w:rPr>
        <w:t>Kotsugai</w:t>
      </w:r>
      <w:proofErr w:type="spellEnd"/>
      <w:r w:rsidRPr="00B23A53">
        <w:rPr>
          <w:lang w:val="pt-BR"/>
        </w:rPr>
        <w:t xml:space="preserve">, M. D. M., </w:t>
      </w:r>
      <w:proofErr w:type="spellStart"/>
      <w:r w:rsidRPr="00B23A53">
        <w:rPr>
          <w:lang w:val="pt-BR"/>
        </w:rPr>
        <w:t>Domiciano</w:t>
      </w:r>
      <w:proofErr w:type="spellEnd"/>
      <w:r w:rsidRPr="00B23A53">
        <w:rPr>
          <w:lang w:val="pt-BR"/>
        </w:rPr>
        <w:t xml:space="preserve">, R. A. M., … </w:t>
      </w:r>
      <w:proofErr w:type="spellStart"/>
      <w:r>
        <w:t>Medei</w:t>
      </w:r>
      <w:proofErr w:type="spellEnd"/>
      <w:r>
        <w:t xml:space="preserve">, E. (2021). IL-10 and IL-12 (P70) Levels Predict the Risk of Covid-19 Progression in Hypertensive Patients: Insights From the BRACE-CORONA Trial. </w:t>
      </w:r>
      <w:r>
        <w:rPr>
          <w:i/>
          <w:iCs/>
        </w:rPr>
        <w:t>Frontiers in Cardiovascular Medicine</w:t>
      </w:r>
      <w:r>
        <w:t xml:space="preserve">, </w:t>
      </w:r>
      <w:r>
        <w:rPr>
          <w:i/>
          <w:iCs/>
        </w:rPr>
        <w:t>8</w:t>
      </w:r>
      <w:r>
        <w:t>. https://doi.org/10.3389/fcvm.2021.702507</w:t>
      </w:r>
    </w:p>
    <w:p w14:paraId="02DCFABD" w14:textId="77777777" w:rsidR="00B23A53" w:rsidRDefault="00B23A53" w:rsidP="008C38F0"/>
    <w:p w14:paraId="0302FDAF" w14:textId="6DDAEDAD" w:rsidR="00C7628F" w:rsidRPr="00644590" w:rsidRDefault="008C38F0" w:rsidP="008C38F0">
      <w:r w:rsidRPr="00FE20AF">
        <w:t xml:space="preserve">Nicholls, S. J., &amp; Hazen, S. L. (2005). </w:t>
      </w:r>
      <w:r w:rsidRPr="00644590">
        <w:t xml:space="preserve">Myeloperoxidase and cardiovascular disease. In </w:t>
      </w:r>
      <w:r w:rsidRPr="00644590">
        <w:rPr>
          <w:i/>
          <w:iCs/>
        </w:rPr>
        <w:t>Arteriosclerosis, Thrombosis, and Vascular Biology</w:t>
      </w:r>
      <w:r w:rsidRPr="00644590">
        <w:t xml:space="preserve"> (Vol. 25, Issue 6). https://doi.org/10.1161/01.ATV.0000163262.83456.6d</w:t>
      </w:r>
    </w:p>
    <w:p w14:paraId="71F7862E" w14:textId="461A4222" w:rsidR="0086055C" w:rsidRDefault="0086055C"/>
    <w:p w14:paraId="429AF52F" w14:textId="77777777" w:rsidR="00B23A53" w:rsidRDefault="00B23A53" w:rsidP="00B23A53">
      <w:proofErr w:type="spellStart"/>
      <w:r>
        <w:t>Nieri</w:t>
      </w:r>
      <w:proofErr w:type="spellEnd"/>
      <w:r>
        <w:t xml:space="preserve">, D., </w:t>
      </w:r>
      <w:proofErr w:type="spellStart"/>
      <w:r>
        <w:t>Neri</w:t>
      </w:r>
      <w:proofErr w:type="spellEnd"/>
      <w:r>
        <w:t xml:space="preserve">, T., Barbieri, G., Moneta, S., Morelli, G., </w:t>
      </w:r>
      <w:proofErr w:type="spellStart"/>
      <w:r>
        <w:t>Mingardi</w:t>
      </w:r>
      <w:proofErr w:type="spellEnd"/>
      <w:r>
        <w:t xml:space="preserve">, D., Spinelli, S., </w:t>
      </w:r>
      <w:proofErr w:type="spellStart"/>
      <w:r>
        <w:t>Ghiadoni</w:t>
      </w:r>
      <w:proofErr w:type="spellEnd"/>
      <w:r>
        <w:t xml:space="preserve">, L., Falcone, M., </w:t>
      </w:r>
      <w:proofErr w:type="spellStart"/>
      <w:r>
        <w:t>Tiseo</w:t>
      </w:r>
      <w:proofErr w:type="spellEnd"/>
      <w:r>
        <w:t xml:space="preserve">, G., </w:t>
      </w:r>
      <w:proofErr w:type="spellStart"/>
      <w:r>
        <w:t>Menichetti</w:t>
      </w:r>
      <w:proofErr w:type="spellEnd"/>
      <w:r>
        <w:t xml:space="preserve">, F., </w:t>
      </w:r>
      <w:proofErr w:type="spellStart"/>
      <w:r>
        <w:t>Franzini</w:t>
      </w:r>
      <w:proofErr w:type="spellEnd"/>
      <w:r>
        <w:t xml:space="preserve">, M., </w:t>
      </w:r>
      <w:proofErr w:type="spellStart"/>
      <w:r>
        <w:t>Caponi</w:t>
      </w:r>
      <w:proofErr w:type="spellEnd"/>
      <w:r>
        <w:t xml:space="preserve">, L., </w:t>
      </w:r>
      <w:proofErr w:type="spellStart"/>
      <w:r>
        <w:t>Paolicchi</w:t>
      </w:r>
      <w:proofErr w:type="spellEnd"/>
      <w:r>
        <w:t xml:space="preserve">, A., </w:t>
      </w:r>
      <w:proofErr w:type="spellStart"/>
      <w:r>
        <w:t>Pancani</w:t>
      </w:r>
      <w:proofErr w:type="spellEnd"/>
      <w:r>
        <w:t xml:space="preserve">, R., </w:t>
      </w:r>
      <w:proofErr w:type="spellStart"/>
      <w:r>
        <w:lastRenderedPageBreak/>
        <w:t>Pistelli</w:t>
      </w:r>
      <w:proofErr w:type="spellEnd"/>
      <w:r>
        <w:t xml:space="preserve">, F., </w:t>
      </w:r>
      <w:proofErr w:type="spellStart"/>
      <w:r>
        <w:t>Carrozzi</w:t>
      </w:r>
      <w:proofErr w:type="spellEnd"/>
      <w:r>
        <w:t xml:space="preserve">, L., &amp; </w:t>
      </w:r>
      <w:proofErr w:type="spellStart"/>
      <w:r>
        <w:t>Celi</w:t>
      </w:r>
      <w:proofErr w:type="spellEnd"/>
      <w:r>
        <w:t xml:space="preserve">, A. (2021). C-C motive chemokine ligand 2 and </w:t>
      </w:r>
      <w:proofErr w:type="spellStart"/>
      <w:r>
        <w:t>thromboinflammation</w:t>
      </w:r>
      <w:proofErr w:type="spellEnd"/>
      <w:r>
        <w:t xml:space="preserve"> in COVID-19-associated pneumonia: A retrospective study. </w:t>
      </w:r>
      <w:r>
        <w:rPr>
          <w:i/>
          <w:iCs/>
        </w:rPr>
        <w:t>Thrombosis Research</w:t>
      </w:r>
      <w:r>
        <w:t xml:space="preserve">, </w:t>
      </w:r>
      <w:r>
        <w:rPr>
          <w:i/>
          <w:iCs/>
        </w:rPr>
        <w:t>204</w:t>
      </w:r>
      <w:r>
        <w:t>. https://doi.org/10.1016/j.thromres.2021.06.003</w:t>
      </w:r>
    </w:p>
    <w:p w14:paraId="43FAFC4F" w14:textId="77777777" w:rsidR="00B23A53" w:rsidRDefault="00B23A53" w:rsidP="000A0A65">
      <w:pPr>
        <w:rPr>
          <w:lang w:val="pt-BR"/>
        </w:rPr>
      </w:pPr>
    </w:p>
    <w:p w14:paraId="735C5B5D" w14:textId="500DFEF6" w:rsidR="000A0A65" w:rsidRDefault="000A0A65" w:rsidP="000A0A65">
      <w:r w:rsidRPr="000A0A65">
        <w:rPr>
          <w:lang w:val="pt-BR"/>
        </w:rPr>
        <w:t xml:space="preserve">Oliva, A., </w:t>
      </w:r>
      <w:proofErr w:type="spellStart"/>
      <w:r w:rsidRPr="000A0A65">
        <w:rPr>
          <w:lang w:val="pt-BR"/>
        </w:rPr>
        <w:t>Rando</w:t>
      </w:r>
      <w:proofErr w:type="spellEnd"/>
      <w:r w:rsidRPr="000A0A65">
        <w:rPr>
          <w:lang w:val="pt-BR"/>
        </w:rPr>
        <w:t xml:space="preserve">, E., al Ismail, D., de Angelis, M., </w:t>
      </w:r>
      <w:proofErr w:type="spellStart"/>
      <w:r w:rsidRPr="000A0A65">
        <w:rPr>
          <w:lang w:val="pt-BR"/>
        </w:rPr>
        <w:t>Cancelli</w:t>
      </w:r>
      <w:proofErr w:type="spellEnd"/>
      <w:r w:rsidRPr="000A0A65">
        <w:rPr>
          <w:lang w:val="pt-BR"/>
        </w:rPr>
        <w:t xml:space="preserve">, F., </w:t>
      </w:r>
      <w:proofErr w:type="spellStart"/>
      <w:r w:rsidRPr="000A0A65">
        <w:rPr>
          <w:lang w:val="pt-BR"/>
        </w:rPr>
        <w:t>Miele</w:t>
      </w:r>
      <w:proofErr w:type="spellEnd"/>
      <w:r w:rsidRPr="000A0A65">
        <w:rPr>
          <w:lang w:val="pt-BR"/>
        </w:rPr>
        <w:t xml:space="preserve">, M. C., </w:t>
      </w:r>
      <w:proofErr w:type="spellStart"/>
      <w:r w:rsidRPr="000A0A65">
        <w:rPr>
          <w:lang w:val="pt-BR"/>
        </w:rPr>
        <w:t>Aronica</w:t>
      </w:r>
      <w:proofErr w:type="spellEnd"/>
      <w:r w:rsidRPr="000A0A65">
        <w:rPr>
          <w:lang w:val="pt-BR"/>
        </w:rPr>
        <w:t xml:space="preserve">, R., Mauro, V., </w:t>
      </w:r>
      <w:proofErr w:type="spellStart"/>
      <w:r w:rsidRPr="000A0A65">
        <w:rPr>
          <w:lang w:val="pt-BR"/>
        </w:rPr>
        <w:t>di</w:t>
      </w:r>
      <w:proofErr w:type="spellEnd"/>
      <w:r w:rsidRPr="000A0A65">
        <w:rPr>
          <w:lang w:val="pt-BR"/>
        </w:rPr>
        <w:t xml:space="preserve"> </w:t>
      </w:r>
      <w:proofErr w:type="spellStart"/>
      <w:r w:rsidRPr="000A0A65">
        <w:rPr>
          <w:lang w:val="pt-BR"/>
        </w:rPr>
        <w:t>Timoteo</w:t>
      </w:r>
      <w:proofErr w:type="spellEnd"/>
      <w:r w:rsidRPr="000A0A65">
        <w:rPr>
          <w:lang w:val="pt-BR"/>
        </w:rPr>
        <w:t xml:space="preserve">, F., </w:t>
      </w:r>
      <w:proofErr w:type="spellStart"/>
      <w:r w:rsidRPr="000A0A65">
        <w:rPr>
          <w:lang w:val="pt-BR"/>
        </w:rPr>
        <w:t>Loffredo</w:t>
      </w:r>
      <w:proofErr w:type="spellEnd"/>
      <w:r w:rsidRPr="000A0A65">
        <w:rPr>
          <w:lang w:val="pt-BR"/>
        </w:rPr>
        <w:t xml:space="preserve">, L., &amp; Mastroianni, C. M. (2021). </w:t>
      </w:r>
      <w:r>
        <w:t xml:space="preserve">Role of serum e-selectin as a biomarker of infection severity in coronavirus disease 2019. </w:t>
      </w:r>
      <w:r>
        <w:rPr>
          <w:i/>
          <w:iCs/>
        </w:rPr>
        <w:t>Journal of Clinical Medicine</w:t>
      </w:r>
      <w:r>
        <w:t xml:space="preserve">, </w:t>
      </w:r>
      <w:r>
        <w:rPr>
          <w:i/>
          <w:iCs/>
        </w:rPr>
        <w:t>10</w:t>
      </w:r>
      <w:r>
        <w:t>(17). https://doi.org/10.3390/jcm10174018</w:t>
      </w:r>
    </w:p>
    <w:p w14:paraId="7867DD34" w14:textId="77777777" w:rsidR="000A0A65" w:rsidRPr="00644590" w:rsidRDefault="000A0A65"/>
    <w:p w14:paraId="780900F7" w14:textId="77777777" w:rsidR="00D32FF7" w:rsidRPr="00644590" w:rsidRDefault="00D32FF7" w:rsidP="00D32FF7">
      <w:r w:rsidRPr="00644590">
        <w:t xml:space="preserve">Patterson, D., Jones, C., Hart, I., </w:t>
      </w:r>
      <w:proofErr w:type="spellStart"/>
      <w:r w:rsidRPr="00644590">
        <w:t>Bleskan</w:t>
      </w:r>
      <w:proofErr w:type="spellEnd"/>
      <w:r w:rsidRPr="00644590">
        <w:t xml:space="preserve">, J., Berger, R., Geyer, D., Eisenberg, S. P., Smith, M. F., &amp; </w:t>
      </w:r>
      <w:proofErr w:type="spellStart"/>
      <w:r w:rsidRPr="00644590">
        <w:t>Arend</w:t>
      </w:r>
      <w:proofErr w:type="spellEnd"/>
      <w:r w:rsidRPr="00644590">
        <w:t xml:space="preserve">, W. P. (1993). The human interleukin-1 receptor antagonist (IL1RN) gene </w:t>
      </w:r>
      <w:proofErr w:type="gramStart"/>
      <w:r w:rsidRPr="00644590">
        <w:t>is located in</w:t>
      </w:r>
      <w:proofErr w:type="gramEnd"/>
      <w:r w:rsidRPr="00644590">
        <w:t xml:space="preserve"> the chromosome 2q14 region. </w:t>
      </w:r>
      <w:r w:rsidRPr="00644590">
        <w:rPr>
          <w:i/>
          <w:iCs/>
        </w:rPr>
        <w:t>Genomics</w:t>
      </w:r>
      <w:r w:rsidRPr="00644590">
        <w:t xml:space="preserve">, </w:t>
      </w:r>
      <w:r w:rsidRPr="00644590">
        <w:rPr>
          <w:i/>
          <w:iCs/>
        </w:rPr>
        <w:t>15</w:t>
      </w:r>
      <w:r w:rsidRPr="00644590">
        <w:t>(1). https://doi.org/10.1006/geno.1993.1025</w:t>
      </w:r>
    </w:p>
    <w:p w14:paraId="3D5CEA0F" w14:textId="77777777" w:rsidR="00D32FF7" w:rsidRPr="00730E99" w:rsidRDefault="00D32FF7" w:rsidP="0086055C"/>
    <w:p w14:paraId="0A585F26" w14:textId="2F788396" w:rsidR="0086055C" w:rsidRPr="00644590" w:rsidRDefault="0086055C" w:rsidP="0086055C">
      <w:proofErr w:type="spellStart"/>
      <w:r w:rsidRPr="00730E99">
        <w:t>Perera</w:t>
      </w:r>
      <w:proofErr w:type="spellEnd"/>
      <w:r w:rsidRPr="00730E99">
        <w:t xml:space="preserve">, P. Y., </w:t>
      </w:r>
      <w:proofErr w:type="spellStart"/>
      <w:r w:rsidRPr="00730E99">
        <w:t>Lichy</w:t>
      </w:r>
      <w:proofErr w:type="spellEnd"/>
      <w:r w:rsidRPr="00730E99">
        <w:t xml:space="preserve">, J. H., </w:t>
      </w:r>
      <w:proofErr w:type="spellStart"/>
      <w:r w:rsidRPr="00730E99">
        <w:t>Waldmann</w:t>
      </w:r>
      <w:proofErr w:type="spellEnd"/>
      <w:r w:rsidRPr="00730E99">
        <w:t xml:space="preserve">, T. A., &amp; </w:t>
      </w:r>
      <w:proofErr w:type="spellStart"/>
      <w:r w:rsidRPr="00730E99">
        <w:t>Perera</w:t>
      </w:r>
      <w:proofErr w:type="spellEnd"/>
      <w:r w:rsidRPr="00730E99">
        <w:t xml:space="preserve">, L. P. (2012). </w:t>
      </w:r>
      <w:r w:rsidRPr="00644590">
        <w:t xml:space="preserve">The role of interleukin-15 in inflammation and immune responses to infection: Implications for its therapeutic use. In </w:t>
      </w:r>
      <w:r w:rsidRPr="00644590">
        <w:rPr>
          <w:i/>
          <w:iCs/>
        </w:rPr>
        <w:t>Microbes and Infection</w:t>
      </w:r>
      <w:r w:rsidRPr="00644590">
        <w:t xml:space="preserve"> (Vol. 14, Issue 3). </w:t>
      </w:r>
      <w:hyperlink r:id="rId8" w:history="1">
        <w:r w:rsidR="00D32FF7" w:rsidRPr="00644590">
          <w:rPr>
            <w:rStyle w:val="Hyperlink"/>
          </w:rPr>
          <w:t>https://doi.org/10.1016/j.micinf.2011.10.006</w:t>
        </w:r>
      </w:hyperlink>
    </w:p>
    <w:p w14:paraId="2E4D2769" w14:textId="4528D92A" w:rsidR="00D32FF7" w:rsidRPr="00644590" w:rsidRDefault="00D32FF7" w:rsidP="0086055C"/>
    <w:p w14:paraId="19AAC4D4" w14:textId="77777777" w:rsidR="00644590" w:rsidRPr="00644590" w:rsidRDefault="00644590" w:rsidP="00644590">
      <w:r w:rsidRPr="00644590">
        <w:t xml:space="preserve">Pignatelli, M., &amp; </w:t>
      </w:r>
      <w:proofErr w:type="spellStart"/>
      <w:r w:rsidRPr="00644590">
        <w:t>Vessey</w:t>
      </w:r>
      <w:proofErr w:type="spellEnd"/>
      <w:r w:rsidRPr="00644590">
        <w:t xml:space="preserve"> BM, C. J. (1994). Adhesion molecules: Novel molecular tools in tumor pathology. </w:t>
      </w:r>
      <w:r w:rsidRPr="00644590">
        <w:rPr>
          <w:i/>
          <w:iCs/>
        </w:rPr>
        <w:t>Human Pathology</w:t>
      </w:r>
      <w:r w:rsidRPr="00644590">
        <w:t xml:space="preserve">, </w:t>
      </w:r>
      <w:r w:rsidRPr="00644590">
        <w:rPr>
          <w:i/>
          <w:iCs/>
        </w:rPr>
        <w:t>25</w:t>
      </w:r>
      <w:r w:rsidRPr="00644590">
        <w:t>(9). https://doi.org/10.1016/0046-8177(94)90002-7</w:t>
      </w:r>
    </w:p>
    <w:p w14:paraId="4B1FE98A" w14:textId="77777777" w:rsidR="00644590" w:rsidRPr="00644590" w:rsidRDefault="00644590" w:rsidP="0086055C"/>
    <w:p w14:paraId="67B48415" w14:textId="77777777" w:rsidR="00D32FF7" w:rsidRPr="00644590" w:rsidRDefault="00D32FF7" w:rsidP="00D32FF7">
      <w:proofErr w:type="spellStart"/>
      <w:r w:rsidRPr="00644590">
        <w:t>Rauniyar</w:t>
      </w:r>
      <w:proofErr w:type="spellEnd"/>
      <w:r w:rsidRPr="00644590">
        <w:t xml:space="preserve">, K., Jha, S. K., &amp; </w:t>
      </w:r>
      <w:proofErr w:type="spellStart"/>
      <w:r w:rsidRPr="00644590">
        <w:t>Jeltsch</w:t>
      </w:r>
      <w:proofErr w:type="spellEnd"/>
      <w:r w:rsidRPr="00644590">
        <w:t xml:space="preserve">, M. (2018). Biology of vascular endothelial growth factor C in the morphogenesis of lymphatic vessels. In </w:t>
      </w:r>
      <w:r w:rsidRPr="00644590">
        <w:rPr>
          <w:i/>
          <w:iCs/>
        </w:rPr>
        <w:t>Frontiers in Bioengineering and Biotechnology</w:t>
      </w:r>
      <w:r w:rsidRPr="00644590">
        <w:t xml:space="preserve"> (Vol. 6, Issue FEB). https://doi.org/10.3389/fbioe.2018.00007</w:t>
      </w:r>
    </w:p>
    <w:p w14:paraId="73A47195" w14:textId="33070302" w:rsidR="0086055C" w:rsidRDefault="0086055C"/>
    <w:p w14:paraId="25A6AEE9" w14:textId="77777777" w:rsidR="00665E1D" w:rsidRDefault="00665E1D" w:rsidP="00665E1D">
      <w:proofErr w:type="spellStart"/>
      <w:r>
        <w:t>Sabbatino</w:t>
      </w:r>
      <w:proofErr w:type="spellEnd"/>
      <w:r>
        <w:t xml:space="preserve">, F., Conti, V., </w:t>
      </w:r>
      <w:proofErr w:type="spellStart"/>
      <w:r>
        <w:t>Franci</w:t>
      </w:r>
      <w:proofErr w:type="spellEnd"/>
      <w:r>
        <w:t xml:space="preserve">, G., </w:t>
      </w:r>
      <w:proofErr w:type="spellStart"/>
      <w:r>
        <w:t>Sellitto</w:t>
      </w:r>
      <w:proofErr w:type="spellEnd"/>
      <w:r>
        <w:t xml:space="preserve">, C., Manzo, V., </w:t>
      </w:r>
      <w:proofErr w:type="spellStart"/>
      <w:r>
        <w:t>Pagliano</w:t>
      </w:r>
      <w:proofErr w:type="spellEnd"/>
      <w:r>
        <w:t xml:space="preserve">, P., de Bellis, E., </w:t>
      </w:r>
      <w:proofErr w:type="spellStart"/>
      <w:r>
        <w:t>Masullo</w:t>
      </w:r>
      <w:proofErr w:type="spellEnd"/>
      <w:r>
        <w:t xml:space="preserve">, A., </w:t>
      </w:r>
      <w:proofErr w:type="spellStart"/>
      <w:r>
        <w:t>Salzano</w:t>
      </w:r>
      <w:proofErr w:type="spellEnd"/>
      <w:r>
        <w:t xml:space="preserve">, F. A., Caputo, A., Peluso, I., </w:t>
      </w:r>
      <w:proofErr w:type="spellStart"/>
      <w:r>
        <w:t>Zeppa</w:t>
      </w:r>
      <w:proofErr w:type="spellEnd"/>
      <w:r>
        <w:t xml:space="preserve">, P., </w:t>
      </w:r>
      <w:proofErr w:type="spellStart"/>
      <w:r>
        <w:t>Scognamiglio</w:t>
      </w:r>
      <w:proofErr w:type="spellEnd"/>
      <w:r>
        <w:t xml:space="preserve">, G., Greco, G., </w:t>
      </w:r>
      <w:proofErr w:type="spellStart"/>
      <w:r>
        <w:t>Zannella</w:t>
      </w:r>
      <w:proofErr w:type="spellEnd"/>
      <w:r>
        <w:t xml:space="preserve">, C., Ciccarelli, M., Cicala, C., </w:t>
      </w:r>
      <w:proofErr w:type="spellStart"/>
      <w:r>
        <w:t>Vecchione</w:t>
      </w:r>
      <w:proofErr w:type="spellEnd"/>
      <w:r>
        <w:t xml:space="preserve">, C., </w:t>
      </w:r>
      <w:proofErr w:type="spellStart"/>
      <w:r>
        <w:t>Filippelli</w:t>
      </w:r>
      <w:proofErr w:type="spellEnd"/>
      <w:r>
        <w:t xml:space="preserve">, A., &amp; Pepe, S. (2021). PD-L1 Dysregulation in COVID-19 Patients. </w:t>
      </w:r>
      <w:r>
        <w:rPr>
          <w:i/>
          <w:iCs/>
        </w:rPr>
        <w:t>Frontiers in Immunology</w:t>
      </w:r>
      <w:r>
        <w:t xml:space="preserve">, </w:t>
      </w:r>
      <w:r>
        <w:rPr>
          <w:i/>
          <w:iCs/>
        </w:rPr>
        <w:t>12</w:t>
      </w:r>
      <w:r>
        <w:t>. https://doi.org/10.3389/fimmu.2021.695242</w:t>
      </w:r>
    </w:p>
    <w:p w14:paraId="249FE46E" w14:textId="77777777" w:rsidR="00665E1D" w:rsidRDefault="00665E1D" w:rsidP="00665E1D"/>
    <w:p w14:paraId="1693C86A" w14:textId="32027DC6" w:rsidR="00665E1D" w:rsidRDefault="00665E1D" w:rsidP="00665E1D">
      <w:proofErr w:type="spellStart"/>
      <w:r>
        <w:t>Sahebnasagh</w:t>
      </w:r>
      <w:proofErr w:type="spellEnd"/>
      <w:r>
        <w:t xml:space="preserve">, A., </w:t>
      </w:r>
      <w:proofErr w:type="spellStart"/>
      <w:r>
        <w:t>Nabavi</w:t>
      </w:r>
      <w:proofErr w:type="spellEnd"/>
      <w:r>
        <w:t xml:space="preserve">, S. M., </w:t>
      </w:r>
      <w:proofErr w:type="spellStart"/>
      <w:r>
        <w:t>Kashani</w:t>
      </w:r>
      <w:proofErr w:type="spellEnd"/>
      <w:r>
        <w:t xml:space="preserve">, H. R. K., </w:t>
      </w:r>
      <w:proofErr w:type="spellStart"/>
      <w:r>
        <w:t>Abdollahian</w:t>
      </w:r>
      <w:proofErr w:type="spellEnd"/>
      <w:r>
        <w:t xml:space="preserve">, S., </w:t>
      </w:r>
      <w:proofErr w:type="spellStart"/>
      <w:r>
        <w:t>Habtemariam</w:t>
      </w:r>
      <w:proofErr w:type="spellEnd"/>
      <w:r>
        <w:t xml:space="preserve">, S., &amp; </w:t>
      </w:r>
      <w:proofErr w:type="spellStart"/>
      <w:r>
        <w:t>Rezabakhsh</w:t>
      </w:r>
      <w:proofErr w:type="spellEnd"/>
      <w:r>
        <w:t xml:space="preserve">, A. (2021). Anti-VEGF agents: As appealing targets in the setting of COVID-19 treatment in critically ill patients. In </w:t>
      </w:r>
      <w:r>
        <w:rPr>
          <w:i/>
          <w:iCs/>
        </w:rPr>
        <w:t>International Immunopharmacology</w:t>
      </w:r>
      <w:r>
        <w:t xml:space="preserve"> (Vol. 101). https://doi.org/10.1016/j.intimp.2021.108257</w:t>
      </w:r>
    </w:p>
    <w:p w14:paraId="51FC4349" w14:textId="77777777" w:rsidR="00665E1D" w:rsidRDefault="00665E1D" w:rsidP="00B23A53">
      <w:pPr>
        <w:rPr>
          <w:lang w:val="pt-BR"/>
        </w:rPr>
      </w:pPr>
    </w:p>
    <w:p w14:paraId="76642210" w14:textId="0A509F4F" w:rsidR="00B23A53" w:rsidRDefault="00B23A53" w:rsidP="00B23A53">
      <w:r w:rsidRPr="00B23A53">
        <w:rPr>
          <w:lang w:val="pt-BR"/>
        </w:rPr>
        <w:t xml:space="preserve">Santa Cruz, A., Mendes-Frias, A., Oliveira, A. I., Dias, L., Matos, A. R., Carvalho, A., Capela, C., Pedrosa, J., Castro, A. G., &amp; Silvestre, R. (2021). </w:t>
      </w:r>
      <w:r>
        <w:t xml:space="preserve">Interleukin-6 Is a Biomarker for the Development of Fatal Severe Acute Respiratory Syndrome Coronavirus 2 Pneumonia. </w:t>
      </w:r>
      <w:r>
        <w:rPr>
          <w:i/>
          <w:iCs/>
        </w:rPr>
        <w:t>Frontiers in Immunology</w:t>
      </w:r>
      <w:r>
        <w:t xml:space="preserve">, </w:t>
      </w:r>
      <w:r>
        <w:rPr>
          <w:i/>
          <w:iCs/>
        </w:rPr>
        <w:t>12</w:t>
      </w:r>
      <w:r>
        <w:t>. https://doi.org/10.3389/fimmu.2021.613422</w:t>
      </w:r>
    </w:p>
    <w:p w14:paraId="0753D0C8" w14:textId="77777777" w:rsidR="00B23A53" w:rsidRDefault="00B23A53" w:rsidP="00730E99"/>
    <w:p w14:paraId="58124BE6" w14:textId="597F6508" w:rsidR="00730E99" w:rsidRPr="00730E99" w:rsidRDefault="00730E99" w:rsidP="00730E99">
      <w:proofErr w:type="spellStart"/>
      <w:r w:rsidRPr="00730E99">
        <w:t>Scheller</w:t>
      </w:r>
      <w:proofErr w:type="spellEnd"/>
      <w:r w:rsidRPr="00730E99">
        <w:t xml:space="preserve">, J., </w:t>
      </w:r>
      <w:proofErr w:type="spellStart"/>
      <w:r w:rsidRPr="00730E99">
        <w:t>Chalaris</w:t>
      </w:r>
      <w:proofErr w:type="spellEnd"/>
      <w:r w:rsidRPr="00730E99">
        <w:t xml:space="preserve">, A., Schmidt-Arras, D., &amp; Rose-John, S. (2011). The pro- and anti-inflammatory properties of the cytokine </w:t>
      </w:r>
      <w:proofErr w:type="gramStart"/>
      <w:r w:rsidRPr="00730E99">
        <w:t>interleukin-6</w:t>
      </w:r>
      <w:proofErr w:type="gramEnd"/>
      <w:r w:rsidRPr="00730E99">
        <w:t xml:space="preserve">. In </w:t>
      </w:r>
      <w:proofErr w:type="spellStart"/>
      <w:r w:rsidRPr="00730E99">
        <w:rPr>
          <w:i/>
          <w:iCs/>
        </w:rPr>
        <w:t>Biochimica</w:t>
      </w:r>
      <w:proofErr w:type="spellEnd"/>
      <w:r w:rsidRPr="00730E99">
        <w:rPr>
          <w:i/>
          <w:iCs/>
        </w:rPr>
        <w:t xml:space="preserve"> et </w:t>
      </w:r>
      <w:proofErr w:type="spellStart"/>
      <w:r w:rsidRPr="00730E99">
        <w:rPr>
          <w:i/>
          <w:iCs/>
        </w:rPr>
        <w:t>Biophysica</w:t>
      </w:r>
      <w:proofErr w:type="spellEnd"/>
      <w:r w:rsidRPr="00730E99">
        <w:rPr>
          <w:i/>
          <w:iCs/>
        </w:rPr>
        <w:t xml:space="preserve"> Acta - Molecular Cell Research</w:t>
      </w:r>
      <w:r w:rsidRPr="00730E99">
        <w:t xml:space="preserve"> (Vol. 1813, Issue 5). https://doi.org/10.1016/j.bbamcr.2011.01.034</w:t>
      </w:r>
    </w:p>
    <w:p w14:paraId="2F0B4164" w14:textId="77777777" w:rsidR="00730E99" w:rsidRPr="00644590" w:rsidRDefault="00730E99"/>
    <w:p w14:paraId="1CE48F72" w14:textId="77777777" w:rsidR="00AA6EBA" w:rsidRPr="00644590" w:rsidRDefault="00AA6EBA" w:rsidP="00AA6EBA">
      <w:r w:rsidRPr="00644590">
        <w:lastRenderedPageBreak/>
        <w:t xml:space="preserve">Schoenborn, J. R., &amp; Wilson, C. B. (2007). Regulation of Interferon-γ During Innate and Adaptive Immune Responses. In </w:t>
      </w:r>
      <w:r w:rsidRPr="00644590">
        <w:rPr>
          <w:i/>
          <w:iCs/>
        </w:rPr>
        <w:t>Advances in Immunology</w:t>
      </w:r>
      <w:r w:rsidRPr="00644590">
        <w:t xml:space="preserve"> (Vol. 96). https://doi.org/10.1016/S0065-2776(07)96002-2</w:t>
      </w:r>
    </w:p>
    <w:p w14:paraId="74869700" w14:textId="1E133E3E" w:rsidR="00AA6EBA" w:rsidRPr="00644590" w:rsidRDefault="00AA6EBA"/>
    <w:p w14:paraId="498101B2" w14:textId="77777777" w:rsidR="00B23A53" w:rsidRDefault="00B23A53" w:rsidP="00B23A53">
      <w:r>
        <w:t xml:space="preserve">Shi, H., Wang, W., Yin, J., Ouyang, Y., Pang, L., Feng, Y., </w:t>
      </w:r>
      <w:proofErr w:type="spellStart"/>
      <w:r>
        <w:t>Qiao</w:t>
      </w:r>
      <w:proofErr w:type="spellEnd"/>
      <w:r>
        <w:t xml:space="preserve">, L., Guo, X., Shi, H., </w:t>
      </w:r>
      <w:proofErr w:type="spellStart"/>
      <w:r>
        <w:t>Jin</w:t>
      </w:r>
      <w:proofErr w:type="spellEnd"/>
      <w:r>
        <w:t xml:space="preserve">, R., &amp; Chen, D. (2020). The inhibition of IL-2/IL-2R gives rise to CD8+ T cell and lymphocyte decrease through JAK1-STAT5 in critical patients with COVID-19 pneumonia. </w:t>
      </w:r>
      <w:r>
        <w:rPr>
          <w:i/>
          <w:iCs/>
        </w:rPr>
        <w:t>Cell Death and Disease</w:t>
      </w:r>
      <w:r>
        <w:t xml:space="preserve">, </w:t>
      </w:r>
      <w:r>
        <w:rPr>
          <w:i/>
          <w:iCs/>
        </w:rPr>
        <w:t>11</w:t>
      </w:r>
      <w:r>
        <w:t>(6). https://doi.org/10.1038/s41419-020-2636-4</w:t>
      </w:r>
    </w:p>
    <w:p w14:paraId="338D5F5A" w14:textId="77777777" w:rsidR="00B23A53" w:rsidRDefault="00B23A53" w:rsidP="00D32FF7"/>
    <w:p w14:paraId="6AA15454" w14:textId="3B75DC33" w:rsidR="00D32FF7" w:rsidRPr="00644590" w:rsidRDefault="00D32FF7" w:rsidP="00D32FF7">
      <w:r w:rsidRPr="00644590">
        <w:t xml:space="preserve">Sorensen, G. L. (2018). Surfactant protein D in respiratory and non-respiratory diseases. In </w:t>
      </w:r>
      <w:r w:rsidRPr="00644590">
        <w:rPr>
          <w:i/>
          <w:iCs/>
        </w:rPr>
        <w:t>Frontiers in Medicine</w:t>
      </w:r>
      <w:r w:rsidRPr="00644590">
        <w:t xml:space="preserve"> (Vol. 5, Issue FEB). https://doi.org/10.3389/fmed.2018.00018</w:t>
      </w:r>
    </w:p>
    <w:p w14:paraId="3EE2A7EE" w14:textId="7D31723B" w:rsidR="00D32FF7" w:rsidRPr="00644590" w:rsidRDefault="00D32FF7" w:rsidP="00AA6EBA"/>
    <w:p w14:paraId="77637042" w14:textId="27745CE9" w:rsidR="008C38F0" w:rsidRPr="000E775E" w:rsidRDefault="008C38F0" w:rsidP="008C38F0">
      <w:pPr>
        <w:rPr>
          <w:lang w:val="pt-BR"/>
        </w:rPr>
      </w:pPr>
      <w:r w:rsidRPr="00644590">
        <w:t xml:space="preserve">Timmerman, I., Daniel, A. E., Kroon, J., &amp; van </w:t>
      </w:r>
      <w:proofErr w:type="spellStart"/>
      <w:r w:rsidRPr="00644590">
        <w:t>Buul</w:t>
      </w:r>
      <w:proofErr w:type="spellEnd"/>
      <w:r w:rsidRPr="00644590">
        <w:t xml:space="preserve">, J. D. (2016). Leukocytes Crossing the Endothelium: A Matter of Communication. In </w:t>
      </w:r>
      <w:r w:rsidRPr="00644590">
        <w:rPr>
          <w:i/>
          <w:iCs/>
        </w:rPr>
        <w:t>International Review of Cell and Molecular Biology</w:t>
      </w:r>
      <w:r w:rsidRPr="00644590">
        <w:t xml:space="preserve"> (Vol. 322). </w:t>
      </w:r>
      <w:hyperlink r:id="rId9" w:history="1">
        <w:r w:rsidR="000E775E" w:rsidRPr="000E775E">
          <w:rPr>
            <w:rStyle w:val="Hyperlink"/>
            <w:lang w:val="pt-BR"/>
          </w:rPr>
          <w:t>https://doi.org/10.1016/bs.ircmb.2015.10.005</w:t>
        </w:r>
      </w:hyperlink>
    </w:p>
    <w:p w14:paraId="3790115E" w14:textId="77777777" w:rsidR="000E775E" w:rsidRPr="000E775E" w:rsidRDefault="000E775E" w:rsidP="008C38F0">
      <w:pPr>
        <w:rPr>
          <w:lang w:val="pt-BR"/>
        </w:rPr>
      </w:pPr>
    </w:p>
    <w:p w14:paraId="3A3117B1" w14:textId="77777777" w:rsidR="00665E1D" w:rsidRDefault="00665E1D" w:rsidP="00665E1D">
      <w:r w:rsidRPr="00665E1D">
        <w:rPr>
          <w:lang w:val="pt-BR"/>
        </w:rPr>
        <w:t xml:space="preserve">Tong, M., </w:t>
      </w:r>
      <w:proofErr w:type="spellStart"/>
      <w:r w:rsidRPr="00665E1D">
        <w:rPr>
          <w:lang w:val="pt-BR"/>
        </w:rPr>
        <w:t>Xiong</w:t>
      </w:r>
      <w:proofErr w:type="spellEnd"/>
      <w:r w:rsidRPr="00665E1D">
        <w:rPr>
          <w:lang w:val="pt-BR"/>
        </w:rPr>
        <w:t xml:space="preserve">, Y., Zhu, C., </w:t>
      </w:r>
      <w:proofErr w:type="spellStart"/>
      <w:r w:rsidRPr="00665E1D">
        <w:rPr>
          <w:lang w:val="pt-BR"/>
        </w:rPr>
        <w:t>Xu</w:t>
      </w:r>
      <w:proofErr w:type="spellEnd"/>
      <w:r w:rsidRPr="00665E1D">
        <w:rPr>
          <w:lang w:val="pt-BR"/>
        </w:rPr>
        <w:t xml:space="preserve">, H., </w:t>
      </w:r>
      <w:proofErr w:type="spellStart"/>
      <w:r w:rsidRPr="00665E1D">
        <w:rPr>
          <w:lang w:val="pt-BR"/>
        </w:rPr>
        <w:t>Zheng</w:t>
      </w:r>
      <w:proofErr w:type="spellEnd"/>
      <w:r w:rsidRPr="00665E1D">
        <w:rPr>
          <w:lang w:val="pt-BR"/>
        </w:rPr>
        <w:t xml:space="preserve">, Q., Jiang, Y., </w:t>
      </w:r>
      <w:proofErr w:type="spellStart"/>
      <w:r w:rsidRPr="00665E1D">
        <w:rPr>
          <w:lang w:val="pt-BR"/>
        </w:rPr>
        <w:t>Zou</w:t>
      </w:r>
      <w:proofErr w:type="spellEnd"/>
      <w:r w:rsidRPr="00665E1D">
        <w:rPr>
          <w:lang w:val="pt-BR"/>
        </w:rPr>
        <w:t xml:space="preserve">, L., </w:t>
      </w:r>
      <w:proofErr w:type="spellStart"/>
      <w:r w:rsidRPr="00665E1D">
        <w:rPr>
          <w:lang w:val="pt-BR"/>
        </w:rPr>
        <w:t>Xiao</w:t>
      </w:r>
      <w:proofErr w:type="spellEnd"/>
      <w:r w:rsidRPr="00665E1D">
        <w:rPr>
          <w:lang w:val="pt-BR"/>
        </w:rPr>
        <w:t xml:space="preserve">, X., Chen, F., Yan, X., Hu, C., &amp; Zhu, Y. (2021). </w:t>
      </w:r>
      <w:r>
        <w:t xml:space="preserve">Serum surfactant protein D in COVID-19 is elevated and correlated with disease severity. </w:t>
      </w:r>
      <w:r>
        <w:rPr>
          <w:i/>
          <w:iCs/>
        </w:rPr>
        <w:t>BMC Infectious Diseases</w:t>
      </w:r>
      <w:r>
        <w:t xml:space="preserve">, </w:t>
      </w:r>
      <w:r>
        <w:rPr>
          <w:i/>
          <w:iCs/>
        </w:rPr>
        <w:t>21</w:t>
      </w:r>
      <w:r>
        <w:t>(1). https://doi.org/10.1186/s12879-021-06447-3</w:t>
      </w:r>
    </w:p>
    <w:p w14:paraId="011D2D49" w14:textId="77777777" w:rsidR="00665E1D" w:rsidRDefault="00665E1D" w:rsidP="000E775E">
      <w:pPr>
        <w:rPr>
          <w:lang w:val="pt-BR"/>
        </w:rPr>
      </w:pPr>
    </w:p>
    <w:p w14:paraId="2B52AB6F" w14:textId="0690EE93" w:rsidR="000E775E" w:rsidRDefault="000E775E" w:rsidP="000E775E">
      <w:r w:rsidRPr="000E775E">
        <w:rPr>
          <w:lang w:val="pt-BR"/>
        </w:rPr>
        <w:t xml:space="preserve">Tong, M., Jiang, Y., </w:t>
      </w:r>
      <w:proofErr w:type="spellStart"/>
      <w:r w:rsidRPr="000E775E">
        <w:rPr>
          <w:lang w:val="pt-BR"/>
        </w:rPr>
        <w:t>Xia</w:t>
      </w:r>
      <w:proofErr w:type="spellEnd"/>
      <w:r w:rsidRPr="000E775E">
        <w:rPr>
          <w:lang w:val="pt-BR"/>
        </w:rPr>
        <w:t xml:space="preserve">, D., </w:t>
      </w:r>
      <w:proofErr w:type="spellStart"/>
      <w:r w:rsidRPr="000E775E">
        <w:rPr>
          <w:lang w:val="pt-BR"/>
        </w:rPr>
        <w:t>Xiong</w:t>
      </w:r>
      <w:proofErr w:type="spellEnd"/>
      <w:r w:rsidRPr="000E775E">
        <w:rPr>
          <w:lang w:val="pt-BR"/>
        </w:rPr>
        <w:t xml:space="preserve">, Y., </w:t>
      </w:r>
      <w:proofErr w:type="spellStart"/>
      <w:r w:rsidRPr="000E775E">
        <w:rPr>
          <w:lang w:val="pt-BR"/>
        </w:rPr>
        <w:t>Zheng</w:t>
      </w:r>
      <w:proofErr w:type="spellEnd"/>
      <w:r w:rsidRPr="000E775E">
        <w:rPr>
          <w:lang w:val="pt-BR"/>
        </w:rPr>
        <w:t xml:space="preserve">, Q., Chen, F., </w:t>
      </w:r>
      <w:proofErr w:type="spellStart"/>
      <w:r w:rsidRPr="000E775E">
        <w:rPr>
          <w:lang w:val="pt-BR"/>
        </w:rPr>
        <w:t>Zou</w:t>
      </w:r>
      <w:proofErr w:type="spellEnd"/>
      <w:r w:rsidRPr="000E775E">
        <w:rPr>
          <w:lang w:val="pt-BR"/>
        </w:rPr>
        <w:t xml:space="preserve">, L., </w:t>
      </w:r>
      <w:proofErr w:type="spellStart"/>
      <w:r w:rsidRPr="000E775E">
        <w:rPr>
          <w:lang w:val="pt-BR"/>
        </w:rPr>
        <w:t>Xiao</w:t>
      </w:r>
      <w:proofErr w:type="spellEnd"/>
      <w:r w:rsidRPr="000E775E">
        <w:rPr>
          <w:lang w:val="pt-BR"/>
        </w:rPr>
        <w:t xml:space="preserve">, W., &amp; Zhu, Y. (2020). </w:t>
      </w:r>
      <w:r>
        <w:t xml:space="preserve">Elevated expression of serum endothelial cell adhesion molecules in COVID-19 patients. </w:t>
      </w:r>
      <w:r>
        <w:rPr>
          <w:i/>
          <w:iCs/>
        </w:rPr>
        <w:t>Journal of Infectious Diseases</w:t>
      </w:r>
      <w:r>
        <w:t xml:space="preserve">, </w:t>
      </w:r>
      <w:r>
        <w:rPr>
          <w:i/>
          <w:iCs/>
        </w:rPr>
        <w:t>222</w:t>
      </w:r>
      <w:r>
        <w:t>(6). https://doi.org/10.1093/infdis/jiaa349</w:t>
      </w:r>
    </w:p>
    <w:p w14:paraId="5EAFE7B0" w14:textId="77777777" w:rsidR="000E775E" w:rsidRPr="000E775E" w:rsidRDefault="000E775E" w:rsidP="000E775E"/>
    <w:p w14:paraId="7726106A" w14:textId="77777777" w:rsidR="00665E1D" w:rsidRDefault="00665E1D" w:rsidP="00665E1D">
      <w:proofErr w:type="spellStart"/>
      <w:r>
        <w:t>Turkia</w:t>
      </w:r>
      <w:proofErr w:type="spellEnd"/>
      <w:r>
        <w:t xml:space="preserve">, M. (2020). COVID-19 As </w:t>
      </w:r>
      <w:proofErr w:type="gramStart"/>
      <w:r>
        <w:t>An</w:t>
      </w:r>
      <w:proofErr w:type="gramEnd"/>
      <w:r>
        <w:t xml:space="preserve"> Endothelial Disease and Its Relationship to Vascular Endothelial Growth Factor (VEGF) and Iodide. </w:t>
      </w:r>
      <w:r>
        <w:rPr>
          <w:i/>
          <w:iCs/>
        </w:rPr>
        <w:t>SSRN Electronic Journal</w:t>
      </w:r>
      <w:r>
        <w:t>. https://doi.org/10.2139/ssrn.3604987</w:t>
      </w:r>
    </w:p>
    <w:p w14:paraId="74D5D9DC" w14:textId="77777777" w:rsidR="00665E1D" w:rsidRPr="00665E1D" w:rsidRDefault="00665E1D" w:rsidP="00B23A53"/>
    <w:p w14:paraId="0B2E315B" w14:textId="77777777" w:rsidR="00665E1D" w:rsidRDefault="00665E1D" w:rsidP="00665E1D">
      <w:r>
        <w:t xml:space="preserve">van de </w:t>
      </w:r>
      <w:proofErr w:type="spellStart"/>
      <w:r>
        <w:t>Veerdonk</w:t>
      </w:r>
      <w:proofErr w:type="spellEnd"/>
      <w:r>
        <w:t xml:space="preserve">, F. L., &amp; </w:t>
      </w:r>
      <w:proofErr w:type="spellStart"/>
      <w:r>
        <w:t>Netea</w:t>
      </w:r>
      <w:proofErr w:type="spellEnd"/>
      <w:r>
        <w:t xml:space="preserve">, M. G. (2020). Blocking IL-1 to prevent respiratory failure in COVID-19. In </w:t>
      </w:r>
      <w:r>
        <w:rPr>
          <w:i/>
          <w:iCs/>
        </w:rPr>
        <w:t>Critical Care</w:t>
      </w:r>
      <w:r>
        <w:t xml:space="preserve"> (Vol. 24, Issue 1). https://doi.org/10.1186/s13054-020-03166-0</w:t>
      </w:r>
    </w:p>
    <w:p w14:paraId="419EC47C" w14:textId="77777777" w:rsidR="00665E1D" w:rsidRDefault="00665E1D" w:rsidP="00B23A53">
      <w:pPr>
        <w:rPr>
          <w:lang w:val="pt-BR"/>
        </w:rPr>
      </w:pPr>
    </w:p>
    <w:p w14:paraId="17402A17" w14:textId="3E7C4CE5" w:rsidR="00B23A53" w:rsidRDefault="00B23A53" w:rsidP="00B23A53">
      <w:r w:rsidRPr="00B23A53">
        <w:rPr>
          <w:lang w:val="pt-BR"/>
        </w:rPr>
        <w:t xml:space="preserve">Vaz de Paula, C. B., de Azevedo, M. L. V., </w:t>
      </w:r>
      <w:proofErr w:type="spellStart"/>
      <w:r w:rsidRPr="00B23A53">
        <w:rPr>
          <w:lang w:val="pt-BR"/>
        </w:rPr>
        <w:t>Nagashima</w:t>
      </w:r>
      <w:proofErr w:type="spellEnd"/>
      <w:r w:rsidRPr="00B23A53">
        <w:rPr>
          <w:lang w:val="pt-BR"/>
        </w:rPr>
        <w:t xml:space="preserve">, S., Martins, A. P. C., Malaquias, M. A. S., </w:t>
      </w:r>
      <w:proofErr w:type="spellStart"/>
      <w:r w:rsidRPr="00B23A53">
        <w:rPr>
          <w:lang w:val="pt-BR"/>
        </w:rPr>
        <w:t>Miggiolaro</w:t>
      </w:r>
      <w:proofErr w:type="spellEnd"/>
      <w:r w:rsidRPr="00B23A53">
        <w:rPr>
          <w:lang w:val="pt-BR"/>
        </w:rPr>
        <w:t xml:space="preserve">, A. F. R. dos S., da Silva Motta Júnior, J., Avelino, G., do Carmo, L. A. P., </w:t>
      </w:r>
      <w:proofErr w:type="spellStart"/>
      <w:r w:rsidRPr="00B23A53">
        <w:rPr>
          <w:lang w:val="pt-BR"/>
        </w:rPr>
        <w:t>Carstens</w:t>
      </w:r>
      <w:proofErr w:type="spellEnd"/>
      <w:r w:rsidRPr="00B23A53">
        <w:rPr>
          <w:lang w:val="pt-BR"/>
        </w:rPr>
        <w:t xml:space="preserve">, L. B., &amp; de Noronha, L. (2020). </w:t>
      </w:r>
      <w:r>
        <w:t xml:space="preserve">IL-4/IL-13 remodeling pathway of COVID-19 lung injury. </w:t>
      </w:r>
      <w:r>
        <w:rPr>
          <w:i/>
          <w:iCs/>
        </w:rPr>
        <w:t>Scientific Reports</w:t>
      </w:r>
      <w:r>
        <w:t xml:space="preserve">, </w:t>
      </w:r>
      <w:r>
        <w:rPr>
          <w:i/>
          <w:iCs/>
        </w:rPr>
        <w:t>10</w:t>
      </w:r>
      <w:r>
        <w:t>(1). https://doi.org/10.1038/s41598-020-75659-5</w:t>
      </w:r>
    </w:p>
    <w:p w14:paraId="1FD3AD31" w14:textId="77777777" w:rsidR="00B23A53" w:rsidRDefault="00B23A53" w:rsidP="000E775E"/>
    <w:p w14:paraId="2D2E904E" w14:textId="364C1523" w:rsidR="000E775E" w:rsidRDefault="000E775E" w:rsidP="000E775E">
      <w:proofErr w:type="spellStart"/>
      <w:r w:rsidRPr="00B23A53">
        <w:rPr>
          <w:lang w:val="pt-BR"/>
        </w:rPr>
        <w:t>Vazquez</w:t>
      </w:r>
      <w:proofErr w:type="spellEnd"/>
      <w:r w:rsidRPr="00B23A53">
        <w:rPr>
          <w:lang w:val="pt-BR"/>
        </w:rPr>
        <w:t xml:space="preserve">, D. E., </w:t>
      </w:r>
      <w:proofErr w:type="spellStart"/>
      <w:r w:rsidRPr="00B23A53">
        <w:rPr>
          <w:lang w:val="pt-BR"/>
        </w:rPr>
        <w:t>Niño</w:t>
      </w:r>
      <w:proofErr w:type="spellEnd"/>
      <w:r w:rsidRPr="00B23A53">
        <w:rPr>
          <w:lang w:val="pt-BR"/>
        </w:rPr>
        <w:t xml:space="preserve">, D. F., de </w:t>
      </w:r>
      <w:proofErr w:type="gramStart"/>
      <w:r w:rsidRPr="00B23A53">
        <w:rPr>
          <w:lang w:val="pt-BR"/>
        </w:rPr>
        <w:t>Maio</w:t>
      </w:r>
      <w:proofErr w:type="gramEnd"/>
      <w:r w:rsidRPr="00B23A53">
        <w:rPr>
          <w:lang w:val="pt-BR"/>
        </w:rPr>
        <w:t xml:space="preserve">, A., &amp; </w:t>
      </w:r>
      <w:proofErr w:type="spellStart"/>
      <w:r w:rsidRPr="00B23A53">
        <w:rPr>
          <w:lang w:val="pt-BR"/>
        </w:rPr>
        <w:t>Cauvi</w:t>
      </w:r>
      <w:proofErr w:type="spellEnd"/>
      <w:r w:rsidRPr="00B23A53">
        <w:rPr>
          <w:lang w:val="pt-BR"/>
        </w:rPr>
        <w:t xml:space="preserve">, D. M. (2015). </w:t>
      </w:r>
      <w:r>
        <w:t xml:space="preserve">Sustained expression of lipocalin-2 during polymicrobial sepsis. </w:t>
      </w:r>
      <w:r>
        <w:rPr>
          <w:i/>
          <w:iCs/>
        </w:rPr>
        <w:t>Innate Immunity</w:t>
      </w:r>
      <w:r>
        <w:t xml:space="preserve">, </w:t>
      </w:r>
      <w:r>
        <w:rPr>
          <w:i/>
          <w:iCs/>
        </w:rPr>
        <w:t>21</w:t>
      </w:r>
      <w:r>
        <w:t>(5). https://doi.org/10.1177/1753425914548491</w:t>
      </w:r>
    </w:p>
    <w:p w14:paraId="6CF84947" w14:textId="77777777" w:rsidR="008C38F0" w:rsidRPr="00644590" w:rsidRDefault="008C38F0" w:rsidP="00AA6EBA"/>
    <w:p w14:paraId="229DC15E" w14:textId="66D43794" w:rsidR="00AA6EBA" w:rsidRPr="00644590" w:rsidRDefault="00AA6EBA" w:rsidP="00AA6EBA">
      <w:proofErr w:type="spellStart"/>
      <w:r w:rsidRPr="00644590">
        <w:rPr>
          <w:lang w:val="pt-BR"/>
        </w:rPr>
        <w:t>Velotti</w:t>
      </w:r>
      <w:proofErr w:type="spellEnd"/>
      <w:r w:rsidRPr="00644590">
        <w:rPr>
          <w:lang w:val="pt-BR"/>
        </w:rPr>
        <w:t xml:space="preserve">, F., </w:t>
      </w:r>
      <w:proofErr w:type="spellStart"/>
      <w:r w:rsidRPr="00644590">
        <w:rPr>
          <w:lang w:val="pt-BR"/>
        </w:rPr>
        <w:t>Barchetta</w:t>
      </w:r>
      <w:proofErr w:type="spellEnd"/>
      <w:r w:rsidRPr="00644590">
        <w:rPr>
          <w:lang w:val="pt-BR"/>
        </w:rPr>
        <w:t xml:space="preserve">, I., </w:t>
      </w:r>
      <w:proofErr w:type="spellStart"/>
      <w:r w:rsidRPr="00644590">
        <w:rPr>
          <w:lang w:val="pt-BR"/>
        </w:rPr>
        <w:t>Cimini</w:t>
      </w:r>
      <w:proofErr w:type="spellEnd"/>
      <w:r w:rsidRPr="00644590">
        <w:rPr>
          <w:lang w:val="pt-BR"/>
        </w:rPr>
        <w:t xml:space="preserve">, F. A., &amp; Cavallo, M. G. (2020). </w:t>
      </w:r>
      <w:r w:rsidRPr="00644590">
        <w:t xml:space="preserve">Granzyme B in Inflammatory Diseases: Apoptosis, Inflammation, Extracellular Matrix Remodeling, Epithelial-to-Mesenchymal Transition and Fibrosis. In </w:t>
      </w:r>
      <w:r w:rsidRPr="00644590">
        <w:rPr>
          <w:i/>
          <w:iCs/>
        </w:rPr>
        <w:t>Frontiers in Immunology</w:t>
      </w:r>
      <w:r w:rsidRPr="00644590">
        <w:t xml:space="preserve"> (Vol. 11). </w:t>
      </w:r>
      <w:hyperlink r:id="rId10" w:history="1">
        <w:r w:rsidR="008C38F0" w:rsidRPr="00644590">
          <w:rPr>
            <w:rStyle w:val="Hyperlink"/>
          </w:rPr>
          <w:t>https://doi.org/10.3389/fimmu.2020</w:t>
        </w:r>
        <w:r w:rsidR="008C38F0" w:rsidRPr="00644590">
          <w:rPr>
            <w:rStyle w:val="Hyperlink"/>
          </w:rPr>
          <w:t>.</w:t>
        </w:r>
        <w:r w:rsidR="008C38F0" w:rsidRPr="00644590">
          <w:rPr>
            <w:rStyle w:val="Hyperlink"/>
          </w:rPr>
          <w:t>587581</w:t>
        </w:r>
      </w:hyperlink>
    </w:p>
    <w:p w14:paraId="66ED8063" w14:textId="77777777" w:rsidR="008C38F0" w:rsidRPr="00644590" w:rsidRDefault="008C38F0" w:rsidP="00AA6EBA"/>
    <w:p w14:paraId="26CAAFCF" w14:textId="77777777" w:rsidR="008C38F0" w:rsidRPr="00644590" w:rsidRDefault="008C38F0" w:rsidP="008C38F0">
      <w:r w:rsidRPr="00644590">
        <w:lastRenderedPageBreak/>
        <w:t xml:space="preserve">Yang, J., Goetz, D., Li, J. Y., Wang, W., Mori, K., </w:t>
      </w:r>
      <w:proofErr w:type="spellStart"/>
      <w:r w:rsidRPr="00644590">
        <w:t>Setlik</w:t>
      </w:r>
      <w:proofErr w:type="spellEnd"/>
      <w:r w:rsidRPr="00644590">
        <w:t xml:space="preserve">, D., Du, T., </w:t>
      </w:r>
      <w:proofErr w:type="spellStart"/>
      <w:r w:rsidRPr="00644590">
        <w:t>Erdjument-Bromage</w:t>
      </w:r>
      <w:proofErr w:type="spellEnd"/>
      <w:r w:rsidRPr="00644590">
        <w:t xml:space="preserve">, H., </w:t>
      </w:r>
      <w:proofErr w:type="spellStart"/>
      <w:r w:rsidRPr="00644590">
        <w:t>Tempst</w:t>
      </w:r>
      <w:proofErr w:type="spellEnd"/>
      <w:r w:rsidRPr="00644590">
        <w:t xml:space="preserve">, P., Strong, R., &amp; </w:t>
      </w:r>
      <w:proofErr w:type="spellStart"/>
      <w:r w:rsidRPr="00644590">
        <w:t>Barasch</w:t>
      </w:r>
      <w:proofErr w:type="spellEnd"/>
      <w:r w:rsidRPr="00644590">
        <w:t xml:space="preserve">, J. (2002). An iron delivery pathway mediated by a lipocalin. </w:t>
      </w:r>
      <w:r w:rsidRPr="00644590">
        <w:rPr>
          <w:i/>
          <w:iCs/>
        </w:rPr>
        <w:t>Molecular Cell</w:t>
      </w:r>
      <w:r w:rsidRPr="00644590">
        <w:t xml:space="preserve">, </w:t>
      </w:r>
      <w:r w:rsidRPr="00644590">
        <w:rPr>
          <w:i/>
          <w:iCs/>
        </w:rPr>
        <w:t>10</w:t>
      </w:r>
      <w:r w:rsidRPr="00644590">
        <w:t>(5). https://doi.org/10.1016/S1097-2765(02)00710-4</w:t>
      </w:r>
    </w:p>
    <w:p w14:paraId="63479D53" w14:textId="5D8A156B" w:rsidR="00AA6EBA" w:rsidRPr="00644590" w:rsidRDefault="00AA6EBA"/>
    <w:p w14:paraId="60A936FA" w14:textId="77777777" w:rsidR="00AA6EBA" w:rsidRPr="00644590" w:rsidRDefault="00AA6EBA" w:rsidP="00AA6EBA">
      <w:r w:rsidRPr="00644590">
        <w:t xml:space="preserve">Zenobia, C., &amp; </w:t>
      </w:r>
      <w:proofErr w:type="spellStart"/>
      <w:r w:rsidRPr="00644590">
        <w:t>Hajishengallis</w:t>
      </w:r>
      <w:proofErr w:type="spellEnd"/>
      <w:r w:rsidRPr="00644590">
        <w:t xml:space="preserve">, G. (2015). Basic biology and role of interleukin-17 in immunity and inflammation. </w:t>
      </w:r>
      <w:r w:rsidRPr="00644590">
        <w:rPr>
          <w:i/>
          <w:iCs/>
        </w:rPr>
        <w:t>Periodontology 2000</w:t>
      </w:r>
      <w:r w:rsidRPr="00644590">
        <w:t xml:space="preserve">, </w:t>
      </w:r>
      <w:r w:rsidRPr="00644590">
        <w:rPr>
          <w:i/>
          <w:iCs/>
        </w:rPr>
        <w:t>69</w:t>
      </w:r>
      <w:r w:rsidRPr="00644590">
        <w:t>(1). https://doi.org/10.1111/prd.12083</w:t>
      </w:r>
    </w:p>
    <w:p w14:paraId="15649EC3" w14:textId="77777777" w:rsidR="00AA6EBA" w:rsidRPr="00644590" w:rsidRDefault="00AA6EBA"/>
    <w:sectPr w:rsidR="00AA6EBA" w:rsidRPr="00644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25895"/>
    <w:multiLevelType w:val="hybridMultilevel"/>
    <w:tmpl w:val="24A8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91"/>
    <w:rsid w:val="00057110"/>
    <w:rsid w:val="000A0A65"/>
    <w:rsid w:val="000E775E"/>
    <w:rsid w:val="00113036"/>
    <w:rsid w:val="00167B54"/>
    <w:rsid w:val="001A4C2E"/>
    <w:rsid w:val="00222595"/>
    <w:rsid w:val="002D4AFF"/>
    <w:rsid w:val="0031639C"/>
    <w:rsid w:val="00345230"/>
    <w:rsid w:val="003E40C2"/>
    <w:rsid w:val="003E7B87"/>
    <w:rsid w:val="004367E4"/>
    <w:rsid w:val="00445B91"/>
    <w:rsid w:val="00523A6D"/>
    <w:rsid w:val="0056577F"/>
    <w:rsid w:val="005D0C1B"/>
    <w:rsid w:val="00644590"/>
    <w:rsid w:val="00650F26"/>
    <w:rsid w:val="00652CB3"/>
    <w:rsid w:val="00665E1D"/>
    <w:rsid w:val="006C5AF2"/>
    <w:rsid w:val="006D6F52"/>
    <w:rsid w:val="00730E99"/>
    <w:rsid w:val="008420C8"/>
    <w:rsid w:val="0086055C"/>
    <w:rsid w:val="008C38F0"/>
    <w:rsid w:val="008E63B1"/>
    <w:rsid w:val="00920BE0"/>
    <w:rsid w:val="009B4FED"/>
    <w:rsid w:val="009F5E40"/>
    <w:rsid w:val="00AA6EBA"/>
    <w:rsid w:val="00B23A53"/>
    <w:rsid w:val="00BF2DC5"/>
    <w:rsid w:val="00BF4982"/>
    <w:rsid w:val="00C60137"/>
    <w:rsid w:val="00C7628F"/>
    <w:rsid w:val="00C82299"/>
    <w:rsid w:val="00CA0FF5"/>
    <w:rsid w:val="00CE2E57"/>
    <w:rsid w:val="00D13EE1"/>
    <w:rsid w:val="00D32FF7"/>
    <w:rsid w:val="00D66AE7"/>
    <w:rsid w:val="00E81725"/>
    <w:rsid w:val="00EA3194"/>
    <w:rsid w:val="00EF3243"/>
    <w:rsid w:val="00F3076A"/>
    <w:rsid w:val="00F3663A"/>
    <w:rsid w:val="00F42C12"/>
    <w:rsid w:val="00F4450D"/>
    <w:rsid w:val="00FB0A51"/>
    <w:rsid w:val="00FB7244"/>
    <w:rsid w:val="00FC35B3"/>
    <w:rsid w:val="00FC67E9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7CE36"/>
  <w15:chartTrackingRefBased/>
  <w15:docId w15:val="{116B2AFE-45F5-8E4A-B249-BFF843E7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E57"/>
    <w:rPr>
      <w:color w:val="0000FF"/>
      <w:u w:val="single"/>
    </w:rPr>
  </w:style>
  <w:style w:type="character" w:customStyle="1" w:styleId="meta-citation-journal-name">
    <w:name w:val="meta-citation-journal-name"/>
    <w:basedOn w:val="DefaultParagraphFont"/>
    <w:rsid w:val="00EF3243"/>
  </w:style>
  <w:style w:type="character" w:customStyle="1" w:styleId="meta-citation">
    <w:name w:val="meta-citation"/>
    <w:basedOn w:val="DefaultParagraphFont"/>
    <w:rsid w:val="00EF3243"/>
  </w:style>
  <w:style w:type="character" w:styleId="FollowedHyperlink">
    <w:name w:val="FollowedHyperlink"/>
    <w:basedOn w:val="DefaultParagraphFont"/>
    <w:uiPriority w:val="99"/>
    <w:semiHidden/>
    <w:unhideWhenUsed/>
    <w:rsid w:val="008605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icinf.2011.10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utrev.2008.12.0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2162402X.2016.11634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02/1097-0029(20000801)50:3%3c184::AID-JEMT2%3e3.0.CO;2-H" TargetMode="External"/><Relationship Id="rId10" Type="http://schemas.openxmlformats.org/officeDocument/2006/relationships/hyperlink" Target="https://doi.org/10.3389/fimmu.2020.587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bs.ircmb.2015.10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Sganzerla Martinez</dc:creator>
  <cp:keywords/>
  <dc:description/>
  <cp:lastModifiedBy>Gustavo Sganzerla Martinez</cp:lastModifiedBy>
  <cp:revision>7</cp:revision>
  <dcterms:created xsi:type="dcterms:W3CDTF">2022-09-15T14:50:00Z</dcterms:created>
  <dcterms:modified xsi:type="dcterms:W3CDTF">2022-09-22T16:09:00Z</dcterms:modified>
</cp:coreProperties>
</file>