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5455" w14:textId="169DE9D8" w:rsidR="00210E85" w:rsidRPr="008B5A70" w:rsidRDefault="00210E85" w:rsidP="00210E85">
      <w:pPr>
        <w:jc w:val="center"/>
        <w:rPr>
          <w:rFonts w:asciiTheme="majorBidi" w:hAnsiTheme="majorBidi" w:cstheme="majorBidi"/>
          <w:lang w:val="en-GB"/>
        </w:rPr>
      </w:pPr>
    </w:p>
    <w:tbl>
      <w:tblPr>
        <w:tblStyle w:val="TableGrid"/>
        <w:tblW w:w="97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04"/>
        <w:gridCol w:w="1078"/>
        <w:gridCol w:w="1337"/>
        <w:gridCol w:w="4415"/>
        <w:gridCol w:w="831"/>
      </w:tblGrid>
      <w:tr w:rsidR="00210E85" w:rsidRPr="008B5A70" w14:paraId="39218CE2" w14:textId="77777777" w:rsidTr="003405CA">
        <w:trPr>
          <w:trHeight w:hRule="exact" w:val="697"/>
          <w:jc w:val="center"/>
        </w:trPr>
        <w:tc>
          <w:tcPr>
            <w:tcW w:w="441" w:type="dxa"/>
            <w:tcBorders>
              <w:top w:val="single" w:sz="4" w:space="0" w:color="auto"/>
              <w:bottom w:val="single" w:sz="4" w:space="0" w:color="auto"/>
            </w:tcBorders>
            <w:vAlign w:val="center"/>
          </w:tcPr>
          <w:p w14:paraId="52792D00"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w:t>
            </w:r>
          </w:p>
        </w:tc>
        <w:tc>
          <w:tcPr>
            <w:tcW w:w="1604" w:type="dxa"/>
            <w:tcBorders>
              <w:top w:val="single" w:sz="4" w:space="0" w:color="auto"/>
              <w:bottom w:val="single" w:sz="4" w:space="0" w:color="auto"/>
            </w:tcBorders>
            <w:vAlign w:val="center"/>
          </w:tcPr>
          <w:p w14:paraId="0DC0370A"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Scale</w:t>
            </w:r>
          </w:p>
        </w:tc>
        <w:tc>
          <w:tcPr>
            <w:tcW w:w="1078" w:type="dxa"/>
            <w:tcBorders>
              <w:top w:val="single" w:sz="4" w:space="0" w:color="auto"/>
              <w:bottom w:val="single" w:sz="4" w:space="0" w:color="auto"/>
            </w:tcBorders>
            <w:vAlign w:val="center"/>
          </w:tcPr>
          <w:p w14:paraId="220C2C8A"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Author</w:t>
            </w:r>
          </w:p>
        </w:tc>
        <w:tc>
          <w:tcPr>
            <w:tcW w:w="1337" w:type="dxa"/>
            <w:tcBorders>
              <w:top w:val="single" w:sz="4" w:space="0" w:color="auto"/>
              <w:bottom w:val="single" w:sz="4" w:space="0" w:color="auto"/>
            </w:tcBorders>
            <w:vAlign w:val="center"/>
          </w:tcPr>
          <w:p w14:paraId="48155C8F"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Context</w:t>
            </w:r>
          </w:p>
        </w:tc>
        <w:tc>
          <w:tcPr>
            <w:tcW w:w="4415" w:type="dxa"/>
            <w:tcBorders>
              <w:top w:val="single" w:sz="4" w:space="0" w:color="auto"/>
              <w:bottom w:val="single" w:sz="4" w:space="0" w:color="auto"/>
            </w:tcBorders>
            <w:vAlign w:val="center"/>
          </w:tcPr>
          <w:p w14:paraId="768CBD27"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Main dimensions</w:t>
            </w:r>
          </w:p>
        </w:tc>
        <w:tc>
          <w:tcPr>
            <w:tcW w:w="831" w:type="dxa"/>
            <w:tcBorders>
              <w:top w:val="single" w:sz="4" w:space="0" w:color="auto"/>
              <w:bottom w:val="single" w:sz="4" w:space="0" w:color="auto"/>
            </w:tcBorders>
            <w:vAlign w:val="center"/>
          </w:tcPr>
          <w:p w14:paraId="10416DE4" w14:textId="77777777" w:rsidR="00210E85" w:rsidRPr="008B5A70" w:rsidRDefault="00210E85" w:rsidP="003405CA">
            <w:pPr>
              <w:spacing w:line="360" w:lineRule="auto"/>
              <w:jc w:val="center"/>
              <w:rPr>
                <w:rFonts w:asciiTheme="majorBidi" w:hAnsiTheme="majorBidi" w:cstheme="majorBidi"/>
                <w:b/>
                <w:bCs/>
                <w:sz w:val="14"/>
                <w:szCs w:val="14"/>
                <w:lang w:val="en-GB"/>
              </w:rPr>
            </w:pPr>
            <w:r w:rsidRPr="008B5A70">
              <w:rPr>
                <w:rFonts w:asciiTheme="majorBidi" w:hAnsiTheme="majorBidi" w:cstheme="majorBidi"/>
                <w:b/>
                <w:bCs/>
                <w:sz w:val="14"/>
                <w:szCs w:val="14"/>
                <w:lang w:val="en-GB"/>
              </w:rPr>
              <w:t>Total constructs</w:t>
            </w:r>
          </w:p>
        </w:tc>
      </w:tr>
      <w:tr w:rsidR="00210E85" w:rsidRPr="008B5A70" w14:paraId="742292A8" w14:textId="77777777" w:rsidTr="003405CA">
        <w:trPr>
          <w:trHeight w:hRule="exact" w:val="624"/>
          <w:jc w:val="center"/>
        </w:trPr>
        <w:tc>
          <w:tcPr>
            <w:tcW w:w="441" w:type="dxa"/>
            <w:tcBorders>
              <w:top w:val="single" w:sz="4" w:space="0" w:color="auto"/>
            </w:tcBorders>
            <w:vAlign w:val="center"/>
          </w:tcPr>
          <w:p w14:paraId="572697C3"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1</w:t>
            </w:r>
          </w:p>
        </w:tc>
        <w:tc>
          <w:tcPr>
            <w:tcW w:w="1604" w:type="dxa"/>
            <w:tcBorders>
              <w:top w:val="single" w:sz="4" w:space="0" w:color="auto"/>
            </w:tcBorders>
            <w:vAlign w:val="center"/>
          </w:tcPr>
          <w:p w14:paraId="7E98EFA0"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Satisfaction with school dental service by Mobile Dental Squads</w:t>
            </w:r>
          </w:p>
        </w:tc>
        <w:tc>
          <w:tcPr>
            <w:tcW w:w="1078" w:type="dxa"/>
            <w:tcBorders>
              <w:top w:val="single" w:sz="4" w:space="0" w:color="auto"/>
            </w:tcBorders>
            <w:vAlign w:val="center"/>
          </w:tcPr>
          <w:p w14:paraId="4C2DBA85"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{"citationItems":[{"id":"ITEM-1","itemData":{"DOI":"10.1177/1010539510370794","ISSN":"10105395","abstract":"Feedback on satisfaction with dental care is vital for continuous improvement of the service delivery process and outcome. The objective of this study was to assess the satisfaction with school dental service (SDS) provided via mobile dental squads in Selangor, Malaysia, under 4 domains of satisfaction: patient-personnel interaction, technical competency, administrative efficiency, and clinic setup using self-administered questionnaires. Among the 607 participants who had received treatment, 62% were satisfied with the services provided. In terms of domains, technical competency achieved the highest satisfaction score, whereas clinic setup was ranked the lowest. As for items within the domains, the most acceptable was \"dental operator did not ask personal things which were not dentally related,\" whereas privacy of treatment was the least acceptable. In conclusion, whereas children were generally satisfied with the SDS, this study indicates that there are still areas for further improvement.","author":[{"dropping-particle":"","family":"Othman","given":"Noormi","non-dropping-particle":"","parse-names":false,"suffix":""},{"dropping-particle":"","family":"Razak","given":"Ishak Abdul","non-dropping-particle":"","parse-names":false,"suffix":""}],"container-title":"Asia-Pacific Journal of Public Health","id":"ITEM-1","issue":"4","issued":{"date-parts":[["2010","10","11"]]},"page":"415-425","title":"Satisfaction with school dental service provided by mobile dental squads","type":"article-journal","volume":"22"},"uris":["http://www.mendeley.com/documents/?uuid=6addb3f9-cf1b-376f-89be-7ed0240a795a"]}],"mendeley":{"formattedCitation":"(N. Othman and Razak 2010)","plainTextFormattedCitation":"(N. Othman and Razak 2010)","previouslyFormattedCitation":"(N. Othman and Razak 2010)"},"properties":{"noteIndex":0},"schema":"https://github.com/citation-style-language/schema/raw/master/csl-citation.json"}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(N. Othman and Razak 2010)</w:t>
            </w:r>
            <w:r w:rsidRPr="008B5A70">
              <w:rPr>
                <w:rFonts w:asciiTheme="majorBidi" w:hAnsiTheme="majorBidi" w:cstheme="majorBidi"/>
                <w:sz w:val="14"/>
                <w:szCs w:val="14"/>
                <w:lang w:val="en-GB"/>
              </w:rPr>
              <w:fldChar w:fldCharType="end"/>
            </w:r>
          </w:p>
        </w:tc>
        <w:tc>
          <w:tcPr>
            <w:tcW w:w="1337" w:type="dxa"/>
            <w:tcBorders>
              <w:top w:val="single" w:sz="4" w:space="0" w:color="auto"/>
            </w:tcBorders>
            <w:vAlign w:val="center"/>
          </w:tcPr>
          <w:p w14:paraId="115961A7"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School Dental Service</w:t>
            </w:r>
          </w:p>
        </w:tc>
        <w:tc>
          <w:tcPr>
            <w:tcW w:w="4415" w:type="dxa"/>
            <w:tcBorders>
              <w:top w:val="single" w:sz="4" w:space="0" w:color="auto"/>
            </w:tcBorders>
            <w:vAlign w:val="center"/>
          </w:tcPr>
          <w:p w14:paraId="2D03F546"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Technical competency, interaction, efficiency, environment</w:t>
            </w:r>
          </w:p>
        </w:tc>
        <w:tc>
          <w:tcPr>
            <w:tcW w:w="831" w:type="dxa"/>
            <w:tcBorders>
              <w:top w:val="single" w:sz="4" w:space="0" w:color="auto"/>
            </w:tcBorders>
            <w:vAlign w:val="center"/>
          </w:tcPr>
          <w:p w14:paraId="0BE53B5A"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22</w:t>
            </w:r>
          </w:p>
        </w:tc>
      </w:tr>
      <w:tr w:rsidR="00210E85" w:rsidRPr="008B5A70" w14:paraId="09B31C23" w14:textId="77777777" w:rsidTr="003405CA">
        <w:trPr>
          <w:trHeight w:hRule="exact" w:val="624"/>
          <w:jc w:val="center"/>
        </w:trPr>
        <w:tc>
          <w:tcPr>
            <w:tcW w:w="441" w:type="dxa"/>
            <w:vAlign w:val="center"/>
          </w:tcPr>
          <w:p w14:paraId="6D612240"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2</w:t>
            </w:r>
          </w:p>
        </w:tc>
        <w:tc>
          <w:tcPr>
            <w:tcW w:w="1604" w:type="dxa"/>
            <w:vAlign w:val="center"/>
          </w:tcPr>
          <w:p w14:paraId="426BEEC1"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SQ &amp; CS of Mobile Banking in Bangladesh</w:t>
            </w:r>
          </w:p>
        </w:tc>
        <w:tc>
          <w:tcPr>
            <w:tcW w:w="1078" w:type="dxa"/>
            <w:vAlign w:val="center"/>
          </w:tcPr>
          <w:p w14:paraId="41B3458B"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{"citationItems":[{"id":"ITEM-1","itemData":{"DOI":"10.1177/0972150918795551","ISSN":"09730664","abstract":"© 2018 International Management Institute, New Delhi. This article aims to understand the association between service quality and customer satisfaction to use mobile banking through structural equation model, because, Bangladesh is one of the fastest increasing mobile banking service providers in the world. A structured survey questionnaire was prepared to collect data from participants in Bangladesh. A convenience sampling method was used to select potential participants in this study. Out of the distributed questionnaires, 240, completed and usable, were selected for the analysis which employed partial least squares structural equation modeling (PLS-SEM). The results showed that there are positive and significant effects of all constructs of service quality, namely, tangibility, reliability, responsiveness, assurance and empathy on customer satisfaction for using mobile banking. Particularly, the responsiveness has a strong impact (β = 0.3165) on customer satisfaction. Furthermore, the tangibility has identified as less significant factor (β = 0.0770) on customer satisfaction. Findings also indicate that mobile banking service providers should concentrate on all dimensions of service quality, with special focus on responsiveness and reliability for improving their customer satisfaction. This study has several implications for researchers, banking authority, policymakers and financial agencies when rendering services to end users and customers of mobile banking. Furthermore, this implication also helps banks to understand and develop strategies as well as policies to improve the services of mobile banking of Bangladesh.","author":[{"dropping-particle":"","family":"Khan","given":"Abdul Gaffar","non-dropping-particle":"","parse-names":false,"suffix":""},{"dropping-particle":"","family":"Lima","given":"Reshma Pervin","non-dropping-particle":"","parse-names":false,"suffix":""},{"dropping-particle":"","family":"Mahmud","given":"Md Shahed","non-dropping-particle":"","parse-names":false,"suffix":""}],"container-title":"Global Business Review","id":"ITEM-1","issued":{"date-parts":[["2018","9","23"]]},"page":"097215091879555","title":"Understanding the Service Quality and Customer Satisfaction of Mobile Banking in Bangladesh: Using a Structural Equation Model","type":"article-newspaper"},"uris":["http://www.mendeley.com/documents/?uuid=7de543de-4f41-338a-8870-bdd472941c46"]}],"mendeley":{"formattedCitation":"(A. G. Khan, Lima, and Mahmud 2018)","plainTextFormattedCitation":"(A. G. Khan, Lima, and Mahmud 2018)","previouslyFormattedCitation":"(A. G. Khan, Lima, and Mahmud 2018)"},"properties":{"noteIndex":0},"schema":"https://github.com/citation-style-language/schema/raw/master/csl-citation.json"}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(A. G. Khan, Lima, and Mahmud 2018)</w:t>
            </w:r>
            <w:r w:rsidRPr="008B5A70">
              <w:rPr>
                <w:rFonts w:asciiTheme="majorBidi" w:hAnsiTheme="majorBidi" w:cstheme="majorBidi"/>
                <w:sz w:val="14"/>
                <w:szCs w:val="14"/>
                <w:lang w:val="en-GB"/>
              </w:rPr>
              <w:fldChar w:fldCharType="end"/>
            </w:r>
          </w:p>
        </w:tc>
        <w:tc>
          <w:tcPr>
            <w:tcW w:w="1337" w:type="dxa"/>
            <w:vAlign w:val="center"/>
          </w:tcPr>
          <w:p w14:paraId="157FC0C3"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Mobile Banking</w:t>
            </w:r>
          </w:p>
        </w:tc>
        <w:tc>
          <w:tcPr>
            <w:tcW w:w="4415" w:type="dxa"/>
            <w:vAlign w:val="center"/>
          </w:tcPr>
          <w:p w14:paraId="6112B575"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Tangibility, reliability, responsiveness, assurance, and empathy</w:t>
            </w:r>
          </w:p>
        </w:tc>
        <w:tc>
          <w:tcPr>
            <w:tcW w:w="831" w:type="dxa"/>
            <w:vAlign w:val="center"/>
          </w:tcPr>
          <w:p w14:paraId="25C82152"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14</w:t>
            </w:r>
          </w:p>
        </w:tc>
      </w:tr>
      <w:tr w:rsidR="00210E85" w:rsidRPr="008B5A70" w14:paraId="6E87024D" w14:textId="77777777" w:rsidTr="003405CA">
        <w:trPr>
          <w:trHeight w:hRule="exact" w:val="737"/>
          <w:jc w:val="center"/>
        </w:trPr>
        <w:tc>
          <w:tcPr>
            <w:tcW w:w="441" w:type="dxa"/>
            <w:tcBorders>
              <w:bottom w:val="single" w:sz="4" w:space="0" w:color="auto"/>
            </w:tcBorders>
            <w:vAlign w:val="center"/>
          </w:tcPr>
          <w:p w14:paraId="374B19EC"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3</w:t>
            </w:r>
          </w:p>
        </w:tc>
        <w:tc>
          <w:tcPr>
            <w:tcW w:w="1604" w:type="dxa"/>
            <w:tcBorders>
              <w:bottom w:val="single" w:sz="4" w:space="0" w:color="auto"/>
            </w:tcBorders>
            <w:vAlign w:val="center"/>
          </w:tcPr>
          <w:p w14:paraId="572E36D8"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Mobile financial services apps</w:t>
            </w:r>
          </w:p>
        </w:tc>
        <w:tc>
          <w:tcPr>
            <w:tcW w:w="1078" w:type="dxa"/>
            <w:tcBorders>
              <w:bottom w:val="single" w:sz="4" w:space="0" w:color="auto"/>
            </w:tcBorders>
            <w:vAlign w:val="center"/>
          </w:tcPr>
          <w:p w14:paraId="22FADA95"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fldChar w:fldCharType="begin" w:fldLock="1"/>
            </w:r>
            <w:r w:rsidRPr="008B5A70">
              <w:rPr>
                <w:rFonts w:asciiTheme="majorBidi" w:hAnsiTheme="majorBidi" w:cstheme="majorBidi"/>
                <w:sz w:val="14"/>
                <w:szCs w:val="14"/>
                <w:lang w:val="en-GB"/>
              </w:rPr>
              <w:instrText>ADDIN CSL_CITATION {"citationItems":[{"id":"ITEM-1","itemData":{"DOI":"10.1016/j.ijinfomgt.2018.08.014","ISSN":"02684012","abstract":"Mobile information services have revolutionized business models and service delivery methods by facilitating consumer access to information and order placement via mobile apps. In developed markets, mobile banking (m-banking) and mobile payment (m-payment) applications have replaced text-based mobile services. However, extant research has not addressed these mobile financial services apps (MFSAs) adequately from the perspective of consumer behavior. Thus, the present study developed and tested a series of hypotheses related to the antecedents of perceived value of MFSA use; it also examined how such use affects the development of customers’ overall relationships with banks. Our hypotheses were tested using two samples (N = 992; N = 524) comprising different types of MFSA end-users in one of the leading countries in digital banking, Finland. The results supported most of the hypotheses and revealed that self-congruence and new product novelty are the principal drivers of perceived MFSA value. In addition, the findings show that the perceived value of MFSAs yields strong positive effects on customers’ overall satisfaction and commitment to their bank. The present study's key managerial implication is that banks’ investments in developing MFSAs result in improved relationships with customers and increased business.","author":[{"dropping-particle":"","family":"Karjaluoto","given":"Heikki","non-dropping-particle":"","parse-names":false,"suffix":""},{"dropping-particle":"","family":"Shaikh","given":"Aijaz A.","non-dropping-particle":"","parse-names":false,"suffix":""},{"dropping-particle":"","family":"Saarijärvi","given":"Hannu","non-dropping-particle":"","parse-names":false,"suffix":""},{"dropping-particle":"","family":"Saraniemi","given":"Saila","non-dropping-particle":"","parse-names":false,"suffix":""}],"container-title":"International Journal of Information Management","id":"ITEM-1","issued":{"date-parts":[["2018","8"]]},"page":"252-261","title":"How perceived value drives the use of mobile financial services apps","type":"article-newspaper","volume":"47"},"uris":["http://www.mendeley.com/documents/?uuid=a176decf-f19b-3cde-ba5a-f34ef198777d"]}],"mendeley":{"formattedCitation":"(Karjaluoto et al. 2018)","plainTextFormattedCitation":"(Karjaluoto et al. 2018)","previouslyFormattedCitation":"(Karjaluoto et al. 2018)"},"properties":{"noteIndex":0},"schema":"https://github.com/citation-style-language/schema/raw/master/csl-citation.json"}</w:instrText>
            </w:r>
            <w:r w:rsidRPr="008B5A70">
              <w:rPr>
                <w:rFonts w:asciiTheme="majorBidi" w:hAnsiTheme="majorBidi" w:cstheme="majorBidi"/>
                <w:sz w:val="14"/>
                <w:szCs w:val="14"/>
                <w:lang w:val="en-GB"/>
              </w:rPr>
              <w:fldChar w:fldCharType="separate"/>
            </w:r>
            <w:r w:rsidRPr="008B5A70">
              <w:rPr>
                <w:rFonts w:asciiTheme="majorBidi" w:hAnsiTheme="majorBidi" w:cstheme="majorBidi"/>
                <w:noProof/>
                <w:sz w:val="14"/>
                <w:szCs w:val="14"/>
                <w:lang w:val="en-GB"/>
              </w:rPr>
              <w:t>(Karjaluoto et al. 2018)</w:t>
            </w:r>
            <w:r w:rsidRPr="008B5A70">
              <w:rPr>
                <w:rFonts w:asciiTheme="majorBidi" w:hAnsiTheme="majorBidi" w:cstheme="majorBidi"/>
                <w:sz w:val="14"/>
                <w:szCs w:val="14"/>
                <w:lang w:val="en-GB"/>
              </w:rPr>
              <w:fldChar w:fldCharType="end"/>
            </w:r>
          </w:p>
        </w:tc>
        <w:tc>
          <w:tcPr>
            <w:tcW w:w="1337" w:type="dxa"/>
            <w:tcBorders>
              <w:bottom w:val="single" w:sz="4" w:space="0" w:color="auto"/>
            </w:tcBorders>
            <w:vAlign w:val="center"/>
          </w:tcPr>
          <w:p w14:paraId="0CA03F01" w14:textId="77777777" w:rsidR="00210E85" w:rsidRPr="008B5A70" w:rsidRDefault="00210E85" w:rsidP="003405CA">
            <w:pPr>
              <w:spacing w:line="360" w:lineRule="auto"/>
              <w:rPr>
                <w:rFonts w:asciiTheme="majorBidi" w:hAnsiTheme="majorBidi" w:cstheme="majorBidi"/>
                <w:sz w:val="14"/>
                <w:szCs w:val="14"/>
                <w:lang w:val="en-GB"/>
              </w:rPr>
            </w:pPr>
            <w:r w:rsidRPr="008B5A70">
              <w:rPr>
                <w:rFonts w:asciiTheme="majorBidi" w:hAnsiTheme="majorBidi" w:cstheme="majorBidi"/>
                <w:sz w:val="14"/>
                <w:szCs w:val="14"/>
                <w:lang w:val="en-GB"/>
              </w:rPr>
              <w:t>Mobile Banking</w:t>
            </w:r>
          </w:p>
        </w:tc>
        <w:tc>
          <w:tcPr>
            <w:tcW w:w="4415" w:type="dxa"/>
            <w:tcBorders>
              <w:bottom w:val="single" w:sz="4" w:space="0" w:color="auto"/>
            </w:tcBorders>
            <w:vAlign w:val="center"/>
          </w:tcPr>
          <w:p w14:paraId="7A9DB7AA"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Personal innovativeness,</w:t>
            </w:r>
            <w:r w:rsidRPr="008B5A70">
              <w:rPr>
                <w:lang w:val="en-GB"/>
              </w:rPr>
              <w:t xml:space="preserve"> </w:t>
            </w:r>
            <w:r w:rsidRPr="008B5A70">
              <w:rPr>
                <w:rFonts w:asciiTheme="majorBidi" w:hAnsiTheme="majorBidi" w:cstheme="majorBidi"/>
                <w:sz w:val="14"/>
                <w:szCs w:val="14"/>
                <w:lang w:val="en-GB"/>
              </w:rPr>
              <w:t>self-congruence, perceived risk, new product novelty, perceived value, overall satisfaction, commitment</w:t>
            </w:r>
          </w:p>
        </w:tc>
        <w:tc>
          <w:tcPr>
            <w:tcW w:w="831" w:type="dxa"/>
            <w:tcBorders>
              <w:bottom w:val="single" w:sz="4" w:space="0" w:color="auto"/>
            </w:tcBorders>
            <w:vAlign w:val="center"/>
          </w:tcPr>
          <w:p w14:paraId="0F9BFEB4" w14:textId="77777777" w:rsidR="00210E85" w:rsidRPr="008B5A70" w:rsidRDefault="00210E85" w:rsidP="003405CA">
            <w:pPr>
              <w:spacing w:line="360" w:lineRule="auto"/>
              <w:jc w:val="center"/>
              <w:rPr>
                <w:rFonts w:asciiTheme="majorBidi" w:hAnsiTheme="majorBidi" w:cstheme="majorBidi"/>
                <w:sz w:val="14"/>
                <w:szCs w:val="14"/>
                <w:lang w:val="en-GB"/>
              </w:rPr>
            </w:pPr>
            <w:r w:rsidRPr="008B5A70">
              <w:rPr>
                <w:rFonts w:asciiTheme="majorBidi" w:hAnsiTheme="majorBidi" w:cstheme="majorBidi"/>
                <w:sz w:val="14"/>
                <w:szCs w:val="14"/>
                <w:lang w:val="en-GB"/>
              </w:rPr>
              <w:t>30</w:t>
            </w:r>
          </w:p>
        </w:tc>
      </w:tr>
    </w:tbl>
    <w:p w14:paraId="4C7025AE" w14:textId="77777777" w:rsidR="00210E85" w:rsidRPr="008B5A70" w:rsidRDefault="00210E85" w:rsidP="00210E85">
      <w:pPr>
        <w:rPr>
          <w:rFonts w:asciiTheme="majorBidi" w:hAnsiTheme="majorBidi" w:cstheme="majorBidi"/>
          <w:lang w:val="en-GB"/>
        </w:rPr>
      </w:pPr>
    </w:p>
    <w:p w14:paraId="7F43A2B2" w14:textId="4D636052" w:rsidR="005670CE" w:rsidRPr="00210E85" w:rsidRDefault="005670CE" w:rsidP="00210E85"/>
    <w:sectPr w:rsidR="005670CE" w:rsidRPr="0021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MwMjI3MQEiM2NTcyUdpeDU4uLM/DyQAsNaAEpy8tosAAAA"/>
  </w:docVars>
  <w:rsids>
    <w:rsidRoot w:val="00A4045B"/>
    <w:rsid w:val="00081EA9"/>
    <w:rsid w:val="000F7890"/>
    <w:rsid w:val="0010375F"/>
    <w:rsid w:val="00210E85"/>
    <w:rsid w:val="00224873"/>
    <w:rsid w:val="00256068"/>
    <w:rsid w:val="00353594"/>
    <w:rsid w:val="00423ED3"/>
    <w:rsid w:val="005670CE"/>
    <w:rsid w:val="005910A8"/>
    <w:rsid w:val="005A1602"/>
    <w:rsid w:val="005E23CC"/>
    <w:rsid w:val="00682C43"/>
    <w:rsid w:val="0070631B"/>
    <w:rsid w:val="007E4108"/>
    <w:rsid w:val="00824983"/>
    <w:rsid w:val="008B0E61"/>
    <w:rsid w:val="00980580"/>
    <w:rsid w:val="00A4045B"/>
    <w:rsid w:val="00AD42BF"/>
    <w:rsid w:val="00AE4758"/>
    <w:rsid w:val="00C04FF0"/>
    <w:rsid w:val="00C07EBA"/>
    <w:rsid w:val="00D229EC"/>
    <w:rsid w:val="00FC6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131F"/>
  <w15:chartTrackingRefBased/>
  <w15:docId w15:val="{928876D1-4260-45E8-826E-4997E390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4045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JAAFAR MOHAMED HASAN ALI</dc:creator>
  <cp:keywords/>
  <dc:description/>
  <cp:lastModifiedBy>ABDULLA JAAFAR MOHAMED HASAN ALI</cp:lastModifiedBy>
  <cp:revision>2</cp:revision>
  <dcterms:created xsi:type="dcterms:W3CDTF">2022-05-12T10:04:00Z</dcterms:created>
  <dcterms:modified xsi:type="dcterms:W3CDTF">2022-05-12T10:04:00Z</dcterms:modified>
</cp:coreProperties>
</file>