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E086" w14:textId="29F742CE" w:rsidR="00374AE2" w:rsidRPr="008B5A70" w:rsidRDefault="00374AE2" w:rsidP="00374AE2">
      <w:pPr>
        <w:jc w:val="center"/>
        <w:rPr>
          <w:rFonts w:asciiTheme="majorBidi" w:hAnsiTheme="majorBidi" w:cstheme="majorBidi"/>
          <w:lang w:val="en-GB"/>
        </w:rPr>
      </w:pPr>
    </w:p>
    <w:tbl>
      <w:tblPr>
        <w:tblStyle w:val="TableGrid"/>
        <w:tblW w:w="9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145"/>
        <w:gridCol w:w="5590"/>
      </w:tblGrid>
      <w:tr w:rsidR="00374AE2" w:rsidRPr="008B5A70" w14:paraId="75626C05" w14:textId="77777777" w:rsidTr="003405CA">
        <w:trPr>
          <w:trHeight w:hRule="exact" w:val="697"/>
          <w:jc w:val="center"/>
        </w:trPr>
        <w:tc>
          <w:tcPr>
            <w:tcW w:w="1350" w:type="dxa"/>
            <w:tcBorders>
              <w:top w:val="single" w:sz="4" w:space="0" w:color="auto"/>
              <w:bottom w:val="single" w:sz="4" w:space="0" w:color="auto"/>
            </w:tcBorders>
            <w:vAlign w:val="center"/>
          </w:tcPr>
          <w:p w14:paraId="5EEF6273" w14:textId="77777777" w:rsidR="00374AE2" w:rsidRPr="008B5A70" w:rsidRDefault="00374AE2" w:rsidP="003405CA">
            <w:pPr>
              <w:spacing w:line="360" w:lineRule="auto"/>
              <w:jc w:val="center"/>
              <w:rPr>
                <w:rFonts w:asciiTheme="majorBidi" w:hAnsiTheme="majorBidi" w:cstheme="majorBidi"/>
                <w:b/>
                <w:bCs/>
                <w:sz w:val="18"/>
                <w:szCs w:val="18"/>
                <w:lang w:val="en-GB"/>
              </w:rPr>
            </w:pPr>
            <w:r w:rsidRPr="008B5A70">
              <w:rPr>
                <w:rFonts w:asciiTheme="majorBidi" w:hAnsiTheme="majorBidi" w:cstheme="majorBidi"/>
                <w:b/>
                <w:bCs/>
                <w:sz w:val="18"/>
                <w:szCs w:val="18"/>
                <w:lang w:val="en-GB"/>
              </w:rPr>
              <w:t>Dimensions</w:t>
            </w:r>
          </w:p>
        </w:tc>
        <w:tc>
          <w:tcPr>
            <w:tcW w:w="2145" w:type="dxa"/>
            <w:tcBorders>
              <w:top w:val="single" w:sz="4" w:space="0" w:color="auto"/>
              <w:bottom w:val="single" w:sz="4" w:space="0" w:color="auto"/>
            </w:tcBorders>
            <w:vAlign w:val="center"/>
          </w:tcPr>
          <w:p w14:paraId="20A0B3AA" w14:textId="77777777" w:rsidR="00374AE2" w:rsidRPr="008B5A70" w:rsidRDefault="00374AE2" w:rsidP="003405CA">
            <w:pPr>
              <w:spacing w:line="360" w:lineRule="auto"/>
              <w:jc w:val="center"/>
              <w:rPr>
                <w:rFonts w:asciiTheme="majorBidi" w:hAnsiTheme="majorBidi" w:cstheme="majorBidi"/>
                <w:b/>
                <w:bCs/>
                <w:sz w:val="18"/>
                <w:szCs w:val="18"/>
                <w:lang w:val="en-GB"/>
              </w:rPr>
            </w:pPr>
            <w:r w:rsidRPr="008B5A70">
              <w:rPr>
                <w:rFonts w:asciiTheme="majorBidi" w:hAnsiTheme="majorBidi" w:cstheme="majorBidi"/>
                <w:b/>
                <w:bCs/>
                <w:sz w:val="18"/>
                <w:szCs w:val="18"/>
                <w:lang w:val="en-GB"/>
              </w:rPr>
              <w:t>Supporting studies</w:t>
            </w:r>
          </w:p>
        </w:tc>
        <w:tc>
          <w:tcPr>
            <w:tcW w:w="5590" w:type="dxa"/>
            <w:tcBorders>
              <w:top w:val="single" w:sz="4" w:space="0" w:color="auto"/>
              <w:bottom w:val="single" w:sz="4" w:space="0" w:color="auto"/>
            </w:tcBorders>
            <w:vAlign w:val="center"/>
          </w:tcPr>
          <w:p w14:paraId="50194B16" w14:textId="77777777" w:rsidR="00374AE2" w:rsidRPr="008B5A70" w:rsidRDefault="00374AE2" w:rsidP="003405CA">
            <w:pPr>
              <w:spacing w:line="360" w:lineRule="auto"/>
              <w:jc w:val="center"/>
              <w:rPr>
                <w:rFonts w:asciiTheme="majorBidi" w:hAnsiTheme="majorBidi" w:cstheme="majorBidi"/>
                <w:b/>
                <w:bCs/>
                <w:sz w:val="18"/>
                <w:szCs w:val="18"/>
                <w:lang w:val="en-GB"/>
              </w:rPr>
            </w:pPr>
            <w:r w:rsidRPr="008B5A70">
              <w:rPr>
                <w:rFonts w:asciiTheme="majorBidi" w:hAnsiTheme="majorBidi" w:cstheme="majorBidi"/>
                <w:b/>
                <w:bCs/>
                <w:sz w:val="18"/>
                <w:szCs w:val="18"/>
                <w:lang w:val="en-GB"/>
              </w:rPr>
              <w:t>Findings of previous studies</w:t>
            </w:r>
          </w:p>
        </w:tc>
      </w:tr>
      <w:tr w:rsidR="00374AE2" w:rsidRPr="008B5A70" w14:paraId="680EAE9C" w14:textId="77777777" w:rsidTr="003405CA">
        <w:trPr>
          <w:trHeight w:hRule="exact" w:val="2485"/>
          <w:jc w:val="center"/>
        </w:trPr>
        <w:tc>
          <w:tcPr>
            <w:tcW w:w="1350" w:type="dxa"/>
            <w:tcBorders>
              <w:top w:val="single" w:sz="4" w:space="0" w:color="auto"/>
            </w:tcBorders>
            <w:vAlign w:val="center"/>
          </w:tcPr>
          <w:p w14:paraId="5BD704A2" w14:textId="77777777" w:rsidR="00374AE2" w:rsidRPr="008B5A70" w:rsidRDefault="00374AE2" w:rsidP="003405CA">
            <w:pPr>
              <w:spacing w:line="360" w:lineRule="auto"/>
              <w:jc w:val="center"/>
              <w:rPr>
                <w:rFonts w:asciiTheme="majorBidi" w:hAnsiTheme="majorBidi" w:cstheme="majorBidi"/>
                <w:sz w:val="18"/>
                <w:szCs w:val="18"/>
                <w:lang w:val="en-GB"/>
              </w:rPr>
            </w:pPr>
            <w:r w:rsidRPr="008B5A70">
              <w:rPr>
                <w:rFonts w:asciiTheme="majorBidi" w:hAnsiTheme="majorBidi" w:cstheme="majorBidi"/>
                <w:sz w:val="18"/>
                <w:szCs w:val="18"/>
                <w:lang w:val="en-GB"/>
              </w:rPr>
              <w:t>Usability</w:t>
            </w:r>
          </w:p>
        </w:tc>
        <w:tc>
          <w:tcPr>
            <w:tcW w:w="2145" w:type="dxa"/>
            <w:tcBorders>
              <w:top w:val="single" w:sz="4" w:space="0" w:color="auto"/>
            </w:tcBorders>
            <w:vAlign w:val="center"/>
          </w:tcPr>
          <w:p w14:paraId="62D9AEC4" w14:textId="77777777" w:rsidR="00374AE2" w:rsidRPr="008B5A70" w:rsidRDefault="00374AE2" w:rsidP="003405CA">
            <w:pPr>
              <w:spacing w:after="160"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{"citationItems":[{"id":"ITEM-1","itemData":{"DOI":"10.4018/978-1-59904-945-8.ch063","ISSN":"02767783","abstract":"End-user computing includes the use, development, modification, enhancement, and control of applications used within the workplace. The classification of end-users allows managers to come up with and place into place the strategies for the effective management of the end-users. Research continues in this field from both academic and professional viewpoints.","author":[{"dropping-particle":"","family":"Reynolds","given":"Rodney A.","non-dropping-particle":"","parse-names":false,"suffix":""}],"container-title":"End-User Computing","id":"ITEM-1","issue":"2","issued":{"date-parts":[["2011","6"]]},"page":"894-896","publisher":"Management Information Systems Research Center, University of Minnesota","title":"Measurement of End-User Computing Satisfaction","type":"chapter","volume":"12"},"uris":["http://www.mendeley.com/documents/?uuid=05ca0139-39b4-34a4-9609-6118799495be"]}],"mendeley":{"formattedCitation":"(Reynolds 2011)","plainTextFormattedCitation":"(Reynolds 2011)","previouslyFormattedCitation":"(Reynolds 2011)"},"properties":{"noteIndex":0},"schema":"https://github.com/citation-style-language/schema/raw/master/csl-citation.json"}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(Reynolds 2011)</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{"citationItems":[{"id":"ITEM-1","itemData":{"DOI":"10.1016/S0378-7206(00)00049-5","ISSN":"0378-7206","abstract":"Web sites are being widely deployed commercially. As the widespread use and dependency on Web technology increases, so does the need to assess factors associated with Web site success. The objective is to explore these factors in the context of electronic commerce (EC). The research framework was derived from information systems and marketing literature. Webmasters from Fortune 1000 companies were used as the target group for a survey. Four factors that are critical to Web site success in EC were identified: (1) information and service quality, (2) system use, (3) playfulness, and (4) system design quality. An analysis of the data provides valuable managerial implications for Web site success in the context of electronic commerce.","author":[{"dropping-particle":"","family":"Liu","given":"Chang","non-dropping-particle":"","parse-names":false,"suffix":""},{"dropping-particle":"","family":"Arnett","given":"Kirk P.","non-dropping-particle":"","parse-names":false,"suffix":""}],"container-title":"Information &amp; Management","id":"ITEM-1","issue":"1","issued":{"date-parts":[["2000","10","1"]]},"page":"23-33","publisher":"North-Holland","title":"Exploring the factors associated with Web site success in the context of electronic commerce","type":"article-journal","volume":"38"},"uris":["http://www.mendeley.com/documents/?uuid=20695477-312c-37b3-bc72-3b8681e53679"]}],"mendeley":{"formattedCitation":"(Liu and Arnett 2000)","plainTextFormattedCitation":"(Liu and Arnett 2000)","previouslyFormattedCitation":"(Liu and Arnett 2000)"},"properties":{"noteIndex":0},"schema":"https://github.com/citation-style-language/schema/raw/master/csl-citation.json"}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(Liu and Arnett 2000)</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{"citationItems":[{"id":"ITEM-1","itemData":{"DOI":"10.1287/mksc.19.1.22.15184","ISSN":"0732-2399","abstract":"Intuition and previous research suggest that creating a compelling online environment for Web consumers will have numerous positive consequences for commercial Web providers. Online executives note that creating a compelling online experience for cyber customers is critical to creating competitive advantage on the Internet. Yet, very little is known about the factors that make using the Web a compelling experience for its users, and of the key consumer behavior outcomes of this compelling experience. In a quantitative modeling framework, we develop a structural model that embodies the components of what makes for a compelling online experience. We use data collected from a largesample Web-based consumer survey to measure these constructs, and fit a series of structural equation models that test related prior theory. Our formulation provides marketing scientists with operational definitions of key model constructs and establishes reliability and validity in a comprehensive measurement framework. Further, our model constructs relate in significant ways to key consumer behavior variables, including online shopping and Web use applications such as the extent to which consumers search for product information and participate in chat rooms. As such, our model may be useful both theoretically and in practice as marketers strive to decipher the secrets of commercial success in interactive online environment","author":[{"dropping-particle":"","family":"Novak","given":"Thomas P.","non-dropping-particle":"","parse-names":false,"suffix":""},{"dropping-particle":"","family":"Hoffman","given":"Donna L.","non-dropping-particle":"","parse-names":false,"suffix":""},{"dropping-particle":"","family":"Yung","given":"Yiu-Fai","non-dropping-particle":"","parse-names":false,"suffix":""}],"container-title":"Marketing Science","id":"ITEM-1","issue":"1","issued":{"date-parts":[["2003","2","1"]]},"page":"22-42","publisher":"INFORMS","title":"Measuring the Customer Experience in Online Environments: A Structural Modeling Approach","type":"article-journal","volume":"19"},"uris":["http://www.mendeley.com/documents/?uuid=02ca3014-3cb3-35db-b065-141da9f40a4a"]}],"mendeley":{"formattedCitation":"(Novak, Hoffman, and Yung 2003)","plainTextFormattedCitation":"(Novak, Hoffman, and Yung 2003)","previouslyFormattedCitation":"(Novak, Hoffman, and Yung 2003)"},"properties":{"noteIndex":0},"schema":"https://github.com/citation-style-language/schema/raw/master/csl-citation.json"}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(Novak, Hoffman, and Yung 2003)</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{"citationItems":[{"id":"ITEM-1","itemData":{"DOI":"10.1111/j.0008-4085.2004.00009.x","ISSN":"00084085","abstract":"In this paper we propose a decomposition technique to examine the sources of industrial contribution to aggregate labour productivity growth. We show that in terms of pure labour productivity growth, the manufacturing and service sectors con- tributed equally to the aggregate Canada-U.S. labour productivity growth gap during the 1987-98 period. But, in terms of total industrial contributions, which also take into account the contributions from a change in relative size, the service sector was the largest contributor. We also find that high labour productivity growth industries did not attract resources from stagnant industries - a phenomenon consistent with Baumol's cost disease of stagnant industrie","author":[{"dropping-particle":"","family":"Tang","given":"Jianmin","non-dropping-particle":"","parse-names":false,"suffix":""},{"dropping-particle":"","family":"Wang","given":"Weimin","non-dropping-particle":"","parse-names":false,"suffix":""}],"container-title":"Canadian Journal of Economics","id":"ITEM-1","issue":"2","issued":{"date-parts":[["2004","5","1"]]},"page":"421-444","publisher":"John Wiley &amp; Sons, Ltd (10.1111)","title":"Sources of aggregate labour productivity growth in Canada and the United States","type":"article-journal","volume":"37"},"uris":["http://www.mendeley.com/documents/?uuid=64ebb45c-9df4-36db-96dd-3b79a2e1b46b"]}],"mendeley":{"formattedCitation":"(Tang and Wang 2004)","plainTextFormattedCitation":"(Tang and Wang 2004)","previouslyFormattedCitation":"(Tang and Wang 2004)"},"properties":{"noteIndex":0},"schema":"https://github.com/citation-style-language/schema/raw/master/csl-citation.json"}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(Tang and Wang 2004)</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{"citationItems":[{"id":"ITEM-1","itemData":{"DOI":"10.1108/EUM0000000006170","ISSN":"02635577","abstract":"Customers in an Internet shopping environment actually play dual roles. One is the role as a customer in a shopping place, and the other is the role as a user of information technology. In both cases, the level of satisfaction is of great concern. In this vein, a way of measuring the satisfaction level that takes both roles into account is needed. However, in past research indexes for consumer satisfaction and indexes for user information satisfaction have been developed separately in the fields of marketing and management information systems. Because of this lack of interaction between the two streams of research, an index for electronic commerce consumers that has its base in the dual roles has not been developed and tested. In this research, an instrument for measuring electronic commerce consumer satisfaction was proposed and validated using a sample of over 400 customers. The relationship between the index and consumers’ purchasing intention was also examined.","author":[{"dropping-particle":"","family":"Cho","given":"Namjae","non-dropping-particle":"","parse-names":false,"suffix":""},{"dropping-particle":"","family":"Park","given":"Sanghyuk","non-dropping-particle":"","parse-names":false,"suffix":""}],"container-title":"Industrial Management and Data Systems","id":"ITEM-1","issue":"8","issued":{"date-parts":[["2001","11"]]},"page":"400-405","publisher":"MCB UP Ltd","title":"Development of electronic commerce user-consumer satisfaction index (ECUSI) for Internet shopping","type":"article-journal","volume":"101"},"uris":["http://www.mendeley.com/documents/?uuid=42afdd56-a929-3160-b177-4364e28842ac"]}],"mendeley":{"formattedCitation":"(Cho and Park 2001)","plainTextFormattedCitation":"(Cho and Park 2001)","previouslyFormattedCitation":"(Cho and Park 2001)"},"properties":{"noteIndex":0},"schema":"https://github.com/citation-style-language/schema/raw/master/csl-citation.json"}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(Cho and Park 2001)</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{"citationItems":[{"id":"ITEM-1","itemData":{"DOI":"10.1287/isre.13.3.296.76","ISSN":"10477047","abstract":"Online shopping provides convenience to Web shoppers, yet its electronic format changes information-gathering methods traditionally used by customers. This change raises questions concerning customer satisfaction with the online purchasing process. Web shopping involves a number of phases, including the information phase, in which customers search for information regarding their intended purchases. The purpose of this paper is to develop theoretically justifiable constructs for measuring Web-customer satisfaction during the information phase. By synthesizing the expectation-disconfirmation paradigm with empirical theories in user satisfaction, we separate Web site quality into information quality (IQ) and system quality (SQ), and propose nine key constructs for Web-customer satisfaction. The measurements for these constructs are developed and tested in a two-phase study. In the first phase, the IQ and SQ dimensions are identified, and instruments for measuring them are developed and tested. In the second phase, using the salient dimensions of Web-IQ and Web-SQ as the basis for formulating first-order factors, we develop and empirically test instruments for measuring IQ-and SQ-satisfaction. Moreover, this phase involves the design and test of second-order factors for measuring Web-customer expectations, disconfirmation, and perceived performance regarding IQ and SQ. The analysis of the measurement model indicates that the proposed metrics have a relatively high degree of validity and reliability. The results of the study provide reliable instruments for operationalizing the key constructs in the analysis of Web-customer satisfaction within the expectation-disconfirmation paradigm.","author":[{"dropping-particle":"","family":"McKinney","given":"Vicki","non-dropping-particle":"","parse-names":false,"suffix":""},{"dropping-particle":"","family":"Yoon","given":"Kanghyun","non-dropping-particle":"","parse-names":false,"suffix":""},{"dropping-particle":"","family":"Zahedi","given":"Fatemeh","non-dropping-particle":"","parse-names":false,"suffix":""}],"container-title":"Information Systems Research","id":"ITEM-1","issue":"3","issued":{"date-parts":[["2002","9"]]},"page":"296-315","title":"The measurement of Web-customer satisfaction: An expectation and disconfirmation approach","type":"article-journal","volume":"13"},"uris":["http://www.mendeley.com/documents/?uuid=c1d70dfb-988c-3e24-9b1f-8ad336953248"]}],"mendeley":{"formattedCitation":"(McKinney, Yoon, and Zahedi 2002)","plainTextFormattedCitation":"(McKinney, Yoon, and Zahedi 2002)","previouslyFormattedCitation":"(McKinney, Yoon, and Zahedi 2002)"},"properties":{"noteIndex":0},"schema":"https://github.com/citation-style-language/schema/raw/master/csl-citation.json"}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(McKinney, Yoon, and Zahedi 2002)</w:t>
            </w:r>
            <w:r w:rsidRPr="008B5A70">
              <w:rPr>
                <w:rFonts w:asciiTheme="majorBidi" w:hAnsiTheme="majorBidi" w:cstheme="majorBidi"/>
                <w:sz w:val="18"/>
                <w:szCs w:val="18"/>
                <w:lang w:val="en-GB"/>
              </w:rPr>
              <w:fldChar w:fldCharType="end"/>
            </w:r>
          </w:p>
          <w:p w14:paraId="54126EF7" w14:textId="77777777" w:rsidR="00374AE2" w:rsidRPr="008B5A70" w:rsidRDefault="00374AE2" w:rsidP="003405CA">
            <w:pPr>
              <w:spacing w:line="360" w:lineRule="auto"/>
              <w:rPr>
                <w:rFonts w:asciiTheme="majorBidi" w:hAnsiTheme="majorBidi" w:cstheme="majorBidi"/>
                <w:sz w:val="18"/>
                <w:szCs w:val="18"/>
                <w:lang w:val="en-GB"/>
              </w:rPr>
            </w:pPr>
          </w:p>
        </w:tc>
        <w:tc>
          <w:tcPr>
            <w:tcW w:w="5590" w:type="dxa"/>
            <w:tcBorders>
              <w:top w:val="single" w:sz="4" w:space="0" w:color="auto"/>
            </w:tcBorders>
            <w:vAlign w:val="center"/>
          </w:tcPr>
          <w:p w14:paraId="6237EACC"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It has been found that usability is influencing the level of customer satisfaction at electronic portals.</w:t>
            </w:r>
          </w:p>
          <w:p w14:paraId="1637719F"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A common recommendation among previous studies is to construct the environment in the form of an electronic portal with less effort and fewer difficulties to be flexible and easy to use by customers.</w:t>
            </w:r>
          </w:p>
        </w:tc>
      </w:tr>
      <w:tr w:rsidR="00374AE2" w:rsidRPr="008B5A70" w14:paraId="32C9FC8C" w14:textId="77777777" w:rsidTr="003405CA">
        <w:trPr>
          <w:trHeight w:hRule="exact" w:val="1792"/>
          <w:jc w:val="center"/>
        </w:trPr>
        <w:tc>
          <w:tcPr>
            <w:tcW w:w="1350" w:type="dxa"/>
            <w:vAlign w:val="center"/>
          </w:tcPr>
          <w:p w14:paraId="164D8C50" w14:textId="77777777" w:rsidR="00374AE2" w:rsidRPr="008B5A70" w:rsidRDefault="00374AE2" w:rsidP="003405CA">
            <w:pPr>
              <w:spacing w:line="360" w:lineRule="auto"/>
              <w:jc w:val="center"/>
              <w:rPr>
                <w:rFonts w:asciiTheme="majorBidi" w:hAnsiTheme="majorBidi" w:cstheme="majorBidi"/>
                <w:sz w:val="18"/>
                <w:szCs w:val="18"/>
                <w:lang w:val="en-GB"/>
              </w:rPr>
            </w:pPr>
            <w:r w:rsidRPr="008B5A70">
              <w:rPr>
                <w:rFonts w:asciiTheme="majorBidi" w:hAnsiTheme="majorBidi" w:cstheme="majorBidi"/>
                <w:sz w:val="18"/>
                <w:szCs w:val="18"/>
                <w:lang w:val="en-GB"/>
              </w:rPr>
              <w:t>Interaction</w:t>
            </w:r>
          </w:p>
        </w:tc>
        <w:tc>
          <w:tcPr>
            <w:tcW w:w="2145" w:type="dxa"/>
            <w:vAlign w:val="center"/>
          </w:tcPr>
          <w:p w14:paraId="380C9348" w14:textId="77777777" w:rsidR="00374AE2" w:rsidRPr="008B5A70" w:rsidRDefault="00374AE2" w:rsidP="003405CA">
            <w:pPr>
              <w:spacing w:line="360" w:lineRule="auto"/>
              <w:rPr>
                <w:rFonts w:asciiTheme="majorBidi" w:hAnsiTheme="majorBidi" w:cstheme="majorBidi"/>
                <w:sz w:val="18"/>
                <w:szCs w:val="18"/>
                <w:lang w:val="en-GB"/>
              </w:rPr>
            </w:pP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{"citationItems":[{"id":"ITEM-1","itemData":{"DOI":"10.1016/j.tele.2015.05.003","ISSN":"07365853","abstract":"Despite the spectacular growth in the use of smartphones in recent years, still deeper attention on the possibility of continuous development is needed. In this regard, it has become important to encourage smartphone users to use the service continuously. To notify the meaningful factors for the satisfaction and intention of the users in using smartphones, this study focuses on interactivity and divides the factor into 5 sub-dimensions: system quality, network quality, content quality, customer support, and compatibility. This study finds several meaningful factors by conducting a survey research: content quality is the most influential factor in shaping satisfaction, followed by compatibility, system quality, and customer support. This study also shows that satisfaction has a positive effect on the continuance intention and network quality has a positive effect on the continuance intention. In terms of operating systems, it is found that the users may exhibit noticeable differences in post adoption behavior. This study can be an important practical/academic reference to provide important hints to strengthen the relationship between the service providers and their customers.","author":[{"dropping-particle":"","family":"Kim","given":"Minkyoung","non-dropping-particle":"","parse-names":false,"suffix":""},{"dropping-particle":"","family":"Chang","given":"Younghoon","non-dropping-particle":"","parse-names":false,"suffix":""},{"dropping-particle":"","family":"Park","given":"Myeong Cheol","non-dropping-particle":"","parse-names":false,"suffix":""},{"dropping-particle":"","family":"Lee","given":"Jongtae","non-dropping-particle":"","parse-names":false,"suffix":""}],"container-title":"Telematics and Informatics","id":"ITEM-1","issue":"4","issued":{"date-parts":[["2015","11","1"]]},"page":"949-960","publisher":"Pergamon","title":"The effects of service interactivity on the satisfaction and the loyalty of smartphone users","type":"article-journal","volume":"32"},"uris":["http://www.mendeley.com/documents/?uuid=7a2d0100-a16d-387a-a8f3-c9aec88855b8"]}],"mendeley":{"formattedCitation":"(Kim et al. 2015)","plainTextFormattedCitation":"(Kim et al. 2015)","previouslyFormattedCitation":"(Kim et al. 2015)"},"properties":{"noteIndex":0},"schema":"https://github.com/citation-style-language/schema/raw/master/csl-citation.json"}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(Kim et al. 2015)</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w:t>
            </w:r>
            <w:r w:rsidRPr="008B5A70">
              <w:rPr>
                <w:rFonts w:asciiTheme="majorBidi" w:hAnsiTheme="majorBidi" w:cstheme="majorBidi"/>
                <w:sz w:val="18"/>
                <w:szCs w:val="18"/>
                <w:lang w:val="en-GB"/>
              </w:rPr>
              <w:fldChar w:fldCharType="begin" w:fldLock="1"/>
            </w:r>
            <w:r>
              <w:rPr>
                <w:rFonts w:asciiTheme="majorBidi" w:hAnsiTheme="majorBidi" w:cstheme="majorBidi"/>
                <w:sz w:val="18"/>
                <w:szCs w:val="18"/>
                <w:lang w:val="en-GB"/>
              </w:rPr>
              <w:instrText>ADDIN CSL_CITATION {"citationItems":[{"id":"ITEM-1","itemData":{"DOI":"10.1016/j.im.2018.09.010","ISSN":"03787206","abstract":"On-demand ride (ODR) services are expanding and becoming more influential globally because of the rapid growth in the use of mobile devices. ODR services are creating new business models and opportunities and reshaping transportation markets. This study used KakaoTaxi, a popular ODR service in Korea, to examine how customers evaluate an ODR service and determine whether customers are willing to reuse such a service. In the first-stage qualitative study, we explored decisional factors by conducting interviews with customers of the ODR service. In the second-stage quantitative study, we interpreted these previously explored decisional factors and developed a research model by applying the customer value theory. Going beyond previous research, the meta-inferences from the qualitative and quantitative studies explain how customers decide to reuse an ODR service. This study also informs ODR service providers of marketing strategies to leverage these key decisional factors in the reuse of an ODR service.","author":[{"dropping-particle":"","family":"Lee","given":"So Hyun","non-dropping-particle":"","parse-names":false,"suffix":""},{"dropping-particle":"","family":"Lee","given":"Bo Yeon","non-dropping-particle":"","parse-names":false,"suffix":""},{"dropping-particle":"","family":"Kim","given":"Hee Woong","non-dropping-particle":"","parse-names":false,"suffix":""}],"container-title":"Information and Management","id":"ITEM-1","issue":"4","issued":{"date-parts":[["2019","6"]]},"page":"493-506","title":"Decisional factors leading to the reuse of an on-demand ride service","type":"article-journal","volume":"56"},"uris":["http://www.mendeley.com/documents/?uuid=6f665aae-9516-3590-9f57-7e92abf64f32"]}],"mendeley":{"formattedCitation":"(S. H. Lee, Lee, and Kim 2019)","plainTextFormattedCitation":"(S. H. Lee, Lee, and Kim 2019)","previouslyFormattedCitation":"(S. H. Lee, Lee, and Kim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3E53D5">
              <w:rPr>
                <w:rFonts w:asciiTheme="majorBidi" w:hAnsiTheme="majorBidi" w:cstheme="majorBidi"/>
                <w:noProof/>
                <w:sz w:val="18"/>
                <w:szCs w:val="18"/>
                <w:lang w:val="en-GB"/>
              </w:rPr>
              <w:t>(S. H. Lee, Lee, and Kim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{"citationItems":[{"id":"ITEM-1","itemData":{"DOI":"10.1016/j.ijinfomgt.2018.12.020","ISSN":"02684012","abstract":"Mobile advertising is an increasingly popular marketing channel since it can present advertising in a personalized manner. This study examines the development of customer product loyalty through mobile advertising by considering the drivers from affective and cognitive perspectives. An Expectation Confirmation Model (ECM), as defined for repurchase intention, is proposed as a theoretical basis for the relationship structure of related research variables. An Elaboration Likelihood Model (ELM) identifies affective and cognitive concerns for defining the drivers of consumer behavior. Involvement and interactivity confirmation arise as affective and cognitive concerns in this context. This research model also indicates a particular mediating role of perceived usefulness and customer satisfaction from the two drivers for developing customer product loyalty. Empirical analysis shows that both affective and cognitive perspectives, i.e., involvement and interactivity, are important drivers to motivate customer product loyalty. The findings can help practitioners design more effective approaches for mobile advertising.","author":[{"dropping-particle":"","family":"Lu","given":"Chih Cheng","non-dropping-particle":"","parse-names":false,"suffix":""},{"dropping-particle":"","family":"Wu","given":"Ing Long","non-dropping-particle":"","parse-names":false,"suffix":""},{"dropping-particle":"","family":"Hsiao","given":"Wei Hung","non-dropping-particle":"","parse-names":false,"suffix":""}],"container-title":"International Journal of Information Management","id":"ITEM-1","issued":{"date-parts":[["2019","8"]]},"page":"101-111","title":"Developing customer product loyalty through mobile advertising: Affective and cognitive perspectives","type":"article-journal","volume":"47"},"uris":["http://www.mendeley.com/documents/?uuid=59a9696e-b6de-3151-bda1-5a1e6a19b0b6"]}],"mendeley":{"formattedCitation":"(Lu, Wu, and Hsiao 2019)","plainTextFormattedCitation":"(Lu, Wu, and Hsiao 2019)","previouslyFormattedCitation":"(Lu, Wu, and Hsiao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(Lu, Wu, and Hsiao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{"citationItems":[{"id":"ITEM-1","itemData":{"DOI":"10.3390/su10124849","ISSN":"20711050","abstract":"Attracting citizens and facilitating their continued usage is critical for the sustainable development of mobile government microblog services. Drawing on the stimulus–organism–response (SOR) framework and the literature related to perceived value, this study investigates the factors that affect citizens’ continuance intention vis-a-vis mobile government microblogs from a value-based perspective. A structural equation modeling (SEM)-neural network combined method was used to test the proposed model by using data collected from 301 mobile government microblog users in China. The SEM analysis shows that social influence, perceived interactivity, and perceived mobility positively affect citizens’ utilitarian value and hedonic value, which further affects their continuance intention. The significant factors obtained from the SEM are used as input for a neural network analysis to calculate their relative impacts. The results of the neural network analysis showed that perceived mobility is the most important factor influencing utilitarian value, while social influence is the most significant factor affecting hedonic value. The normalized importance of utilitarian value on continuance behaviors is larger than that of hedonic value.","author":[{"dropping-particle":"","family":"Yang","given":"Shuiqing","non-dropping-particle":"","parse-names":false,"suffix":""},{"dropping-particle":"","family":"Zeng","given":"Xianwu","non-dropping-particle":"","parse-names":false,"suffix":""}],"container-title":"Sustainability (Switzerland)","id":"ITEM-1","issue":"12","issued":{"date-parts":[["2018","12","19"]]},"page":"4849","title":"Sustainability of government social media: A multi-analytic approach to predict citizens' mobile government microblog continuance","type":"article-journal","volume":"10"},"uris":["http://www.mendeley.com/documents/?uuid=9cbdcb2c-28ac-345d-b3ab-8d27980a3e43"]}],"mendeley":{"formattedCitation":"(Yang and Zeng 2018)","plainTextFormattedCitation":"(Yang and Zeng 2018)","previouslyFormattedCitation":"(Yang and Zeng 2018)"},"properties":{"noteIndex":0},"schema":"https://github.com/citation-style-language/schema/raw/master/csl-citation.json"}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(Yang and Zeng 2018)</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{"citationItems":[{"id":"ITEM-1","itemData":{"DOI":"10.2196/12482","ISSN":"2291-5222","author":[{"dropping-particle":"","family":"Cupertino","given":"Ana Paula","non-dropping-particle":"","parse-names":false,"suffix":""},{"dropping-particle":"","family":"Cartujano-Barrera","given":"Francisco","non-dropping-particle":"","parse-names":false,"suffix":""},{"dropping-particle":"","family":"Ramírez","given":"Mariana","non-dropping-particle":"","parse-names":false,"suffix":""},{"dropping-particle":"","family":"Rodríguez-Bolaños","given":"Rosibel","non-dropping-particle":"","parse-names":false,"suffix":""},{"dropping-particle":"","family":"Thrasher","given":"James F","non-dropping-particle":"","parse-names":false,"suffix":""},{"dropping-particle":"","family":"Pérez-Rubio","given":"Gloria","non-dropping-particle":"","parse-names":false,"suffix":""},{"dropping-particle":"","family":"Falfán-Valencia","given":"Ramcés","non-dropping-particle":"","parse-names":false,"suffix":""},{"dropping-particle":"","family":"Ellerbeck","given":"Edward F","non-dropping-particle":"","parse-names":false,"suffix":""},{"dropping-particle":"","family":"Reynales-Shigematsu","given":"Luz Myriam","non-dropping-particle":"","parse-names":false,"suffix":""}],"container-title":"JMIR mHealth and uHealth","id":"ITEM-1","issue":"4","issued":{"date-parts":[["2019","4","25"]]},"page":"e12482","title":"A Mobile Smoking Cessation Intervention for Mexico (Vive sin Tabaco... ¡Decídete!): Single-Arm Pilot Study","type":"article-journal","volume":"7"},"uris":["http://www.mendeley.com/documents/?uuid=d06479a9-c404-3562-9490-fd9bf77abc42"]}],"mendeley":{"formattedCitation":"(Cupertino et al. 2019)","plainTextFormattedCitation":"(Cupertino et al. 2019)","previouslyFormattedCitation":"(Cupertino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(Cupertino et al. 2019)</w:t>
            </w:r>
            <w:r w:rsidRPr="008B5A70">
              <w:rPr>
                <w:rFonts w:asciiTheme="majorBidi" w:hAnsiTheme="majorBidi" w:cstheme="majorBidi"/>
                <w:sz w:val="18"/>
                <w:szCs w:val="18"/>
                <w:lang w:val="en-GB"/>
              </w:rPr>
              <w:fldChar w:fldCharType="end"/>
            </w:r>
          </w:p>
        </w:tc>
        <w:tc>
          <w:tcPr>
            <w:tcW w:w="5590" w:type="dxa"/>
            <w:vAlign w:val="center"/>
          </w:tcPr>
          <w:p w14:paraId="557B102A"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 xml:space="preserve">The main finding of previous studies shows that the concept of interaction at </w:t>
            </w:r>
            <w:proofErr w:type="gramStart"/>
            <w:r w:rsidRPr="008B5A70">
              <w:rPr>
                <w:rFonts w:asciiTheme="majorBidi" w:hAnsiTheme="majorBidi" w:cstheme="majorBidi"/>
                <w:sz w:val="18"/>
                <w:szCs w:val="18"/>
                <w:lang w:val="en-GB"/>
              </w:rPr>
              <w:t>services</w:t>
            </w:r>
            <w:r>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t>based</w:t>
            </w:r>
            <w:proofErr w:type="gramEnd"/>
            <w:r w:rsidRPr="008B5A70">
              <w:rPr>
                <w:rFonts w:asciiTheme="majorBidi" w:hAnsiTheme="majorBidi" w:cstheme="majorBidi"/>
                <w:sz w:val="18"/>
                <w:szCs w:val="18"/>
                <w:lang w:val="en-GB"/>
              </w:rPr>
              <w:t xml:space="preserve"> mobile enhanced the relationship between the service provider and end-users, which influences users' satisfaction and encourages them for continued use.</w:t>
            </w:r>
          </w:p>
          <w:p w14:paraId="6D280162" w14:textId="77777777" w:rsidR="00374AE2" w:rsidRPr="008B5A70" w:rsidRDefault="00374AE2" w:rsidP="003405CA">
            <w:pPr>
              <w:spacing w:line="360" w:lineRule="auto"/>
              <w:jc w:val="both"/>
              <w:rPr>
                <w:rFonts w:asciiTheme="majorBidi" w:hAnsiTheme="majorBidi" w:cstheme="majorBidi"/>
                <w:sz w:val="18"/>
                <w:szCs w:val="18"/>
                <w:lang w:val="en-GB"/>
              </w:rPr>
            </w:pPr>
          </w:p>
        </w:tc>
      </w:tr>
      <w:tr w:rsidR="00374AE2" w:rsidRPr="008B5A70" w14:paraId="746AEFB3" w14:textId="77777777" w:rsidTr="003405CA">
        <w:trPr>
          <w:trHeight w:hRule="exact" w:val="1531"/>
          <w:jc w:val="center"/>
        </w:trPr>
        <w:tc>
          <w:tcPr>
            <w:tcW w:w="1350" w:type="dxa"/>
            <w:vAlign w:val="center"/>
          </w:tcPr>
          <w:p w14:paraId="09EA48BA" w14:textId="77777777" w:rsidR="00374AE2" w:rsidRPr="008B5A70" w:rsidRDefault="00374AE2" w:rsidP="003405CA">
            <w:pPr>
              <w:spacing w:line="360" w:lineRule="auto"/>
              <w:jc w:val="center"/>
              <w:rPr>
                <w:rFonts w:asciiTheme="majorBidi" w:hAnsiTheme="majorBidi" w:cstheme="majorBidi"/>
                <w:sz w:val="18"/>
                <w:szCs w:val="18"/>
                <w:lang w:val="en-GB"/>
              </w:rPr>
            </w:pPr>
            <w:r w:rsidRPr="008B5A70">
              <w:rPr>
                <w:rFonts w:asciiTheme="majorBidi" w:hAnsiTheme="majorBidi" w:cstheme="majorBidi"/>
                <w:sz w:val="18"/>
                <w:szCs w:val="18"/>
                <w:lang w:val="en-GB"/>
              </w:rPr>
              <w:t>Consistency</w:t>
            </w:r>
          </w:p>
        </w:tc>
        <w:tc>
          <w:tcPr>
            <w:tcW w:w="2145" w:type="dxa"/>
            <w:vAlign w:val="center"/>
          </w:tcPr>
          <w:p w14:paraId="7BF4AE15" w14:textId="77777777" w:rsidR="00374AE2" w:rsidRPr="008B5A70" w:rsidRDefault="00374AE2" w:rsidP="003405CA">
            <w:pPr>
              <w:spacing w:line="360" w:lineRule="auto"/>
              <w:rPr>
                <w:rFonts w:asciiTheme="majorBidi" w:hAnsiTheme="majorBidi" w:cstheme="majorBidi"/>
                <w:sz w:val="18"/>
                <w:szCs w:val="18"/>
                <w:lang w:val="en-GB"/>
              </w:rPr>
            </w:pP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{"citationItems":[{"id":"ITEM-1","itemData":{"DOI":"10.1016/j.future.2019.05.014","ISSN":"0167739X","abstract":"With the increasing number of edge devices in the Internet of things (IoT), data storage in edge cloud environment better meet the real-time requirements of IoT. In order to improve the data reliability, reduce the overhead and the response latency, and make more reasonable use of storage resources in edge cloud environment, we conduct an in-depth study on the replica creation strategy and consistency maintenance strategy. In order to reduce the waste of storage resources, a dynamic replica creation strategy based on block popularity and node load (DRC-BN) is proposed. DRC-BN strategy considers the storage cost of edge cloud and the communication cost between central cloud and edge cloud when optimizing the number of replicas, and improves the data reliability. In order to solve the problem of data inconsistency caused by multi-user concurrency, a replica consistency maintenance strategy based on Fast Paxos algorithm (RC-FP) is proposed. RC-FP strategy considers the comprehensive performance of nodes and selects the node with better performance as the leader according to the comprehensive performance of nodes, and reduces the time of consistency maintenance. Experimental results show that the proposed strategies perform well in terms of the consistency maintenance time and the node throughput. At the same time, the proposed strategies also reduce the overall overhead.","author":[{"dropping-particle":"","family":"Chunlin","given":"Li","non-dropping-particle":"","parse-names":false,"suffix":""},{"dropping-particle":"","family":"Wang","given":"Chengyi","non-dropping-particle":"","parse-names":false,"suffix":""},{"dropping-particle":"","family":"Tang","given":"Hengliang","non-dropping-particle":"","parse-names":false,"suffix":""},{"dropping-particle":"","family":"Luo","given":"Youlong","non-dropping-particle":"","parse-names":false,"suffix":""}],"container-title":"Future Generation Computer Systems","id":"ITEM-1","issued":{"date-parts":[["2019","12"]]},"page":"590-604","title":"Scalable and dynamic replica consistency maintenance for edge-cloud system","type":"article-journal","volume":"101"},"uris":["http://www.mendeley.com/documents/?uuid=cb2538d7-2d20-32be-acc9-c384c072b2a3"]}],"mendeley":{"formattedCitation":"(Chunlin et al. 2019)","plainTextFormattedCitation":"(Chunlin et al. 2019)","previouslyFormattedCitation":"(Chunlin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(Chunlin et al.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{"citationItems":[{"id":"ITEM-1","itemData":{"DOI":"10.1016/j.dss.2018.03.011","ISSN":"01679236","abstract":"We present a probability-based metric for semantic consistency using a set of uncertain rules. As opposed to existing metrics for semantic consistency, our metric allows to consider rules that are expected to be fulfilled with specific probabilities. The resulting metric values represent the probability that the assessed dataset is free of internal contradictions with regard to the uncertain rules and thus have a clear interpretation. The theoretical basis for determining the metric values are statistical tests and the concept of the p-value, allowing the interpretation of the metric value as a probability. We demonstrate the practical applicability and effectiveness of the metric in a real-world setting by analyzing a customer dataset of an insurance company. Here, the metric was applied to identify semantic consistency problems in the data and to support decision-making, for instance, when offering individual products to customers.","author":[{"dropping-particle":"","family":"Heinrich","given":"Bernd","non-dropping-particle":"","parse-names":false,"suffix":""},{"dropping-particle":"","family":"Klier","given":"Mathias","non-dropping-particle":"","parse-names":false,"suffix":""},{"dropping-particle":"","family":"Schiller","given":"Alexander","non-dropping-particle":"","parse-names":false,"suffix":""},{"dropping-particle":"","family":"Wagner","given":"Gerit","non-dropping-particle":"","parse-names":false,"suffix":""}],"container-title":"Decision Support Systems","id":"ITEM-1","issued":{"date-parts":[["2018","6"]]},"page":"95-106","title":"Assessing data quality – A probability-based metric for semantic consistency","type":"article-journal","volume":"110"},"uris":["http://www.mendeley.com/documents/?uuid=af85f5b1-6cb0-47b5-adc9-22a0cda6d4f0"]}],"mendeley":{"formattedCitation":"(Heinrich et al. 2018)","plainTextFormattedCitation":"(Heinrich et al. 2018)","previouslyFormattedCitation":"(Heinrich et al. 2018)"},"properties":{"noteIndex":0},"schema":"https://github.com/citation-style-language/schema/raw/master/csl-citation.json"}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(Heinrich et al. 2018)</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{"citationItems":[{"id":"ITEM-1","itemData":{"DOI":"10.1016/j.procs.2018.10.124","ISSN":"18770509","abstract":"A fog computing architecture consists of edge nodes that generate and possibly pre-process (sensor) data, fog nodes that do some processing quickly and enable any actuations that may be needed, and cloud nodes that may perform further, detailed, analytics for long-term and archival purposes. The input data consist of tuples. They are processed in batches. The computation to be done on a batch is decomposed into sub-computations to be executed at the different nodes in the fog architecture. Guaranteeing consistency of the executions is very important. Consistency issues arise for sub-computations at individual nodes, the entire computations on individual batches and computations over sequences of input batches; the latter form continuous queries (CQs). CQs consist of one-time executions, called 1-CQs, and are partitioned into CQ-segments. In this paper, the sub-computations are assumed to be executed individually and serially at each node. We study global serializability of the entire computations on the batches. For CQs, we study the consistency of the CQs in terms of the sensitivity of the 1-CQs and the CQ-segments to breaks in the sequence of input batches due to some batches not being processed completely. Our study is also applicable to breaks occurring due to some actuations or external updates to the program states that affect the semantics of the input batches.","author":[{"dropping-particle":"","family":"Vidyasankar","given":"K.","non-dropping-particle":"","parse-names":false,"suffix":""}],"container-title":"Procedia Computer Science","id":"ITEM-1","issued":{"date-parts":[["2018"]]},"page":"16-23","title":"Consistency of continuous queries in fog computing","type":"paper-conference","volume":"141"},"uris":["http://www.mendeley.com/documents/?uuid=81200121-ea46-3c86-b09d-779adca46d75"]}],"mendeley":{"formattedCitation":"(Vidyasankar 2018)","plainTextFormattedCitation":"(Vidyasankar 2018)","previouslyFormattedCitation":"(Vidyasankar 2018)"},"properties":{"noteIndex":0},"schema":"https://github.com/citation-style-language/schema/raw/master/csl-citation.json"}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w:t>
            </w:r>
            <w:proofErr w:type="spellStart"/>
            <w:r w:rsidRPr="008B5A70">
              <w:rPr>
                <w:rFonts w:asciiTheme="majorBidi" w:hAnsiTheme="majorBidi" w:cstheme="majorBidi"/>
                <w:noProof/>
                <w:sz w:val="18"/>
                <w:szCs w:val="18"/>
                <w:lang w:val="en-GB"/>
              </w:rPr>
              <w:t>Vidyasankar</w:t>
            </w:r>
            <w:proofErr w:type="spellEnd"/>
            <w:r w:rsidRPr="008B5A70">
              <w:rPr>
                <w:rFonts w:asciiTheme="majorBidi" w:hAnsiTheme="majorBidi" w:cstheme="majorBidi"/>
                <w:noProof/>
                <w:sz w:val="18"/>
                <w:szCs w:val="18"/>
                <w:lang w:val="en-GB"/>
              </w:rPr>
              <w:t xml:space="preserve"> 2018)</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{"citationItems":[{"id":"ITEM-1","itemData":{"DOI":"10.1016/j.jpdc.2018.09.013","ISSN":"07437315","abstract":"In unstructured mobile peer-to-peer systems (MP2P), the frequent link breakages lead frequent topology mismatching problems and data transmission failures due to high mobility of nodes. The overhead of data transmission and synchronization cannot be neglected. In order to keep the data consistent, flooding is a fundamental and straightforward data synchronization mechanism since a mobile node does not know which else has the same shared data item. However, data flooding causes the broadcast storm problem. In this paper, we propose a mobility-aware data update approach (MADU) to improve the data dissemination and to reduce the overhead of maintaining the consistency of shared data items in an MP2P network. We use safe-time which is derived from the neighbor's location and speed to determine the time for a node to do the checking and updating between the neighbor nodes and itself. We also consider the network connectivity of a mobile node and access frequency of a data item as the factors to trigger the update process. By combining the mobility information of nodes, network connectivity, and access frequency of data items, we set a reasonable data update mechanism, which can significantly decrease the number of retransmissions and redundant messages so as to reduce the overhead of maintaining the data consistency.","author":[{"dropping-particle":"","family":"Lai","given":"Chuan Chi","non-dropping-particle":"","parse-names":false,"suffix":""},{"dropping-particle":"","family":"Liu","given":"Chuan Ming","non-dropping-particle":"","parse-names":false,"suffix":""}],"container-title":"Journal of Parallel and Distributed Computing","id":"ITEM-1","issued":{"date-parts":[["2019","1"]]},"page":"168-179","title":"A mobility-aware approach for distributed data update on unstructured mobile P2P networks","type":"article-journal","volume":"123"},"uris":["http://www.mendeley.com/documents/?uuid=c484108f-c4fa-32af-b307-5a207ae75d4a"]}],"mendeley":{"formattedCitation":"(Lai and Liu 2019)","plainTextFormattedCitation":"(Lai and Liu 2019)","previouslyFormattedCitation":"(Lai and Liu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(Lai and Liu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{"citationItems":[{"id":"ITEM-1","itemData":{"DOI":"10.1016/j.resconrec.2019.01.018","ISSN":"18790658","abstract":"The South Korean government is applying the Target Management System (TMS) for collecting and recycling electrical and electronic equipment waste under the Waste Electrical and Electronic Equipment (WEEE) Directive. Based on the TMS, approximately 280,230 t of WEEE-compliant waste was recycled in 2017. Building on these recycling achievements, Korea government established a secondary long-term target about 8.6 kg/cap yr. by 2023 as there is sufficient interest in building and managing an efficient WEEE collecting channel in Korea. In this study, we investigate the current status of public perception, user satisfaction, and public relation (PR), as well as strategies that focus on promoting the door-to-door (D-to-D) service, a free public collecting channel in Korea. A survey questionnaire was conducted using the computer-assisted telephone interviewing (CATI) method with stratified sample of 2000 interviewees. The survey results indicated that nearly one in two people (48.2%) were aware of the D-to-D service, and this percentage was higher than the annual surveys for the last three years. In addition, 90.7% of the users of the D-to-D service expressed a positive opinion, particularly with regards to the service being available for free. From the PR perspective, 58.9% of respondents felt that current PR level were unsatisfied despite many outstanding advantages of the D-to-D service, and 86.0% of respondents stated that the frequency of the PR activities for the D-to-D service should be increased. These results are expected to utilize as basic information to establish future-strategies for improving the service quality of D-to-D system with vulnerability complement.","author":[{"dropping-particle":"","family":"Park","given":"Jihwan","non-dropping-particle":"","parse-names":false,"suffix":""},{"dropping-particle":"","family":"Ahn","given":"Chimoon","non-dropping-particle":"","parse-names":false,"suffix":""},{"dropping-particle":"","family":"Lee","given":"Kibae","non-dropping-particle":"","parse-names":false,"suffix":""},{"dropping-particle":"","family":"Choi","given":"Wonhee","non-dropping-particle":"","parse-names":false,"suffix":""},{"dropping-particle":"","family":"Song","given":"Hyo Teak","non-dropping-particle":"","parse-names":false,"suffix":""},{"dropping-particle":"","family":"Choi","given":"Sang Ok","non-dropping-particle":"","parse-names":false,"suffix":""},{"dropping-particle":"","family":"Han","given":"Sung Won","non-dropping-particle":"","parse-names":false,"suffix":""}],"container-title":"Resources, Conservation and Recycling","id":"ITEM-1","issued":{"date-parts":[["2019","5"]]},"page":"90-99","title":"Analysis on public perception, user-satisfaction, and publicity for WEEE collecting system in South Korea: A case study for Door-to-Door Service","type":"article-journal","volume":"144"},"uris":["http://www.mendeley.com/documents/?uuid=e5736ad9-0827-3cdf-916a-a162d5c6378c"]}],"mendeley":{"formattedCitation":"(Park et al. 2019)","plainTextFormattedCitation":"(Park et al. 2019)","previouslyFormattedCitation":"(Park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(Park et al. 2019)</w:t>
            </w:r>
            <w:r w:rsidRPr="008B5A70">
              <w:rPr>
                <w:rFonts w:asciiTheme="majorBidi" w:hAnsiTheme="majorBidi" w:cstheme="majorBidi"/>
                <w:sz w:val="18"/>
                <w:szCs w:val="18"/>
                <w:lang w:val="en-GB"/>
              </w:rPr>
              <w:fldChar w:fldCharType="end"/>
            </w:r>
          </w:p>
        </w:tc>
        <w:tc>
          <w:tcPr>
            <w:tcW w:w="5590" w:type="dxa"/>
            <w:vAlign w:val="center"/>
          </w:tcPr>
          <w:p w14:paraId="74C74367"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 xml:space="preserve">The consistency </w:t>
            </w:r>
            <w:r>
              <w:rPr>
                <w:rFonts w:asciiTheme="majorBidi" w:hAnsiTheme="majorBidi" w:cstheme="majorBidi"/>
                <w:sz w:val="18"/>
                <w:szCs w:val="18"/>
                <w:lang w:val="en-GB"/>
              </w:rPr>
              <w:t>of</w:t>
            </w:r>
            <w:r w:rsidRPr="008B5A70">
              <w:rPr>
                <w:rFonts w:asciiTheme="majorBidi" w:hAnsiTheme="majorBidi" w:cstheme="majorBidi"/>
                <w:sz w:val="18"/>
                <w:szCs w:val="18"/>
                <w:lang w:val="en-GB"/>
              </w:rPr>
              <w:t xml:space="preserve"> mobile application</w:t>
            </w:r>
            <w:r>
              <w:rPr>
                <w:rFonts w:asciiTheme="majorBidi" w:hAnsiTheme="majorBidi" w:cstheme="majorBidi"/>
                <w:sz w:val="18"/>
                <w:szCs w:val="18"/>
                <w:lang w:val="en-GB"/>
              </w:rPr>
              <w:t>s</w:t>
            </w:r>
            <w:r w:rsidRPr="008B5A70">
              <w:rPr>
                <w:rFonts w:asciiTheme="majorBidi" w:hAnsiTheme="majorBidi" w:cstheme="majorBidi"/>
                <w:sz w:val="18"/>
                <w:szCs w:val="18"/>
                <w:lang w:val="en-GB"/>
              </w:rPr>
              <w:t xml:space="preserve"> is enhanced by </w:t>
            </w:r>
            <w:r>
              <w:rPr>
                <w:rFonts w:asciiTheme="majorBidi" w:hAnsiTheme="majorBidi" w:cstheme="majorBidi"/>
                <w:sz w:val="18"/>
                <w:szCs w:val="18"/>
                <w:lang w:val="en-GB"/>
              </w:rPr>
              <w:t xml:space="preserve">the </w:t>
            </w:r>
            <w:r w:rsidRPr="008B5A70">
              <w:rPr>
                <w:rFonts w:asciiTheme="majorBidi" w:hAnsiTheme="majorBidi" w:cstheme="majorBidi"/>
                <w:sz w:val="18"/>
                <w:szCs w:val="18"/>
                <w:lang w:val="en-GB"/>
              </w:rPr>
              <w:t>application design, interface, navigation, and operational process of mobile application services.</w:t>
            </w:r>
          </w:p>
          <w:p w14:paraId="1B71B64A"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In terms of users’ satisfaction, previous studies recommended ensuring mobile application consistency that influences the continued use of users.</w:t>
            </w:r>
          </w:p>
        </w:tc>
      </w:tr>
      <w:tr w:rsidR="00374AE2" w:rsidRPr="008B5A70" w14:paraId="122B77F9" w14:textId="77777777" w:rsidTr="003405CA">
        <w:trPr>
          <w:trHeight w:hRule="exact" w:val="1621"/>
          <w:jc w:val="center"/>
        </w:trPr>
        <w:tc>
          <w:tcPr>
            <w:tcW w:w="1350" w:type="dxa"/>
            <w:vAlign w:val="center"/>
          </w:tcPr>
          <w:p w14:paraId="457A966B" w14:textId="77777777" w:rsidR="00374AE2" w:rsidRPr="008B5A70" w:rsidRDefault="00374AE2" w:rsidP="003405CA">
            <w:pPr>
              <w:spacing w:line="360" w:lineRule="auto"/>
              <w:jc w:val="center"/>
              <w:rPr>
                <w:rFonts w:asciiTheme="majorBidi" w:hAnsiTheme="majorBidi" w:cstheme="majorBidi"/>
                <w:sz w:val="18"/>
                <w:szCs w:val="18"/>
                <w:lang w:val="en-GB"/>
              </w:rPr>
            </w:pPr>
            <w:r w:rsidRPr="008B5A70">
              <w:rPr>
                <w:rFonts w:asciiTheme="majorBidi" w:hAnsiTheme="majorBidi" w:cstheme="majorBidi"/>
                <w:sz w:val="18"/>
                <w:szCs w:val="18"/>
                <w:lang w:val="en-GB"/>
              </w:rPr>
              <w:t>Information</w:t>
            </w:r>
          </w:p>
        </w:tc>
        <w:tc>
          <w:tcPr>
            <w:tcW w:w="2145" w:type="dxa"/>
            <w:vAlign w:val="center"/>
          </w:tcPr>
          <w:p w14:paraId="0AE97266" w14:textId="77777777" w:rsidR="00374AE2" w:rsidRPr="008B5A70" w:rsidRDefault="00374AE2" w:rsidP="003405CA">
            <w:pPr>
              <w:spacing w:line="360" w:lineRule="auto"/>
              <w:rPr>
                <w:rFonts w:asciiTheme="majorBidi" w:hAnsiTheme="majorBidi" w:cstheme="majorBidi"/>
                <w:sz w:val="18"/>
                <w:szCs w:val="18"/>
                <w:lang w:val="en-GB"/>
              </w:rPr>
            </w:pP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{"citationItems":[{"id":"ITEM-1","itemData":{"DOI":"10.1016/j.dss.2018.03.011","ISSN":"01679236","abstract":"We present a probability-based metric for semantic consistency using a set of uncertain rules. As opposed to existing metrics for semantic consistency, our metric allows to consider rules that are expected to be fulfilled with specific probabilities. The resulting metric values represent the probability that the assessed dataset is free of internal contradictions with regard to the uncertain rules and thus have a clear interpretation. The theoretical basis for determining the metric values are statistical tests and the concept of the p-value, allowing the interpretation of the metric value as a probability. We demonstrate the practical applicability and effectiveness of the metric in a real-world setting by analyzing a customer dataset of an insurance company. Here, the metric was applied to identify semantic consistency problems in the data and to support decision-making, for instance, when offering individual products to customers.","author":[{"dropping-particle":"","family":"Heinrich","given":"Bernd","non-dropping-particle":"","parse-names":false,"suffix":""},{"dropping-particle":"","family":"Klier","given":"Mathias","non-dropping-particle":"","parse-names":false,"suffix":""},{"dropping-particle":"","family":"Schiller","given":"Alexander","non-dropping-particle":"","parse-names":false,"suffix":""},{"dropping-particle":"","family":"Wagner","given":"Gerit","non-dropping-particle":"","parse-names":false,"suffix":""}],"container-title":"Decision Support Systems","id":"ITEM-1","issued":{"date-parts":[["2018","6"]]},"page":"95-106","title":"Assessing data quality – A probability-based metric for semantic consistency","type":"article-journal","volume":"110"},"uris":["http://www.mendeley.com/documents/?uuid=af85f5b1-6cb0-47b5-adc9-22a0cda6d4f0"]}],"mendeley":{"formattedCitation":"(Heinrich et al. 2018)","plainTextFormattedCitation":"(Heinrich et al. 2018)","previouslyFormattedCitation":"(Heinrich et al. 2018)"},"properties":{"noteIndex":0},"schema":"https://github.com/citation-style-language/schema/raw/master/csl-citation.json"}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(Heinrich et al. 2018)</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{"citationItems":[{"id":"ITEM-1","itemData":{"DOI":"10.1016/j.infsof.2018.11.002","ISSN":"09505849","abstract":"Context: Information Quality (IQ) is particularly important for organizations: they depend on information for managing their daily tasks and relying on low-quality information may negatively influence their overall performance. Despite this, the literature shows that most software development approaches do not consider IQ requirements during the system design, which leaves the system open to different kinds of vulnerabilities. Objective: The main objective of this research is proposing a framework for modeling and analyzing IQ requirements for Socio-Technical Systems (STS). Method: We propose STS-IQ, a goal-oriented framework for modeling and analyzing IQ requirements in their social and organizational context since the early phases of the system design. The framework extends and refines our previous work, and it consists of: (i) a modeling language that provides concepts and constructs for modeling IQ requirements; (ii) a set of analysis techniques that support the verification of the correctness and consistency of the IQ requirements model; (iii) a mechanism for deriving the final IQ specifications in terms of IQ policies; (iv) a methodology to assist software engineers during the system design; and (v) a CASE tool, namely STS-IQ Tool. Result: We demonstrated the applicability, usefulness, and scalability of the modeling and reasoning techniques within a stock market case study, and we also evaluated the usability and utility of the framework with end-users. Conclusion: We conclude that the STS-IQ framework supports the modeling and analysis of IQ requirements, and also the derivation of precise IQ specifications in terms of IQ policies. Therefore, we believe it has potential in practice.","author":[{"dropping-particle":"","family":"Gharib","given":"Mohamad","non-dropping-particle":"","parse-names":false,"suffix":""},{"dropping-particle":"","family":"Giorgini","given":"Paolo","non-dropping-particle":"","parse-names":false,"suffix":""}],"container-title":"Information and Software Technology","id":"ITEM-1","issued":{"date-parts":[["2019","3"]]},"page":"83-100","title":"Information quality requirements engineering with STS-IQ","type":"article-journal","volume":"107"},"uris":["http://www.mendeley.com/documents/?uuid=a7b7d2c7-f440-4ae9-8598-d51cd528b743"]}],"mendeley":{"formattedCitation":"(Gharib and Giorgini 2019)","plainTextFormattedCitation":"(Gharib and Giorgini 2019)","previouslyFormattedCitation":"(Gharib and Giorgini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(Gharib and Giorgini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{"citationItems":[{"id":"ITEM-1","itemData":{"DOI":"10.1016/j.procir.2019.03.131","ISSN":"22128271","abstract":"This study is concerned with group decision making contexts in which linguistic preference relations are used to provide the evaluations of results. On the one hand, granulation of linguistic terms, which are used as entries of the preference relations, is carried out for the purpose of dealing with the linguistic information. Formally, the problem is expressed as a multi-objective optimization task in which a performance index composed of the weighted averaging of the criteria of consensus and consistency is maximized via an appropriate association of the linguistic terms with information granules formed as intervals. On the other hand, once the linguistic terms are made operational by mapping them to the corresponding intervals, a selection process, in which the consistency achieved by each agent is also considered, is employed with intent to construct the solution to the decision problem under consideration. An experimental study is reported by demonstrating the main features of the proposed approach. Furthermore, some drawbacks and advantages are also analyzed.","author":[{"dropping-particle":"","family":"Riesener","given":"Michael","non-dropping-particle":"","parse-names":false,"suffix":""},{"dropping-particle":"","family":"Dölle","given":"Christian","non-dropping-particle":"","parse-names":false,"suffix":""},{"dropping-particle":"","family":"Schuh","given":"Günther","non-dropping-particle":"","parse-names":false,"suffix":""},{"dropping-particle":"","family":"Tönnes","given":"Christian","non-dropping-particle":"","parse-names":false,"suffix":""}],"container-title":"Procedia CIRP","id":"ITEM-1","issued":{"date-parts":[["2019","6"]]},"page":"304-310","title":"Framework for defining information quality based on data attributes within the digital shadow using LDA","type":"article-journal","volume":"83"},"uris":["http://www.mendeley.com/documents/?uuid=162b04d8-7767-4005-8d95-6f100a5bbb96"]}],"mendeley":{"formattedCitation":"(Riesener et al. 2019)","plainTextFormattedCitation":"(Riesener et al. 2019)","previouslyFormattedCitation":"(Riesener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(Riesener et al.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{"citationItems":[{"id":"ITEM-1","itemData":{"DOI":"10.1016/j.physa.2019.03.034","ISSN":"03784371","abstract":"In this work, we employ a minimal agent-based model to explore the mechanisms that regulate competition between memes that spread online. We investigate the case in which each piece of information has a quality, and the higher is the quality the higher are the chances of being transmitted. The model allows us to study the impact of influential nodes on the spreading behavior. We show that meme's quality does not guarantee virility, but there is a strong correlation between the meme's success and the influence of the agent who introduced it. When trust is incorporated into the model and the agents can decided whether or not to accept a meme, we show that both lifetime and popularity distributions have broad power-law tails indicating that only a few memes spread virally through the population reproducing perfectly the broad distributions obtained from empirical data.","author":[{"dropping-particle":"","family":"Oliveira","given":"Diego F.M.","non-dropping-particle":"","parse-names":false,"suffix":""},{"dropping-particle":"","family":"Chan","given":"Kevin S.","non-dropping-particle":"","parse-names":false,"suffix":""}],"container-title":"Physica A: Statistical Mechanics and its Applications","id":"ITEM-1","issued":{"date-parts":[["2019","7"]]},"page":"657-663","title":"The effects of trust and influence on the spreading of low and high quality information","type":"article-journal","volume":"525"},"uris":["http://www.mendeley.com/documents/?uuid=f5a397ef-29ba-3ce7-97cc-3fd957f432b3"]}],"mendeley":{"formattedCitation":"(Oliveira and Chan 2019)","plainTextFormattedCitation":"(Oliveira and Chan 2019)","previouslyFormattedCitation":"(Oliveira and Chan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(Oliveira and Chan 2019)</w:t>
            </w:r>
            <w:r w:rsidRPr="008B5A70">
              <w:rPr>
                <w:rFonts w:asciiTheme="majorBidi" w:hAnsiTheme="majorBidi" w:cstheme="majorBidi"/>
                <w:sz w:val="18"/>
                <w:szCs w:val="18"/>
                <w:lang w:val="en-GB"/>
              </w:rPr>
              <w:fldChar w:fldCharType="end"/>
            </w:r>
          </w:p>
        </w:tc>
        <w:tc>
          <w:tcPr>
            <w:tcW w:w="5590" w:type="dxa"/>
            <w:vAlign w:val="center"/>
          </w:tcPr>
          <w:p w14:paraId="38D65945"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It f</w:t>
            </w:r>
            <w:r>
              <w:rPr>
                <w:rFonts w:asciiTheme="majorBidi" w:hAnsiTheme="majorBidi" w:cstheme="majorBidi"/>
                <w:sz w:val="18"/>
                <w:szCs w:val="18"/>
                <w:lang w:val="en-GB"/>
              </w:rPr>
              <w:t>in</w:t>
            </w:r>
            <w:r w:rsidRPr="008B5A70">
              <w:rPr>
                <w:rFonts w:asciiTheme="majorBidi" w:hAnsiTheme="majorBidi" w:cstheme="majorBidi"/>
                <w:sz w:val="18"/>
                <w:szCs w:val="18"/>
                <w:lang w:val="en-GB"/>
              </w:rPr>
              <w:t xml:space="preserve">ds that information at online services is considered </w:t>
            </w:r>
            <w:r>
              <w:rPr>
                <w:rFonts w:asciiTheme="majorBidi" w:hAnsiTheme="majorBidi" w:cstheme="majorBidi"/>
                <w:sz w:val="18"/>
                <w:szCs w:val="18"/>
                <w:lang w:val="en-GB"/>
              </w:rPr>
              <w:t xml:space="preserve">an </w:t>
            </w:r>
            <w:r w:rsidRPr="008B5A70">
              <w:rPr>
                <w:rFonts w:asciiTheme="majorBidi" w:hAnsiTheme="majorBidi" w:cstheme="majorBidi"/>
                <w:sz w:val="18"/>
                <w:szCs w:val="18"/>
                <w:lang w:val="en-GB"/>
              </w:rPr>
              <w:t>essential element that affect</w:t>
            </w:r>
            <w:r>
              <w:rPr>
                <w:rFonts w:asciiTheme="majorBidi" w:hAnsiTheme="majorBidi" w:cstheme="majorBidi"/>
                <w:sz w:val="18"/>
                <w:szCs w:val="18"/>
                <w:lang w:val="en-GB"/>
              </w:rPr>
              <w:t>s</w:t>
            </w:r>
            <w:r w:rsidRPr="008B5A70">
              <w:rPr>
                <w:rFonts w:asciiTheme="majorBidi" w:hAnsiTheme="majorBidi" w:cstheme="majorBidi"/>
                <w:sz w:val="18"/>
                <w:szCs w:val="18"/>
                <w:lang w:val="en-GB"/>
              </w:rPr>
              <w:t xml:space="preserve"> the users’ satisfaction. Such criteria related to information are the format of information at online service platforms, currency, and information completeness.</w:t>
            </w:r>
          </w:p>
        </w:tc>
      </w:tr>
      <w:tr w:rsidR="00374AE2" w:rsidRPr="008B5A70" w14:paraId="18E07E79" w14:textId="77777777" w:rsidTr="003405CA">
        <w:trPr>
          <w:trHeight w:hRule="exact" w:val="1531"/>
          <w:jc w:val="center"/>
        </w:trPr>
        <w:tc>
          <w:tcPr>
            <w:tcW w:w="1350" w:type="dxa"/>
            <w:vAlign w:val="center"/>
          </w:tcPr>
          <w:p w14:paraId="28A63F02" w14:textId="77777777" w:rsidR="00374AE2" w:rsidRPr="008B5A70" w:rsidRDefault="00374AE2" w:rsidP="003405CA">
            <w:pPr>
              <w:spacing w:line="360" w:lineRule="auto"/>
              <w:jc w:val="center"/>
              <w:rPr>
                <w:rFonts w:asciiTheme="majorBidi" w:hAnsiTheme="majorBidi" w:cstheme="majorBidi"/>
                <w:sz w:val="18"/>
                <w:szCs w:val="18"/>
                <w:lang w:val="en-GB"/>
              </w:rPr>
            </w:pPr>
            <w:r w:rsidRPr="008B5A70">
              <w:rPr>
                <w:rFonts w:asciiTheme="majorBidi" w:hAnsiTheme="majorBidi" w:cstheme="majorBidi"/>
                <w:sz w:val="18"/>
                <w:szCs w:val="18"/>
                <w:lang w:val="en-GB"/>
              </w:rPr>
              <w:t>Accessibility</w:t>
            </w:r>
          </w:p>
        </w:tc>
        <w:tc>
          <w:tcPr>
            <w:tcW w:w="2145" w:type="dxa"/>
            <w:vAlign w:val="center"/>
          </w:tcPr>
          <w:p w14:paraId="0CCC085F" w14:textId="77777777" w:rsidR="00374AE2" w:rsidRPr="008B5A70" w:rsidRDefault="00374AE2" w:rsidP="003405CA">
            <w:pPr>
              <w:spacing w:line="360" w:lineRule="auto"/>
              <w:rPr>
                <w:rFonts w:asciiTheme="majorBidi" w:hAnsiTheme="majorBidi" w:cstheme="majorBidi"/>
                <w:sz w:val="18"/>
                <w:szCs w:val="18"/>
                <w:lang w:val="en-GB"/>
              </w:rPr>
            </w:pP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{"citationItems":[{"id":"ITEM-1","itemData":{"DOI":"10.1016/j.lisr.2016.08.006","ISSN":"07408188","abstract":"To extrapolate best practices for accessible library website design, the Web-browsing needs of users with visual impairments were investigated. Selected library websites were tested for usability and accessibility with six visually impaired persons who use screen readers. The results were analyzed in terms of accessible coding standards as well as high-level usability issues. The analysis results indicated that these library websites are not accessible for visually impaired screen reader users. The most common accessibility barriers encountered were issues of information architecture and usable Web design, rather than errors in coding. Suggestions to improve accessibility are proposed.","author":[{"dropping-particle":"","family":"Yoon","given":"Kyunghye","non-dropping-particle":"","parse-names":false,"suffix":""},{"dropping-particle":"","family":"Dols","given":"Rachel","non-dropping-particle":"","parse-names":false,"suffix":""},{"dropping-particle":"","family":"Hulscher","given":"Laura","non-dropping-particle":"","parse-names":false,"suffix":""},{"dropping-particle":"","family":"Newberry","given":"Tara","non-dropping-particle":"","parse-names":false,"suffix":""}],"container-title":"Library and Information Science Research","id":"ITEM-1","issue":"3","issued":{"date-parts":[["2016","7"]]},"page":"250-258","title":"An exploratory study of library website accessibility for visually impaired users","type":"article-journal","volume":"38"},"uris":["http://www.mendeley.com/documents/?uuid=26d1f60f-645c-3656-a38d-8a9f05a61979"]}],"mendeley":{"formattedCitation":"(Yoon et al. 2016)","plainTextFormattedCitation":"(Yoon et al. 2016)","previouslyFormattedCitation":"(Yoon et al. 2016)"},"properties":{"noteIndex":0},"schema":"https://github.com/citation-style-language/schema/raw/master/csl-citation.json"}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(Yoon et al. 2016)</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{"citationItems":[{"id":"ITEM-1","itemData":{"DOI":"10.1016/j.procs.2017.11.333","ISSN":"18770509","abstract":"The accessibility of a website means that everyone including people with disabilities can perceive, understandand interact with the website.In this study, accessibility of the 38 higher education institution websites of Cyprus Island has been evaluated. The accessibility assessment was carried out to verify compliance with the Web Content Accessibility Guidelines 2.0 (WCAG 2.0) published by the World Wide Web Consortium (W3C). The main goal of this study is to determine whether people with disabilities can access and use websites of the Cyprus Island higher education institutions and to raise awareness about web accessibility. It can be conclude that none of the evaluated websites are error free and most of them do not achieve an acceptable web accessibility level of compliance.","author":[{"dropping-particle":"","family":"Işeri","given":"Erkut I.","non-dropping-particle":"","parse-names":false,"suffix":""},{"dropping-particle":"","family":"Uyar","given":"Kaan","non-dropping-particle":"","parse-names":false,"suffix":""},{"dropping-particle":"","family":"Ilhan","given":"Ümit","non-dropping-particle":"","parse-names":false,"suffix":""}],"container-title":"Procedia Computer Science","id":"ITEM-1","issued":{"date-parts":[["2017"]]},"page":"967-974","title":"The accessibility of Cyprus Islands' Higher Education Institution Websites","type":"paper-conference","volume":"120"},"uris":["http://www.mendeley.com/documents/?uuid=63aec03a-d3c8-302f-bc4a-0076708009df"]}],"mendeley":{"formattedCitation":"(Işeri, Uyar, and Ilhan 2017)","plainTextFormattedCitation":"(Işeri, Uyar, and Ilhan 2017)","previouslyFormattedCitation":"(Işeri, Uyar, and Ilhan 2017)"},"properties":{"noteIndex":0},"schema":"https://github.com/citation-style-language/schema/raw/master/csl-citation.json"}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(Işeri, Uyar, and Ilhan 2017)</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{"citationItems":[{"id":"ITEM-1","itemData":{"DOI":"10.1016/j.csi.2016.04.001","ISSN":"09205489","abstract":"Web accessibility guidelines help developers to create websites which can more easily be used by people with different limitations. The principles and techniques of accessibility focus on the suitable use of standard Web components, alternative methods to present information, and alternatives to facilitate user interaction. Currently, the biggest part in creating accessible websites is played by Web developers, because they manage the page code. Unfortunately, there are millions of websites which do not follow accessibility guidelines, as this usually requires great effort and knowledge of accessibility issues. This research aims to create a platform, based on a novel approach, which allows a set of accessibility problems to be solved without modifying the original page code. The proposed platform is able to analyse websites and detect many accessibility problems automatically; after this, a guided assistant is used to offer adequate solutions to each detected problem. The assistant tries to abstract references to Web implementation issues and to explain every accessibility problem in an understandable way for non-technical people. This new approach could be useful to improve the level of accessibility of many websites for people besides Web developers.","author":[{"dropping-particle":"","family":"Crespo","given":"Rubén Gonzalez","non-dropping-particle":"","parse-names":false,"suffix":""},{"dropping-particle":"","family":"Espada","given":"Jordán Pascual","non-dropping-particle":"","parse-names":false,"suffix":""},{"dropping-particle":"","family":"Burgos","given":"Daniel","non-dropping-particle":"","parse-names":false,"suffix":""}],"container-title":"Computer Standards and Interfaces","id":"ITEM-1","issued":{"date-parts":[["2016","11"]]},"page":"1-9","title":"Social4all: Definition of specific adaptations in Web applications to improve accessibility","type":"article-journal","volume":"48"},"uris":["http://www.mendeley.com/documents/?uuid=ab5ca2bb-b7f1-3362-a572-18af52213c25"]}],"mendeley":{"formattedCitation":"(Crespo, Espada, and Burgos 2016)","plainTextFormattedCitation":"(Crespo, Espada, and Burgos 2016)","previouslyFormattedCitation":"(Crespo, Espada, and Burgos 2016)"},"properties":{"noteIndex":0},"schema":"https://github.com/citation-style-language/schema/raw/master/csl-citation.json"}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(Crespo, Espada, and Burgos 2016)</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{"citationItems":[{"id":"ITEM-1","itemData":{"DOI":"10.2196/12482","ISSN":"2291-5222","author":[{"dropping-particle":"","family":"Cupertino","given":"Ana Paula","non-dropping-particle":"","parse-names":false,"suffix":""},{"dropping-particle":"","family":"Cartujano-Barrera","given":"Francisco","non-dropping-particle":"","parse-names":false,"suffix":""},{"dropping-particle":"","family":"Ramírez","given":"Mariana","non-dropping-particle":"","parse-names":false,"suffix":""},{"dropping-particle":"","family":"Rodríguez-Bolaños","given":"Rosibel","non-dropping-particle":"","parse-names":false,"suffix":""},{"dropping-particle":"","family":"Thrasher","given":"James F","non-dropping-particle":"","parse-names":false,"suffix":""},{"dropping-particle":"","family":"Pérez-Rubio","given":"Gloria","non-dropping-particle":"","parse-names":false,"suffix":""},{"dropping-particle":"","family":"Falfán-Valencia","given":"Ramcés","non-dropping-particle":"","parse-names":false,"suffix":""},{"dropping-particle":"","family":"Ellerbeck","given":"Edward F","non-dropping-particle":"","parse-names":false,"suffix":""},{"dropping-particle":"","family":"Reynales-Shigematsu","given":"Luz Myriam","non-dropping-particle":"","parse-names":false,"suffix":""}],"container-title":"JMIR mHealth and uHealth","id":"ITEM-1","issue":"4","issued":{"date-parts":[["2019","4","25"]]},"page":"e12482","title":"A Mobile Smoking Cessation Intervention for Mexico (Vive sin Tabaco... ¡Decídete!): Single-Arm Pilot Study","type":"article-journal","volume":"7"},"uris":["http://www.mendeley.com/documents/?uuid=d06479a9-c404-3562-9490-fd9bf77abc42"]}],"mendeley":{"formattedCitation":"(Cupertino et al. 2019)","plainTextFormattedCitation":"(Cupertino et al. 2019)","previouslyFormattedCitation":"(Cupertino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(Cupertino et al. 2019)</w:t>
            </w:r>
            <w:r w:rsidRPr="008B5A70">
              <w:rPr>
                <w:rFonts w:asciiTheme="majorBidi" w:hAnsiTheme="majorBidi" w:cstheme="majorBidi"/>
                <w:sz w:val="18"/>
                <w:szCs w:val="18"/>
                <w:lang w:val="en-GB"/>
              </w:rPr>
              <w:fldChar w:fldCharType="end"/>
            </w:r>
          </w:p>
        </w:tc>
        <w:tc>
          <w:tcPr>
            <w:tcW w:w="5590" w:type="dxa"/>
            <w:vAlign w:val="center"/>
          </w:tcPr>
          <w:p w14:paraId="0A69D36C"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The concept of accessibility refers to online services, products, frameworks, or resources in an effective, efficient, and satisfying way by people with different abilities.</w:t>
            </w:r>
          </w:p>
        </w:tc>
      </w:tr>
      <w:tr w:rsidR="00374AE2" w:rsidRPr="008B5A70" w14:paraId="1C6C506D" w14:textId="77777777" w:rsidTr="003405CA">
        <w:trPr>
          <w:trHeight w:hRule="exact" w:val="1981"/>
          <w:jc w:val="center"/>
        </w:trPr>
        <w:tc>
          <w:tcPr>
            <w:tcW w:w="1350" w:type="dxa"/>
            <w:tcBorders>
              <w:bottom w:val="single" w:sz="4" w:space="0" w:color="auto"/>
            </w:tcBorders>
            <w:vAlign w:val="center"/>
          </w:tcPr>
          <w:p w14:paraId="7760B02F" w14:textId="77777777" w:rsidR="00374AE2" w:rsidRPr="008B5A70" w:rsidRDefault="00374AE2" w:rsidP="003405CA">
            <w:pPr>
              <w:spacing w:line="360" w:lineRule="auto"/>
              <w:jc w:val="center"/>
              <w:rPr>
                <w:rFonts w:asciiTheme="majorBidi" w:hAnsiTheme="majorBidi" w:cstheme="majorBidi"/>
                <w:sz w:val="18"/>
                <w:szCs w:val="18"/>
                <w:lang w:val="en-GB"/>
              </w:rPr>
            </w:pPr>
            <w:r w:rsidRPr="008B5A70">
              <w:rPr>
                <w:rFonts w:asciiTheme="majorBidi" w:hAnsiTheme="majorBidi" w:cstheme="majorBidi"/>
                <w:sz w:val="18"/>
                <w:szCs w:val="18"/>
                <w:lang w:val="en-GB"/>
              </w:rPr>
              <w:t>Privacy and security</w:t>
            </w:r>
          </w:p>
        </w:tc>
        <w:tc>
          <w:tcPr>
            <w:tcW w:w="2145" w:type="dxa"/>
            <w:tcBorders>
              <w:bottom w:val="single" w:sz="4" w:space="0" w:color="auto"/>
            </w:tcBorders>
            <w:vAlign w:val="center"/>
          </w:tcPr>
          <w:p w14:paraId="5353FF2C" w14:textId="77777777" w:rsidR="00374AE2" w:rsidRPr="008B5A70" w:rsidRDefault="00374AE2" w:rsidP="003405CA">
            <w:pPr>
              <w:spacing w:line="360" w:lineRule="auto"/>
              <w:rPr>
                <w:rFonts w:asciiTheme="majorBidi" w:hAnsiTheme="majorBidi" w:cstheme="majorBidi"/>
                <w:sz w:val="18"/>
                <w:szCs w:val="18"/>
                <w:lang w:val="en-GB"/>
              </w:rPr>
            </w:pP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{"citationItems":[{"id":"ITEM-1","itemData":{"DOI":"10.1016/j.tele.2019.03.003","ISSN":"07365853","abstract":"Research shows that people's use of computers and mobile phones is often characterized by a privacy paradox: Their self-reported concerns about their online privacy appear to be in contradiction with their often careless online behaviors. Earlier research into the privacy paradox has a number of caveats. Most studies focus on intentions rather than behavior and the influence of technical knowledge, privacy awareness, and financial resources is not systematically ruled out. This study therefore tests the privacy paradox under extreme circumstances, focusing on actual behavior and eliminating the effects of a lack of technical knowledge, privacy awareness, and financial resources. We designed an experiment on the downloading and usage of a mobile phone app among technically savvy students, giving them sufficient money to buy a paid-for app. Results suggest that neither technical knowledge and privacy awareness nor financial considerations affect the paradoxical behavior observed in users in general. Technically-skilled and financially independent users risked potential privacy intrusions despite their awareness of potential risks. In their considerations for selecting and downloading an app, privacy aspects did not play a significant role; functionality, app design, and costs appeared to outweigh privacy concerns.","author":[{"dropping-particle":"","family":"Barth","given":"Susanne","non-dropping-particle":"","parse-names":false,"suffix":""},{"dropping-particle":"","family":"Jong","given":"Menno D.T.","non-dropping-particle":"de","parse-names":false,"suffix":""},{"dropping-particle":"","family":"Junger","given":"Marianne","non-dropping-particle":"","parse-names":false,"suffix":""},{"dropping-particle":"","family":"Hartel","given":"Pieter H.","non-dropping-particle":"","parse-names":false,"suffix":""},{"dropping-particle":"","family":"Roppelt","given":"Janina C.","non-dropping-particle":"","parse-names":false,"suffix":""}],"container-title":"Telematics and Informatics","id":"ITEM-1","issued":{"date-parts":[["2019","8"]]},"page":"55-69","title":"Putting the privacy paradox to the test: Online privacy and security behaviors among users with technical knowledge, privacy awareness, and financial resources","type":"article-journal","volume":"41"},"uris":["http://www.mendeley.com/documents/?uuid=4a3cc76d-3f33-37fb-ad02-0d363ebdfe90"]}],"mendeley":{"formattedCitation":"(Barth et al. 2019)","plainTextFormattedCitation":"(Barth et al. 2019)","previouslyFormattedCitation":"(Barth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(Barth et al.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{"citationItems":[{"id":"ITEM-1","itemData":{"DOI":"10.1016/j.chb.2018.09.034","ISSN":"07475632","abstract":"Despite prevalent privacy and security threats on the cloud, users have put tremendous amounts of their personal information on cloud storage. This present study proposes a comprehensive research framework to investigate cloud storage users’ willingness to put personal information on personal cloud-based storage applications. Our research framework is theoretically derived from the Communication Privacy Management Theory and Privacy-Trust-Behavioral Intention Model. To empirically test our research framework, we conducted an online survey of 786 active cloud storage users both in Indonesia and Taiwan. The findings suggest that cloud storage users’ willingness to put personal information is highly influenced by trust, perceived costs, perceived benefits, and also the degree of sensitivity of the personal information. Some findings with regard to cultural differences between the two countries are also showed out. The key findings, implications, and limitations are discussed in this paper.","author":[{"dropping-particle":"","family":"Widjaja","given":"Andree E.","non-dropping-particle":"","parse-names":false,"suffix":""},{"dropping-particle":"","family":"Chen","given":"Jengchung Victor","non-dropping-particle":"","parse-names":false,"suffix":""},{"dropping-particle":"","family":"Sukoco","given":"Badri Munir","non-dropping-particle":"","parse-names":false,"suffix":""},{"dropping-particle":"","family":"Ha","given":"Quang An","non-dropping-particle":"","parse-names":false,"suffix":""}],"container-title":"Computers in Human Behavior","id":"ITEM-1","issued":{"date-parts":[["2019","2"]]},"page":"167-185","title":"Understanding users’ willingness to put their personal information on the personal cloud-based storage applications: An empirical study","type":"article-journal","volume":"91"},"uris":["http://www.mendeley.com/documents/?uuid=cdce4c64-5a29-36c3-9b46-c4927c97cf1b"]}],"mendeley":{"formattedCitation":"(Widjaja et al. 2019)","plainTextFormattedCitation":"(Widjaja et al. 2019)","previouslyFormattedCitation":"(Widjaja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(Widjaja et al.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{"citationItems":[{"id":"ITEM-1","itemData":{"DOI":"10.1016/j.ins.2019.03.043","ISSN":"00200255","abstract":"Mobile cloud computing is a new computing method for mobile applications, which enables storage and computation migration from mobile users to resource-rich and powerful cloud server. More and more mobile phone users share their information through the mobile cloud. As the cloud server is not fully trusted, for security and privacy concerns, data owners usually encrypt their data before outsourcing them to the cloud server. In response to above questions, some attribute-based keyword search (ABKS) schemes have been proposed. However, the key generation, encryption and decryption for ABE take up a lot of computing resources in these schemes. In this paper, we propose an online/offline attribute-based keyword search scheme for mobile cloud (OOABKS). We use online/offline ABE technology and outsource ABE technology to reduce the online calculation cost and the local calculation cost of mobile users. And, we implement the fine-grained access control for the user. Security analysis demonstrates that our scheme can achieve trapdoor unlinkability, keyword security, data privacy security and search controllability. Efficiency analysis shows, in terms of functionalities and the computation overhead, OOABKS is more practical and efficient than existing approaches.","author":[{"dropping-particle":"","family":"Cui","given":"Jie","non-dropping-particle":"","parse-names":false,"suffix":""},{"dropping-particle":"","family":"Zhou","given":"Han","non-dropping-particle":"","parse-names":false,"suffix":""},{"dropping-particle":"","family":"Xu","given":"Yan","non-dropping-particle":"","parse-names":false,"suffix":""},{"dropping-particle":"","family":"Zhong","given":"Hong","non-dropping-particle":"","parse-names":false,"suffix":""}],"container-title":"Information Sciences","id":"ITEM-1","issued":{"date-parts":[["2019","7"]]},"page":"63-77","title":"OOABKS: Online/offline attribute-based encryption for keyword search in mobile cloud","type":"article-journal","volume":"489"},"uris":["http://www.mendeley.com/documents/?uuid=169bf258-9609-38cc-8dcb-7695a04f74ac"]}],"mendeley":{"formattedCitation":"(Cui et al. 2019)","plainTextFormattedCitation":"(Cui et al. 2019)","previouslyFormattedCitation":"(Cui et al.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(Cui et al. 2019)</w:t>
            </w:r>
            <w:r w:rsidRPr="008B5A70">
              <w:rPr>
                <w:rFonts w:asciiTheme="majorBidi" w:hAnsiTheme="majorBidi" w:cstheme="majorBidi"/>
                <w:sz w:val="18"/>
                <w:szCs w:val="18"/>
                <w:lang w:val="en-GB"/>
              </w:rPr>
              <w:fldChar w:fldCharType="end"/>
            </w:r>
            <w:r w:rsidRPr="008B5A70">
              <w:rPr>
                <w:rFonts w:asciiTheme="majorBidi" w:hAnsiTheme="majorBidi" w:cstheme="majorBidi"/>
                <w:sz w:val="18"/>
                <w:szCs w:val="18"/>
                <w:lang w:val="en-GB"/>
              </w:rPr>
              <w:t xml:space="preserve">, </w:t>
            </w:r>
            <w:r w:rsidRPr="008B5A70">
              <w:rPr>
                <w:rFonts w:asciiTheme="majorBidi" w:hAnsiTheme="majorBidi" w:cstheme="majorBidi"/>
                <w:sz w:val="18"/>
                <w:szCs w:val="18"/>
                <w:lang w:val="en-GB"/>
              </w:rPr>
              <w:fldChar w:fldCharType="begin" w:fldLock="1"/>
            </w:r>
            <w:r w:rsidRPr="008B5A70">
              <w:rPr>
                <w:rFonts w:asciiTheme="majorBidi" w:hAnsiTheme="majorBidi" w:cstheme="majorBidi"/>
                <w:sz w:val="18"/>
                <w:szCs w:val="18"/>
                <w:lang w:val="en-GB"/>
              </w:rPr>
              <w:instrText>ADDIN CSL_CITATION {"citationItems":[{"id":"ITEM-1","itemData":{"DOI":"10.1016/j.ins.2018.12.015","ISSN":"00200255","abstract":"Neural network is a particular machine learning framework which has gained widespread popularity due to its superior performance in many applications, such as complex board games, face recognition and disease diagnosis. A new service paradigm which offers online neural-network-based prediction to clients is increasingly popular. Although the prediction service has clear benefits, serious privacy issues have also emerged from the clients’ sensitive data and the neural network model itself. In this paper, we present a new outsourcing model for privacy-preserving neural network prediction under two non-colluding servers framework. In this model, the original neural network owner can securely outsource an existing neural network model to the two servers who will thereafter provide prediction service to the public users utilize encrypted input data. We propose the first fully non-interactive privacy-preserving neural network prediction scheme. Extensive security and efficiency analysis demonstrate that the proposed scheme satisfies the security requirement of model privacy and data privacy, and highly efficient with respect to computation and communication overhead.","author":[{"dropping-particle":"","family":"Ma","given":"Xu","non-dropping-particle":"","parse-names":false,"suffix":""},{"dropping-particle":"","family":"Chen","given":"Xiaofeng","non-dropping-particle":"","parse-names":false,"suffix":""},{"dropping-particle":"","family":"Zhang","given":"Xiaoyu","non-dropping-particle":"","parse-names":false,"suffix":""}],"container-title":"Information Sciences","id":"ITEM-1","issued":{"date-parts":[["2019","5"]]},"page":"507-519","title":"Non-interactive privacy-preserving neural network prediction","type":"article-journal","volume":"481"},"uris":["http://www.mendeley.com/documents/?uuid=3c4ec6a7-11c6-3463-8681-1efa1f876f65"]}],"mendeley":{"formattedCitation":"(Ma, Chen, and Zhang 2019)","plainTextFormattedCitation":"(Ma, Chen, and Zhang 2019)","previouslyFormattedCitation":"(Ma, Chen, and Zhang 2019)"},"properties":{"noteIndex":0},"schema":"https://github.com/citation-style-language/schema/raw/master/csl-citation.json"}</w:instrText>
            </w:r>
            <w:r w:rsidRPr="008B5A70">
              <w:rPr>
                <w:rFonts w:asciiTheme="majorBidi" w:hAnsiTheme="majorBidi" w:cstheme="majorBidi"/>
                <w:sz w:val="18"/>
                <w:szCs w:val="18"/>
                <w:lang w:val="en-GB"/>
              </w:rPr>
              <w:fldChar w:fldCharType="separate"/>
            </w:r>
            <w:r w:rsidRPr="008B5A70">
              <w:rPr>
                <w:rFonts w:asciiTheme="majorBidi" w:hAnsiTheme="majorBidi" w:cstheme="majorBidi"/>
                <w:noProof/>
                <w:sz w:val="18"/>
                <w:szCs w:val="18"/>
                <w:lang w:val="en-GB"/>
              </w:rPr>
              <w:t>(Ma, Chen, and Zhang 2019)</w:t>
            </w:r>
            <w:r w:rsidRPr="008B5A70">
              <w:rPr>
                <w:rFonts w:asciiTheme="majorBidi" w:hAnsiTheme="majorBidi" w:cstheme="majorBidi"/>
                <w:sz w:val="18"/>
                <w:szCs w:val="18"/>
                <w:lang w:val="en-GB"/>
              </w:rPr>
              <w:fldChar w:fldCharType="end"/>
            </w:r>
          </w:p>
        </w:tc>
        <w:tc>
          <w:tcPr>
            <w:tcW w:w="5590" w:type="dxa"/>
            <w:tcBorders>
              <w:bottom w:val="single" w:sz="4" w:space="0" w:color="auto"/>
            </w:tcBorders>
            <w:vAlign w:val="center"/>
          </w:tcPr>
          <w:p w14:paraId="58711DD0"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Privacy and security are essential aspects to be considered by users and service providers to ensure complete privacy and security during transaction processing.</w:t>
            </w:r>
          </w:p>
          <w:p w14:paraId="0691A4CF" w14:textId="77777777" w:rsidR="00374AE2" w:rsidRPr="008B5A70" w:rsidRDefault="00374AE2" w:rsidP="003405CA">
            <w:pPr>
              <w:spacing w:line="360" w:lineRule="auto"/>
              <w:jc w:val="both"/>
              <w:rPr>
                <w:rFonts w:asciiTheme="majorBidi" w:hAnsiTheme="majorBidi" w:cstheme="majorBidi"/>
                <w:sz w:val="18"/>
                <w:szCs w:val="18"/>
                <w:lang w:val="en-GB"/>
              </w:rPr>
            </w:pPr>
            <w:r w:rsidRPr="008B5A70">
              <w:rPr>
                <w:rFonts w:asciiTheme="majorBidi" w:hAnsiTheme="majorBidi" w:cstheme="majorBidi"/>
                <w:sz w:val="18"/>
                <w:szCs w:val="18"/>
                <w:lang w:val="en-GB"/>
              </w:rPr>
              <w:t xml:space="preserve">Since </w:t>
            </w:r>
            <w:proofErr w:type="spellStart"/>
            <w:r w:rsidRPr="008B5A70">
              <w:rPr>
                <w:rFonts w:asciiTheme="majorBidi" w:hAnsiTheme="majorBidi" w:cstheme="majorBidi"/>
                <w:sz w:val="18"/>
                <w:szCs w:val="18"/>
                <w:lang w:val="en-GB"/>
              </w:rPr>
              <w:t>mGovernment</w:t>
            </w:r>
            <w:proofErr w:type="spellEnd"/>
            <w:r w:rsidRPr="008B5A70">
              <w:rPr>
                <w:rFonts w:asciiTheme="majorBidi" w:hAnsiTheme="majorBidi" w:cstheme="majorBidi"/>
                <w:sz w:val="18"/>
                <w:szCs w:val="18"/>
                <w:lang w:val="en-GB"/>
              </w:rPr>
              <w:t xml:space="preserve"> is provided through mobile devices, it is necessary to ensure that the mobile application is developed with high professional techniques to ensure public service satisfaction.</w:t>
            </w:r>
          </w:p>
        </w:tc>
      </w:tr>
    </w:tbl>
    <w:p w14:paraId="0256140F" w14:textId="77777777" w:rsidR="00374AE2" w:rsidRPr="008B5A70" w:rsidRDefault="00374AE2" w:rsidP="00374AE2">
      <w:pPr>
        <w:rPr>
          <w:rFonts w:asciiTheme="majorBidi" w:hAnsiTheme="majorBidi" w:cstheme="majorBidi"/>
          <w:lang w:val="en-GB"/>
        </w:rPr>
      </w:pPr>
    </w:p>
    <w:p w14:paraId="7F43A2B2" w14:textId="4D636052" w:rsidR="005670CE" w:rsidRPr="00374AE2" w:rsidRDefault="005670CE" w:rsidP="00374AE2">
      <w:pPr>
        <w:rPr>
          <w:lang w:val="en-GB"/>
        </w:rPr>
      </w:pPr>
    </w:p>
    <w:sectPr w:rsidR="005670CE" w:rsidRPr="0037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MwMjI3MQEiM2NTcyUdpeDU4uLM/DyQAsNaAEpy8tosAAAA"/>
  </w:docVars>
  <w:rsids>
    <w:rsidRoot w:val="00A4045B"/>
    <w:rsid w:val="00081EA9"/>
    <w:rsid w:val="000F7890"/>
    <w:rsid w:val="0010375F"/>
    <w:rsid w:val="00210E85"/>
    <w:rsid w:val="00224873"/>
    <w:rsid w:val="00256068"/>
    <w:rsid w:val="00353594"/>
    <w:rsid w:val="00374AE2"/>
    <w:rsid w:val="00423ED3"/>
    <w:rsid w:val="005670CE"/>
    <w:rsid w:val="005910A8"/>
    <w:rsid w:val="005A1602"/>
    <w:rsid w:val="005E23CC"/>
    <w:rsid w:val="00682C43"/>
    <w:rsid w:val="0070631B"/>
    <w:rsid w:val="007E4108"/>
    <w:rsid w:val="00824983"/>
    <w:rsid w:val="008B0E61"/>
    <w:rsid w:val="00980580"/>
    <w:rsid w:val="00A4045B"/>
    <w:rsid w:val="00AD42BF"/>
    <w:rsid w:val="00AE4758"/>
    <w:rsid w:val="00C04FF0"/>
    <w:rsid w:val="00C07EBA"/>
    <w:rsid w:val="00D229EC"/>
    <w:rsid w:val="00FC6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131F"/>
  <w15:chartTrackingRefBased/>
  <w15:docId w15:val="{928876D1-4260-45E8-826E-4997E390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045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9868</Words>
  <Characters>56251</Characters>
  <Application>Microsoft Office Word</Application>
  <DocSecurity>0</DocSecurity>
  <Lines>468</Lines>
  <Paragraphs>131</Paragraphs>
  <ScaleCrop>false</ScaleCrop>
  <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JAAFAR MOHAMED HASAN ALI</dc:creator>
  <cp:keywords/>
  <dc:description/>
  <cp:lastModifiedBy>ABDULLA JAAFAR MOHAMED HASAN ALI</cp:lastModifiedBy>
  <cp:revision>2</cp:revision>
  <dcterms:created xsi:type="dcterms:W3CDTF">2022-05-12T10:05:00Z</dcterms:created>
  <dcterms:modified xsi:type="dcterms:W3CDTF">2022-05-12T10:05:00Z</dcterms:modified>
</cp:coreProperties>
</file>