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2939"/>
        <w:gridCol w:w="6030"/>
      </w:tblGrid>
      <w:tr w:rsidR="0064737B" w:rsidRPr="00560BC4" w:rsidTr="0064737B">
        <w:trPr>
          <w:trHeight w:val="323"/>
          <w:jc w:val="center"/>
        </w:trPr>
        <w:tc>
          <w:tcPr>
            <w:tcW w:w="751" w:type="dxa"/>
            <w:shd w:val="clear" w:color="auto" w:fill="F2F2F2"/>
            <w:vAlign w:val="center"/>
          </w:tcPr>
          <w:p w:rsidR="0064737B" w:rsidRPr="00560BC4" w:rsidRDefault="0064737B" w:rsidP="004D13F4">
            <w:pPr>
              <w:pStyle w:val="MDPI42tablebody"/>
              <w:rPr>
                <w:rFonts w:ascii="Times New Roman" w:hAnsi="Times New Roman"/>
                <w:b/>
              </w:rPr>
            </w:pPr>
            <w:bookmarkStart w:id="0" w:name="_GoBack"/>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Metric with Reference </w:t>
            </w:r>
          </w:p>
        </w:tc>
        <w:tc>
          <w:tcPr>
            <w:tcW w:w="6030" w:type="dxa"/>
            <w:shd w:val="clear" w:color="auto" w:fill="F2F2F2"/>
          </w:tcPr>
          <w:p w:rsidR="0064737B" w:rsidRPr="00560BC4" w:rsidRDefault="0064737B" w:rsidP="004D13F4">
            <w:pPr>
              <w:pStyle w:val="MDPI42tablebody"/>
              <w:rPr>
                <w:rFonts w:ascii="Times New Roman" w:hAnsi="Times New Roman"/>
                <w:b/>
              </w:rPr>
            </w:pPr>
            <w:r w:rsidRPr="00560BC4">
              <w:rPr>
                <w:rFonts w:ascii="Times New Roman" w:hAnsi="Times New Roman"/>
                <w:b/>
              </w:rPr>
              <w:t>Definition</w:t>
            </w:r>
          </w:p>
        </w:tc>
      </w:tr>
      <w:tr w:rsidR="0064737B" w:rsidRPr="00560BC4" w:rsidTr="0064737B">
        <w:trPr>
          <w:trHeight w:val="233"/>
          <w:jc w:val="center"/>
        </w:trPr>
        <w:tc>
          <w:tcPr>
            <w:tcW w:w="751" w:type="dxa"/>
            <w:vAlign w:val="center"/>
          </w:tcPr>
          <w:p w:rsidR="0064737B" w:rsidRPr="00560BC4" w:rsidRDefault="0064737B" w:rsidP="004D13F4">
            <w:pPr>
              <w:pStyle w:val="MDPI42tablebody"/>
              <w:rPr>
                <w:rFonts w:ascii="Times New Roman" w:hAnsi="Times New Roman"/>
              </w:rPr>
            </w:pPr>
          </w:p>
        </w:tc>
        <w:tc>
          <w:tcPr>
            <w:tcW w:w="8969" w:type="dxa"/>
            <w:gridSpan w:val="2"/>
            <w:vAlign w:val="center"/>
          </w:tcPr>
          <w:p w:rsidR="0064737B" w:rsidRPr="00560BC4" w:rsidRDefault="0064737B" w:rsidP="004D13F4">
            <w:pPr>
              <w:pStyle w:val="MDPI42tablebody"/>
              <w:rPr>
                <w:rFonts w:ascii="Times New Roman" w:hAnsi="Times New Roman"/>
              </w:rPr>
            </w:pPr>
            <w:r w:rsidRPr="00560BC4">
              <w:rPr>
                <w:rFonts w:ascii="Times New Roman" w:hAnsi="Times New Roman"/>
              </w:rPr>
              <w:t>SECTION A: Measurement Type and Scale (Objective/ Quantitative)</w:t>
            </w:r>
          </w:p>
        </w:tc>
      </w:tr>
      <w:tr w:rsidR="0064737B" w:rsidRPr="00560BC4" w:rsidTr="0064737B">
        <w:trPr>
          <w:trHeight w:val="233"/>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Project Schedule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Schedule_Actual</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is a measure of actual value of project duration in work hours. Project start is the date when user requirements have been baseline. Project end is the date of the first installation of the software application.</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Schedule_Planned</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is an estimated value of project duration in hours. It is calculated once the requirements get signed off.</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Schedule_Variance</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is a measure of project delays and is calculated as = (</w:t>
            </w:r>
            <w:proofErr w:type="spellStart"/>
            <w:r w:rsidRPr="00560BC4">
              <w:rPr>
                <w:rFonts w:ascii="Times New Roman" w:hAnsi="Times New Roman"/>
              </w:rPr>
              <w:t>Schedule_Actual</w:t>
            </w:r>
            <w:proofErr w:type="spellEnd"/>
            <w:r w:rsidRPr="00560BC4">
              <w:rPr>
                <w:rFonts w:ascii="Times New Roman" w:hAnsi="Times New Roman"/>
              </w:rPr>
              <w:t xml:space="preserve"> - </w:t>
            </w:r>
            <w:proofErr w:type="spellStart"/>
            <w:r w:rsidRPr="00560BC4">
              <w:rPr>
                <w:rFonts w:ascii="Times New Roman" w:hAnsi="Times New Roman"/>
              </w:rPr>
              <w:t>Schedule_Planned</w:t>
            </w:r>
            <w:proofErr w:type="spellEnd"/>
            <w:r w:rsidRPr="00560BC4">
              <w:rPr>
                <w:rFonts w:ascii="Times New Roman" w:hAnsi="Times New Roman"/>
              </w:rPr>
              <w:t xml:space="preserve">) / </w:t>
            </w:r>
            <w:proofErr w:type="spellStart"/>
            <w:r w:rsidRPr="00560BC4">
              <w:rPr>
                <w:rFonts w:ascii="Times New Roman" w:hAnsi="Times New Roman"/>
              </w:rPr>
              <w:t>Schedule_Actual</w:t>
            </w:r>
            <w:proofErr w:type="spellEnd"/>
            <w:r w:rsidRPr="00560BC4">
              <w:rPr>
                <w:rFonts w:ascii="Times New Roman" w:hAnsi="Times New Roman"/>
              </w:rPr>
              <w:t>.</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4</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WorkingHoursIn</w:t>
            </w:r>
            <w:proofErr w:type="spellEnd"/>
            <w:r w:rsidRPr="00560BC4">
              <w:rPr>
                <w:rFonts w:ascii="Times New Roman" w:hAnsi="Times New Roman"/>
              </w:rPr>
              <w:t xml:space="preserve"> Month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A number of working hours in one month.  </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Project Size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5</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EquivalentSizeLOC</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Equivalent size of software product measured in Line of Code</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6</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CodesizeFPBackFired</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Software size in Function Points. </w:t>
            </w:r>
          </w:p>
        </w:tc>
      </w:tr>
      <w:tr w:rsidR="0064737B" w:rsidRPr="00560BC4" w:rsidTr="0064737B">
        <w:trPr>
          <w:trHeight w:val="188"/>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7</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PercentReusedCode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Percentage of "Reused Code" in "Software Size" taken from external sources.</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8</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EquivalentReusedCode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is a measure of product’s equivalent size, which is reused in lines of code (LOC), following COCOMO II standard model definition.</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9</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PercOfCodeDiscardedDueToReqVolatility</w:t>
            </w:r>
            <w:proofErr w:type="spellEnd"/>
            <w:r w:rsidRPr="00560BC4">
              <w:rPr>
                <w:rFonts w:ascii="Times New Roman" w:hAnsi="Times New Roman"/>
              </w:rPr>
              <w:t xml:space="preserve"> LOC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is a percentage of code discarded during the project life cycle due to Requirement Volatility.</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10</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PercOfCodeAddedModifiedInMaintPhase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In maintenance phase of maximum 6 month duration, percentage of code added and modified.</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Project Cost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ProductUnitPriceinDollar_Actual</w:t>
            </w:r>
            <w:proofErr w:type="spellEnd"/>
            <w:r w:rsidRPr="00560BC4">
              <w:rPr>
                <w:rFonts w:ascii="Times New Roman" w:hAnsi="Times New Roman"/>
              </w:rPr>
              <w:t xml:space="preserve"> (A)</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actual unit price of product in market. Since industry is unable to provide its value and has no standard for setting its value. Therefore, it is calculated as = </w:t>
            </w:r>
            <w:proofErr w:type="spellStart"/>
            <w:r w:rsidRPr="00560BC4">
              <w:rPr>
                <w:rFonts w:ascii="Times New Roman" w:hAnsi="Times New Roman"/>
              </w:rPr>
              <w:t>Effort_Actual</w:t>
            </w:r>
            <w:proofErr w:type="spellEnd"/>
            <w:r w:rsidRPr="00560BC4">
              <w:rPr>
                <w:rFonts w:ascii="Times New Roman" w:hAnsi="Times New Roman"/>
              </w:rPr>
              <w:t xml:space="preserve"> * </w:t>
            </w:r>
            <w:proofErr w:type="spellStart"/>
            <w:r w:rsidRPr="00560BC4">
              <w:rPr>
                <w:rFonts w:ascii="Times New Roman" w:hAnsi="Times New Roman"/>
              </w:rPr>
              <w:t>AvgSalaryDrawnByTechPersonnelPerHour</w:t>
            </w:r>
            <w:proofErr w:type="spellEnd"/>
            <w:r w:rsidRPr="00560BC4">
              <w:rPr>
                <w:rFonts w:ascii="Times New Roman" w:hAnsi="Times New Roman"/>
              </w:rPr>
              <w:t>. With SPI there is a concept of Cost of Quality (</w:t>
            </w:r>
            <w:proofErr w:type="spellStart"/>
            <w:r w:rsidRPr="00560BC4">
              <w:rPr>
                <w:rFonts w:ascii="Times New Roman" w:hAnsi="Times New Roman"/>
              </w:rPr>
              <w:t>CoQ</w:t>
            </w:r>
            <w:proofErr w:type="spellEnd"/>
            <w:r w:rsidRPr="00560BC4">
              <w:rPr>
                <w:rFonts w:ascii="Times New Roman" w:hAnsi="Times New Roman"/>
              </w:rPr>
              <w:t xml:space="preserve">) advocates for the timewise Effort spent. Whereas, </w:t>
            </w:r>
            <w:proofErr w:type="spellStart"/>
            <w:r w:rsidRPr="00560BC4">
              <w:rPr>
                <w:rFonts w:ascii="Times New Roman" w:hAnsi="Times New Roman"/>
              </w:rPr>
              <w:t>ProductUnitPriceinDollar</w:t>
            </w:r>
            <w:proofErr w:type="spellEnd"/>
            <w:r w:rsidRPr="00560BC4">
              <w:rPr>
                <w:rFonts w:ascii="Times New Roman" w:hAnsi="Times New Roman"/>
              </w:rPr>
              <w:t xml:space="preserve"> comprises of Software</w:t>
            </w:r>
            <w:r w:rsidRPr="00560BC4">
              <w:rPr>
                <w:rStyle w:val="BodyTextChar"/>
                <w:rFonts w:ascii="Times New Roman" w:hAnsi="Times New Roman"/>
              </w:rPr>
              <w:t xml:space="preserve"> Development Cost (Cost of Performance) + Cost of Appraisal (Cost of Testing) + Cost of Non-Conformance (Rework). The Cost of Preventions (Process improvement’s plan, review, certification, and training cost) is not included in it and is kept separated and is not the part of this research.</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w:t>
            </w:r>
          </w:p>
        </w:tc>
        <w:tc>
          <w:tcPr>
            <w:tcW w:w="2939" w:type="dxa"/>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ProductUnitPriceInDollar_Planned</w:t>
            </w:r>
            <w:proofErr w:type="spellEnd"/>
            <w:r w:rsidRPr="00560BC4">
              <w:rPr>
                <w:rFonts w:ascii="Times New Roman" w:hAnsi="Times New Roman"/>
              </w:rPr>
              <w:t xml:space="preserve"> (P)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Planned unit price of product in market and is calculated as = </w:t>
            </w:r>
            <w:proofErr w:type="spellStart"/>
            <w:r w:rsidRPr="00560BC4">
              <w:rPr>
                <w:rFonts w:ascii="Times New Roman" w:hAnsi="Times New Roman"/>
              </w:rPr>
              <w:t>Effort_Planned</w:t>
            </w:r>
            <w:proofErr w:type="spellEnd"/>
            <w:r w:rsidRPr="00560BC4">
              <w:rPr>
                <w:rFonts w:ascii="Times New Roman" w:hAnsi="Times New Roman"/>
              </w:rPr>
              <w:t xml:space="preserve"> * </w:t>
            </w:r>
            <w:proofErr w:type="spellStart"/>
            <w:r w:rsidRPr="00560BC4">
              <w:rPr>
                <w:rFonts w:ascii="Times New Roman" w:hAnsi="Times New Roman"/>
              </w:rPr>
              <w:t>AvgSalaryDrawnByTechPersonnelPerHour</w:t>
            </w:r>
            <w:proofErr w:type="spellEnd"/>
            <w:r w:rsidRPr="00560BC4">
              <w:rPr>
                <w:rFonts w:ascii="Times New Roman" w:hAnsi="Times New Roman"/>
              </w:rPr>
              <w:t xml:space="preserve">.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ProductUnitPriceInDollor_Variance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gap in Actual and Predicted values, and is calculated as = (A - P)/A.</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4</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AvgSalaryDrawnByTechPersonnelPerHour</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An average salary of a technical staff in </w:t>
            </w:r>
            <w:proofErr w:type="spellStart"/>
            <w:r w:rsidRPr="00560BC4">
              <w:rPr>
                <w:rFonts w:ascii="Times New Roman" w:hAnsi="Times New Roman"/>
              </w:rPr>
              <w:t>dollors</w:t>
            </w:r>
            <w:proofErr w:type="spellEnd"/>
            <w:r w:rsidRPr="00560BC4">
              <w:rPr>
                <w:rFonts w:ascii="Times New Roman" w:hAnsi="Times New Roman"/>
              </w:rPr>
              <w:t>.</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Project Effort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5</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MenPower_Actual</w:t>
            </w:r>
            <w:proofErr w:type="spellEnd"/>
            <w:r w:rsidRPr="00560BC4">
              <w:rPr>
                <w:rFonts w:ascii="Times New Roman" w:hAnsi="Times New Roman"/>
              </w:rPr>
              <w:t xml:space="preserve"> (A)</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Actual number of technical staff involved in Project. </w:t>
            </w:r>
            <w:proofErr w:type="spellStart"/>
            <w:r w:rsidRPr="00560BC4">
              <w:rPr>
                <w:rFonts w:ascii="Times New Roman" w:hAnsi="Times New Roman"/>
              </w:rPr>
              <w:t>MenPower_Actual</w:t>
            </w:r>
            <w:proofErr w:type="spellEnd"/>
            <w:r w:rsidRPr="00560BC4">
              <w:rPr>
                <w:rFonts w:ascii="Times New Roman" w:hAnsi="Times New Roman"/>
              </w:rPr>
              <w:t xml:space="preserve"> is also known as Average Loading.</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6</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MenPower_Planned</w:t>
            </w:r>
            <w:proofErr w:type="spellEnd"/>
            <w:r w:rsidRPr="00560BC4">
              <w:rPr>
                <w:rFonts w:ascii="Times New Roman" w:hAnsi="Times New Roman"/>
              </w:rPr>
              <w:t xml:space="preserve"> (P)</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Planned value for </w:t>
            </w:r>
            <w:proofErr w:type="spellStart"/>
            <w:r w:rsidRPr="00560BC4">
              <w:rPr>
                <w:rFonts w:ascii="Times New Roman" w:hAnsi="Times New Roman"/>
              </w:rPr>
              <w:t>Menpower</w:t>
            </w:r>
            <w:proofErr w:type="spellEnd"/>
            <w:r w:rsidRPr="00560BC4">
              <w:rPr>
                <w:rFonts w:ascii="Times New Roman" w:hAnsi="Times New Roman"/>
              </w:rPr>
              <w:t>.</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7</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MenPower_Variance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gap in Actual and Predicted values, and is calculated as = (A - P)/A.</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lastRenderedPageBreak/>
              <w:t>8</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Effort_Actual</w:t>
            </w:r>
            <w:proofErr w:type="spellEnd"/>
            <w:r w:rsidRPr="00560BC4">
              <w:rPr>
                <w:rFonts w:ascii="Times New Roman" w:hAnsi="Times New Roman"/>
              </w:rPr>
              <w:t xml:space="preserve"> (A)</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actual Effort in Hours spent on project-related activities during the life cycle of the project including Requirements engineering,  Developer's time spent, Project Management time, Project Support time e.g. (configuration management and quality assurance), and Training time spent over individual project</w:t>
            </w:r>
          </w:p>
        </w:tc>
      </w:tr>
      <w:tr w:rsidR="0064737B" w:rsidRPr="00560BC4" w:rsidTr="0064737B">
        <w:trPr>
          <w:trHeight w:val="188"/>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9</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Effort_Planned</w:t>
            </w:r>
            <w:proofErr w:type="spellEnd"/>
            <w:r w:rsidRPr="00560BC4">
              <w:rPr>
                <w:rFonts w:ascii="Times New Roman" w:hAnsi="Times New Roman"/>
              </w:rPr>
              <w:t xml:space="preserve"> (P)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Planned value for Effort.</w:t>
            </w:r>
          </w:p>
        </w:tc>
      </w:tr>
      <w:tr w:rsidR="0064737B" w:rsidRPr="00560BC4" w:rsidTr="0064737B">
        <w:trPr>
          <w:trHeight w:val="440"/>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10</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Effort_Variance</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gap in Actual and Predicted values, and is calculated as = (A - P)/A.</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11</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PercentEffortSavedThroughReuse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From the </w:t>
            </w:r>
            <w:proofErr w:type="spellStart"/>
            <w:r w:rsidRPr="00560BC4">
              <w:rPr>
                <w:rFonts w:ascii="Times New Roman" w:hAnsi="Times New Roman"/>
              </w:rPr>
              <w:t>Effort_Actual</w:t>
            </w:r>
            <w:proofErr w:type="spellEnd"/>
            <w:r w:rsidRPr="00560BC4">
              <w:rPr>
                <w:rFonts w:ascii="Times New Roman" w:hAnsi="Times New Roman"/>
              </w:rPr>
              <w:t>, it is the percentage of Effort saved through the Reuse of work products.</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Effort Distribution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12</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PercentageOfEffortSpentInTraining</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From the </w:t>
            </w:r>
            <w:proofErr w:type="spellStart"/>
            <w:r w:rsidRPr="00560BC4">
              <w:rPr>
                <w:rFonts w:ascii="Times New Roman" w:hAnsi="Times New Roman"/>
              </w:rPr>
              <w:t>Effort_Actual</w:t>
            </w:r>
            <w:proofErr w:type="spellEnd"/>
            <w:r w:rsidRPr="00560BC4">
              <w:rPr>
                <w:rFonts w:ascii="Times New Roman" w:hAnsi="Times New Roman"/>
              </w:rPr>
              <w:t>, it is the percentage of Effort spent in Training.</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13</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PercentageOfEffortSpentInTesting</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From the </w:t>
            </w:r>
            <w:proofErr w:type="spellStart"/>
            <w:r w:rsidRPr="00560BC4">
              <w:rPr>
                <w:rFonts w:ascii="Times New Roman" w:hAnsi="Times New Roman"/>
              </w:rPr>
              <w:t>Effort_Actual</w:t>
            </w:r>
            <w:proofErr w:type="spellEnd"/>
            <w:r w:rsidRPr="00560BC4">
              <w:rPr>
                <w:rFonts w:ascii="Times New Roman" w:hAnsi="Times New Roman"/>
              </w:rPr>
              <w:t>, it is the percentage of Effort spent in Testing.</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14</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PercentageOfEffortSpentInConductingPeer</w:t>
            </w:r>
            <w:proofErr w:type="spellEnd"/>
            <w:r w:rsidRPr="00560BC4">
              <w:rPr>
                <w:rFonts w:ascii="Times New Roman" w:hAnsi="Times New Roman"/>
              </w:rPr>
              <w:t xml:space="preserve"> Reviews</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From the </w:t>
            </w:r>
            <w:proofErr w:type="spellStart"/>
            <w:r w:rsidRPr="00560BC4">
              <w:rPr>
                <w:rFonts w:ascii="Times New Roman" w:hAnsi="Times New Roman"/>
              </w:rPr>
              <w:t>Effort_Actual</w:t>
            </w:r>
            <w:proofErr w:type="spellEnd"/>
            <w:r w:rsidRPr="00560BC4">
              <w:rPr>
                <w:rFonts w:ascii="Times New Roman" w:hAnsi="Times New Roman"/>
              </w:rPr>
              <w:t>, it is the percentage of Effort spent in conducting Peer Reviews.</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15</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PercentageOfEffortSpentInTeamMeetings</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From the </w:t>
            </w:r>
            <w:proofErr w:type="spellStart"/>
            <w:r w:rsidRPr="00560BC4">
              <w:rPr>
                <w:rFonts w:ascii="Times New Roman" w:hAnsi="Times New Roman"/>
              </w:rPr>
              <w:t>Effort_Actual</w:t>
            </w:r>
            <w:proofErr w:type="spellEnd"/>
            <w:r w:rsidRPr="00560BC4">
              <w:rPr>
                <w:rFonts w:ascii="Times New Roman" w:hAnsi="Times New Roman"/>
              </w:rPr>
              <w:t>, it is the percentage of Effort spent in Team Meetings.</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16</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PercentEffortSpentInRework</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From the </w:t>
            </w:r>
            <w:proofErr w:type="spellStart"/>
            <w:r w:rsidRPr="00560BC4">
              <w:rPr>
                <w:rFonts w:ascii="Times New Roman" w:hAnsi="Times New Roman"/>
              </w:rPr>
              <w:t>Effort_Actual</w:t>
            </w:r>
            <w:proofErr w:type="spellEnd"/>
            <w:r w:rsidRPr="00560BC4">
              <w:rPr>
                <w:rFonts w:ascii="Times New Roman" w:hAnsi="Times New Roman"/>
              </w:rPr>
              <w:t>, it is the percentage of Effort spent in Rework, which is usually done for defect removal activities like Review and Inspection.</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Productivity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17</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Productivity</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work productivity which is a ratio of Output produced in terms LOC with Effort.</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Quality</w:t>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18</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PreRelDefectsIdentifiedInSRS</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number of defects identified in System Requirement Specification document (SRS) after SRS is signed off, identified internally.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19</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PreRelDefectsRemovedFromIdentifiedInSRS</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shows the number of defects removed from the identified ones in SRS.</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20</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PreRelDefectsIdentifiedInCode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number of defects identified </w:t>
            </w:r>
            <w:proofErr w:type="spellStart"/>
            <w:r w:rsidRPr="00560BC4">
              <w:rPr>
                <w:rFonts w:ascii="Times New Roman" w:hAnsi="Times New Roman"/>
              </w:rPr>
              <w:t>inhouse</w:t>
            </w:r>
            <w:proofErr w:type="spellEnd"/>
            <w:r w:rsidRPr="00560BC4">
              <w:rPr>
                <w:rFonts w:ascii="Times New Roman" w:hAnsi="Times New Roman"/>
              </w:rPr>
              <w:t xml:space="preserve"> in code.</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21</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PreRelDefectsRemovedFromIdentifiedInCode</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number of defects removed from the identified ones in code.</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22</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PreRelDefectsIdentifiedInArchitectureAndDesign</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number of defects identified </w:t>
            </w:r>
            <w:proofErr w:type="spellStart"/>
            <w:r w:rsidRPr="00560BC4">
              <w:rPr>
                <w:rFonts w:ascii="Times New Roman" w:hAnsi="Times New Roman"/>
              </w:rPr>
              <w:t>inhouse</w:t>
            </w:r>
            <w:proofErr w:type="spellEnd"/>
            <w:r w:rsidRPr="00560BC4">
              <w:rPr>
                <w:rFonts w:ascii="Times New Roman" w:hAnsi="Times New Roman"/>
              </w:rPr>
              <w:t xml:space="preserve"> in design and architecture.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23</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PreRelDefectsRemovedFromIdentifiedInArchDesig</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number of defects removed from the identified ones in architecture and design.</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24</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DefectDensity_PreRelDefectToSizeRatio</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ratio of total product defects in its code with code size.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25</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PostRelDefectsIdentifiedInCode</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number of defects reported by customers.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26</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PostRelDefectsIdentifiedInDocumentation</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number of Post-Release Defects in Documentation Identified by Customer.</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27</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DefectDetectionPercentage_PreReltoPostRelRatio</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ratio of (Pre-Release Code Defects found during </w:t>
            </w:r>
            <w:proofErr w:type="spellStart"/>
            <w:r w:rsidRPr="00560BC4">
              <w:rPr>
                <w:rFonts w:ascii="Times New Roman" w:hAnsi="Times New Roman"/>
              </w:rPr>
              <w:t>QA,Testing</w:t>
            </w:r>
            <w:proofErr w:type="spellEnd"/>
            <w:r w:rsidRPr="00560BC4">
              <w:rPr>
                <w:rFonts w:ascii="Times New Roman" w:hAnsi="Times New Roman"/>
              </w:rPr>
              <w:t xml:space="preserve"> stage) with (</w:t>
            </w:r>
            <w:proofErr w:type="spellStart"/>
            <w:r w:rsidRPr="00560BC4">
              <w:rPr>
                <w:rFonts w:ascii="Times New Roman" w:hAnsi="Times New Roman"/>
              </w:rPr>
              <w:t>Pre+Post</w:t>
            </w:r>
            <w:proofErr w:type="spellEnd"/>
            <w:r w:rsidRPr="00560BC4">
              <w:rPr>
                <w:rFonts w:ascii="Times New Roman" w:hAnsi="Times New Roman"/>
              </w:rPr>
              <w:t xml:space="preserve"> release defects found by customer after release)</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28</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DefectRemovalEffectiveness_PreRelDefFoundinCodeSRSArchPerFromPreandPost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ratio between  (Prerelease defects Found in Code + SRS + Architecture * 100) and (defects Found in Code + SRS + Architecture  + </w:t>
            </w:r>
            <w:proofErr w:type="spellStart"/>
            <w:r w:rsidRPr="00560BC4">
              <w:rPr>
                <w:rFonts w:ascii="Times New Roman" w:hAnsi="Times New Roman"/>
              </w:rPr>
              <w:t>Postrelease</w:t>
            </w:r>
            <w:proofErr w:type="spellEnd"/>
            <w:r w:rsidRPr="00560BC4">
              <w:rPr>
                <w:rFonts w:ascii="Times New Roman" w:hAnsi="Times New Roman"/>
              </w:rPr>
              <w:t xml:space="preserve"> defects Found in Code + SRS + Architecture)</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lastRenderedPageBreak/>
              <w:t>29</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Defect Removal Efficiency _</w:t>
            </w:r>
            <w:proofErr w:type="spellStart"/>
            <w:r w:rsidRPr="00560BC4">
              <w:rPr>
                <w:rFonts w:ascii="Times New Roman" w:hAnsi="Times New Roman"/>
              </w:rPr>
              <w:t>PreRelDefResolvedRatioPreRelDefFound</w:t>
            </w:r>
            <w:proofErr w:type="spellEnd"/>
            <w:r w:rsidRPr="00560BC4">
              <w:rPr>
                <w:rFonts w:ascii="Times New Roman" w:hAnsi="Times New Roman"/>
              </w:rPr>
              <w:t xml:space="preserve"> </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ratio between  (Prerelease defects Resolved) and (Prerelease defects Found)</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30</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Number of Review changes in Project Plan</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Revisions in Project Plan document throughout the project lifecycle.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31</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Number of Functional Requirements Demanded by Customer</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number of Functional Requirements demanded by the customer, signed off in SRS.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32</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Number of Functional Requirements Delivered to Customer</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number of Functional Requirements delivered to customer out of the total signed off requirements in SRS.</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33</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Technology Suitability Requirement Completion Ratio</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measure of Product compliance, and is a ratio between Number of Functional Requirements Demanded and Number of Functional Requirements Delivered.</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Product Stability</w:t>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34</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Number Of Functional </w:t>
            </w:r>
            <w:proofErr w:type="spellStart"/>
            <w:r w:rsidRPr="00560BC4">
              <w:rPr>
                <w:rFonts w:ascii="Times New Roman" w:hAnsi="Times New Roman"/>
              </w:rPr>
              <w:t>Reqs</w:t>
            </w:r>
            <w:proofErr w:type="spellEnd"/>
            <w:r w:rsidRPr="00560BC4">
              <w:rPr>
                <w:rFonts w:ascii="Times New Roman" w:hAnsi="Times New Roman"/>
              </w:rPr>
              <w:t xml:space="preserve"> Changed After SRS Sign off</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The Number of Functional Requirements Added or Deleted after once SRS get signed off.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35</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ReqVolatilityFuncReqChangedToDemandedRatio</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Ratio of Total Requirements Changed and Actual Number of Requirements.</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Customer Satisfaction</w:t>
            </w:r>
          </w:p>
        </w:tc>
        <w:tc>
          <w:tcPr>
            <w:tcW w:w="6030" w:type="dxa"/>
            <w:shd w:val="clear" w:color="auto" w:fill="F2F2F2"/>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ab/>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36</w:t>
            </w:r>
          </w:p>
        </w:tc>
        <w:tc>
          <w:tcPr>
            <w:tcW w:w="2939" w:type="dxa"/>
            <w:vAlign w:val="center"/>
          </w:tcPr>
          <w:p w:rsidR="0064737B" w:rsidRPr="00560BC4" w:rsidRDefault="0064737B" w:rsidP="004D13F4">
            <w:pPr>
              <w:pStyle w:val="MDPI42tablebody"/>
              <w:jc w:val="left"/>
              <w:rPr>
                <w:rFonts w:ascii="Times New Roman" w:hAnsi="Times New Roman"/>
              </w:rPr>
            </w:pPr>
            <w:proofErr w:type="spellStart"/>
            <w:r w:rsidRPr="00560BC4">
              <w:rPr>
                <w:rFonts w:ascii="Times New Roman" w:hAnsi="Times New Roman"/>
              </w:rPr>
              <w:t>PercentageOfCustomerSupportQueriesResolved</w:t>
            </w:r>
            <w:proofErr w:type="spellEnd"/>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The Percentage of Customer Support Queries resolved without extra charges.</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Usability</w:t>
            </w:r>
          </w:p>
        </w:tc>
        <w:tc>
          <w:tcPr>
            <w:tcW w:w="6030" w:type="dxa"/>
            <w:shd w:val="clear" w:color="auto" w:fill="F2F2F2"/>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ab/>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37</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Operator Error</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Errors produced by the client while using the developed product.</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39</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Percent Comfortability of operator in Operating Computer</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Rated value of percent comfortability in developed product in between 0% to 100%.</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40</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Reliability MTBF</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Mean Time To Failure + Mean Time To Restore.</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41</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Risks Evaluated During Project Life Cycle</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Frequency of potential risk evaluated during project lifecycle. </w:t>
            </w: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42</w:t>
            </w:r>
          </w:p>
        </w:tc>
        <w:tc>
          <w:tcPr>
            <w:tcW w:w="8969" w:type="dxa"/>
            <w:gridSpan w:val="2"/>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SECTION B: Measurement Type and Scale (Subjective/ Qualitative)</w:t>
            </w:r>
          </w:p>
        </w:tc>
      </w:tr>
      <w:tr w:rsidR="0064737B" w:rsidRPr="00560BC4" w:rsidTr="0064737B">
        <w:trPr>
          <w:jc w:val="center"/>
        </w:trPr>
        <w:tc>
          <w:tcPr>
            <w:tcW w:w="751" w:type="dxa"/>
            <w:shd w:val="clear" w:color="auto" w:fill="F2F2F2"/>
            <w:vAlign w:val="center"/>
          </w:tcPr>
          <w:p w:rsidR="0064737B" w:rsidRPr="00560BC4" w:rsidRDefault="0064737B" w:rsidP="004D13F4">
            <w:pPr>
              <w:pStyle w:val="MDPI42tablebody"/>
              <w:jc w:val="left"/>
              <w:rPr>
                <w:rFonts w:ascii="Times New Roman" w:hAnsi="Times New Roman"/>
                <w:b/>
              </w:rPr>
            </w:pPr>
          </w:p>
        </w:tc>
        <w:tc>
          <w:tcPr>
            <w:tcW w:w="2939" w:type="dxa"/>
            <w:shd w:val="clear" w:color="auto" w:fill="F2F2F2"/>
            <w:vAlign w:val="center"/>
          </w:tcPr>
          <w:p w:rsidR="0064737B" w:rsidRPr="00560BC4" w:rsidRDefault="0064737B" w:rsidP="004D13F4">
            <w:pPr>
              <w:pStyle w:val="MDPI42tablebody"/>
              <w:jc w:val="left"/>
              <w:rPr>
                <w:rFonts w:ascii="Times New Roman" w:hAnsi="Times New Roman"/>
                <w:b/>
              </w:rPr>
            </w:pPr>
            <w:r w:rsidRPr="00560BC4">
              <w:rPr>
                <w:rFonts w:ascii="Times New Roman" w:hAnsi="Times New Roman"/>
                <w:b/>
              </w:rPr>
              <w:t xml:space="preserve">SDPI or PMAT </w:t>
            </w:r>
            <w:r w:rsidRPr="00560BC4">
              <w:rPr>
                <w:rFonts w:ascii="Times New Roman" w:hAnsi="Times New Roman"/>
              </w:rPr>
              <w:fldChar w:fldCharType="begin" w:fldLock="1"/>
            </w:r>
            <w:r w:rsidRPr="00560BC4">
              <w:rPr>
                <w:rFonts w:ascii="Times New Roman" w:hAnsi="Times New Roman"/>
              </w:rPr>
              <w:instrText>ADDIN CSL_CITATION {"citationItems":[{"id":"ITEM-1","itemData":{"author":[{"dropping-particle":"","family":"Boehm","given":"BW","non-dropping-particle":"","parse-names":false,"suffix":""},{"dropping-particle":"","family":"Abts","given":"C","non-dropping-particle":"","parse-names":false,"suffix":""},{"dropping-particle":"","family":"Brown","given":"AW","non-dropping-particle":"","parse-names":false,"suffix":""},{"dropping-particle":"","family":"Chulani","given":"S","non-dropping-particle":"","parse-names":false,"suffix":""},{"dropping-particle":"","family":"Clark","given":"BK","non-dropping-particle":"","parse-names":false,"suffix":""}],"id":"ITEM-1","issued":{"date-parts":[["2009"]]},"title":"Software cost estimation with COCOMO II","type":"article-journal"},"uris":["http://www.mendeley.com/documents/?uuid=5e151b77-93fe-3964-9729-db0afc5d3a8d"]}],"mendeley":{"formattedCitation":"(Boehm et al., 2009)","plainTextFormattedCitation":"(Boehm et al., 2009)","previouslyFormattedCitation":"(Boehm et al., 2009)"},"properties":{"noteIndex":0},"schema":"https://github.com/citation-style-language/schema/raw/master/csl-citation.json"}</w:instrText>
            </w:r>
            <w:r w:rsidRPr="00560BC4">
              <w:rPr>
                <w:rFonts w:ascii="Times New Roman" w:hAnsi="Times New Roman"/>
              </w:rPr>
              <w:fldChar w:fldCharType="separate"/>
            </w:r>
            <w:r w:rsidRPr="00560BC4">
              <w:rPr>
                <w:rFonts w:ascii="Times New Roman" w:hAnsi="Times New Roman"/>
                <w:noProof/>
              </w:rPr>
              <w:t>(Boehm et al., 2009)</w:t>
            </w:r>
            <w:r w:rsidRPr="00560BC4">
              <w:rPr>
                <w:rFonts w:ascii="Times New Roman" w:hAnsi="Times New Roman"/>
              </w:rPr>
              <w:fldChar w:fldCharType="end"/>
            </w:r>
          </w:p>
        </w:tc>
        <w:tc>
          <w:tcPr>
            <w:tcW w:w="6030" w:type="dxa"/>
            <w:shd w:val="clear" w:color="auto" w:fill="F2F2F2"/>
          </w:tcPr>
          <w:p w:rsidR="0064737B" w:rsidRPr="00560BC4" w:rsidRDefault="0064737B" w:rsidP="004D13F4">
            <w:pPr>
              <w:pStyle w:val="MDPI42tablebody"/>
              <w:jc w:val="left"/>
              <w:rPr>
                <w:rFonts w:ascii="Times New Roman" w:hAnsi="Times New Roman"/>
                <w:b/>
              </w:rPr>
            </w:pPr>
          </w:p>
        </w:tc>
      </w:tr>
      <w:tr w:rsidR="0064737B" w:rsidRPr="00560BC4" w:rsidTr="0064737B">
        <w:trPr>
          <w:jc w:val="center"/>
        </w:trPr>
        <w:tc>
          <w:tcPr>
            <w:tcW w:w="751"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43</w:t>
            </w: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Process Maturity Ranking</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It is represented as PMAT in COCOMO model manuals and SDPI in this study. Detailed definition of which could be seen in Table 4.</w:t>
            </w:r>
          </w:p>
        </w:tc>
      </w:tr>
      <w:tr w:rsidR="0064737B" w:rsidRPr="00560BC4" w:rsidTr="0064737B">
        <w:trPr>
          <w:trHeight w:val="310"/>
          <w:jc w:val="center"/>
        </w:trPr>
        <w:tc>
          <w:tcPr>
            <w:tcW w:w="751" w:type="dxa"/>
            <w:vAlign w:val="center"/>
          </w:tcPr>
          <w:p w:rsidR="0064737B" w:rsidRPr="00560BC4" w:rsidRDefault="0064737B" w:rsidP="004D13F4">
            <w:pPr>
              <w:pStyle w:val="MDPI42tablebody"/>
              <w:jc w:val="left"/>
              <w:rPr>
                <w:rFonts w:ascii="Times New Roman" w:hAnsi="Times New Roman"/>
              </w:rPr>
            </w:pPr>
          </w:p>
        </w:tc>
        <w:tc>
          <w:tcPr>
            <w:tcW w:w="2939" w:type="dxa"/>
            <w:vAlign w:val="center"/>
          </w:tcPr>
          <w:p w:rsidR="0064737B" w:rsidRPr="00560BC4" w:rsidRDefault="0064737B" w:rsidP="004D13F4">
            <w:pPr>
              <w:pStyle w:val="MDPI42tablebody"/>
              <w:jc w:val="left"/>
              <w:rPr>
                <w:rFonts w:ascii="Times New Roman" w:hAnsi="Times New Roman"/>
              </w:rPr>
            </w:pPr>
            <w:r w:rsidRPr="00560BC4">
              <w:rPr>
                <w:rFonts w:ascii="Times New Roman" w:hAnsi="Times New Roman"/>
              </w:rPr>
              <w:t>COCOMO II Questionnaire, Cost Drivers</w:t>
            </w:r>
          </w:p>
        </w:tc>
        <w:tc>
          <w:tcPr>
            <w:tcW w:w="6030" w:type="dxa"/>
          </w:tcPr>
          <w:p w:rsidR="0064737B" w:rsidRPr="00560BC4" w:rsidRDefault="0064737B" w:rsidP="004D13F4">
            <w:pPr>
              <w:pStyle w:val="MDPI42tablebody"/>
              <w:jc w:val="left"/>
              <w:rPr>
                <w:rFonts w:ascii="Times New Roman" w:hAnsi="Times New Roman"/>
              </w:rPr>
            </w:pPr>
            <w:r w:rsidRPr="00560BC4">
              <w:rPr>
                <w:rFonts w:ascii="Times New Roman" w:hAnsi="Times New Roman"/>
              </w:rPr>
              <w:t xml:space="preserve">It comprises of 22 factors under the categories of personnel, product, platform, and project etc. For details check the </w:t>
            </w:r>
            <w:r w:rsidRPr="00560BC4">
              <w:rPr>
                <w:rFonts w:ascii="Times New Roman" w:hAnsi="Times New Roman"/>
                <w:lang w:eastAsia="en-US"/>
              </w:rPr>
              <w:t>reference</w:t>
            </w:r>
            <w:r w:rsidRPr="00560BC4">
              <w:rPr>
                <w:rFonts w:ascii="Times New Roman" w:hAnsi="Times New Roman"/>
              </w:rPr>
              <w:t>.</w:t>
            </w:r>
          </w:p>
        </w:tc>
      </w:tr>
      <w:bookmarkEnd w:id="0"/>
    </w:tbl>
    <w:p w:rsidR="00582296" w:rsidRDefault="00582296"/>
    <w:sectPr w:rsidR="0058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12"/>
    <w:rsid w:val="000F49A7"/>
    <w:rsid w:val="004A1612"/>
    <w:rsid w:val="00582296"/>
    <w:rsid w:val="0064737B"/>
    <w:rsid w:val="00853EF6"/>
    <w:rsid w:val="00A80EC3"/>
    <w:rsid w:val="00AA24C1"/>
    <w:rsid w:val="00D538F9"/>
    <w:rsid w:val="00F7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32EAE-7253-4D57-B522-7FDD20BF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4C1"/>
    <w:pPr>
      <w:spacing w:after="0" w:line="260" w:lineRule="atLeast"/>
      <w:jc w:val="both"/>
    </w:pPr>
    <w:rPr>
      <w:rFonts w:ascii="Palatino Linotype" w:eastAsia="SimSun" w:hAnsi="Palatino Linotype" w:cs="Times New Roman"/>
      <w:noProof/>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2tablebody">
    <w:name w:val="MDPI_4.2_table_body"/>
    <w:qFormat/>
    <w:rsid w:val="00AA24C1"/>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table" w:styleId="TableProfessional">
    <w:name w:val="Table Professional"/>
    <w:basedOn w:val="TableNormal"/>
    <w:rsid w:val="00AA24C1"/>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
    <w:name w:val="Body Text"/>
    <w:link w:val="BodyTextChar"/>
    <w:rsid w:val="0064737B"/>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64737B"/>
    <w:rPr>
      <w:rFonts w:ascii="Palatino Linotype" w:eastAsia="SimSun" w:hAnsi="Palatino Linotype"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Umema Hani</dc:creator>
  <cp:keywords/>
  <dc:description/>
  <cp:lastModifiedBy>Umema Hani</cp:lastModifiedBy>
  <cp:revision>3</cp:revision>
  <dcterms:created xsi:type="dcterms:W3CDTF">2021-12-05T13:49:00Z</dcterms:created>
  <dcterms:modified xsi:type="dcterms:W3CDTF">2021-12-05T13:50:00Z</dcterms:modified>
</cp:coreProperties>
</file>