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47F6" w:rsidRDefault="00000000">
      <w:pPr>
        <w:spacing w:after="160" w:line="259" w:lineRule="auto"/>
      </w:pPr>
      <w:r>
        <w:rPr>
          <w:b/>
        </w:rPr>
        <w:t>Supplementary Information </w:t>
      </w:r>
      <w:r>
        <w:t> </w:t>
      </w:r>
    </w:p>
    <w:p w14:paraId="00000002" w14:textId="554A9A03" w:rsidR="00BA47F6" w:rsidRDefault="00000000">
      <w:pPr>
        <w:spacing w:after="0" w:line="240" w:lineRule="auto"/>
      </w:pPr>
      <w:r>
        <w:t>Table S1. Results from logistic regression model examining which variables best predicted sea cucumber mortality</w:t>
      </w:r>
    </w:p>
    <w:p w14:paraId="00000003" w14:textId="77777777" w:rsidR="00BA47F6" w:rsidRDefault="00BA47F6">
      <w:pPr>
        <w:spacing w:after="0" w:line="240" w:lineRule="auto"/>
      </w:pPr>
    </w:p>
    <w:p w14:paraId="00000004" w14:textId="77777777" w:rsidR="00BA47F6" w:rsidRDefault="00BA47F6">
      <w:pPr>
        <w:spacing w:after="0" w:line="240" w:lineRule="auto"/>
        <w:rPr>
          <w:b/>
        </w:rPr>
      </w:pPr>
    </w:p>
    <w:tbl>
      <w:tblPr>
        <w:tblStyle w:val="a"/>
        <w:tblW w:w="8918" w:type="dxa"/>
        <w:tblLayout w:type="fixed"/>
        <w:tblLook w:val="0400" w:firstRow="0" w:lastRow="0" w:firstColumn="0" w:lastColumn="0" w:noHBand="0" w:noVBand="1"/>
      </w:tblPr>
      <w:tblGrid>
        <w:gridCol w:w="2528"/>
        <w:gridCol w:w="1800"/>
        <w:gridCol w:w="1620"/>
        <w:gridCol w:w="1260"/>
        <w:gridCol w:w="1710"/>
      </w:tblGrid>
      <w:tr w:rsidR="00BA47F6" w14:paraId="72652455" w14:textId="77777777">
        <w:tc>
          <w:tcPr>
            <w:tcW w:w="2528" w:type="dxa"/>
            <w:tcBorders>
              <w:top w:val="single" w:sz="4" w:space="0" w:color="000000"/>
              <w:bottom w:val="single" w:sz="4" w:space="0" w:color="000000"/>
            </w:tcBorders>
            <w:shd w:val="clear" w:color="auto" w:fill="auto"/>
          </w:tcPr>
          <w:p w14:paraId="00000005" w14:textId="77777777" w:rsidR="00BA47F6" w:rsidRDefault="00000000">
            <w:pPr>
              <w:spacing w:before="120" w:line="240" w:lineRule="auto"/>
              <w:rPr>
                <w:rFonts w:ascii="Times New Roman" w:eastAsia="Times New Roman" w:hAnsi="Times New Roman" w:cs="Times New Roman"/>
              </w:rPr>
            </w:pPr>
            <w:r>
              <w:t>Variable  </w:t>
            </w:r>
          </w:p>
        </w:tc>
        <w:tc>
          <w:tcPr>
            <w:tcW w:w="1800" w:type="dxa"/>
            <w:tcBorders>
              <w:top w:val="single" w:sz="4" w:space="0" w:color="000000"/>
              <w:bottom w:val="single" w:sz="4" w:space="0" w:color="000000"/>
            </w:tcBorders>
            <w:shd w:val="clear" w:color="auto" w:fill="auto"/>
          </w:tcPr>
          <w:p w14:paraId="00000006" w14:textId="77777777" w:rsidR="00BA47F6" w:rsidRDefault="00000000">
            <w:pPr>
              <w:spacing w:before="120" w:line="240" w:lineRule="auto"/>
              <w:rPr>
                <w:rFonts w:ascii="Times New Roman" w:eastAsia="Times New Roman" w:hAnsi="Times New Roman" w:cs="Times New Roman"/>
              </w:rPr>
            </w:pPr>
            <w:r>
              <w:t>Coefficient  </w:t>
            </w:r>
          </w:p>
        </w:tc>
        <w:tc>
          <w:tcPr>
            <w:tcW w:w="1620" w:type="dxa"/>
            <w:tcBorders>
              <w:top w:val="single" w:sz="4" w:space="0" w:color="000000"/>
              <w:bottom w:val="single" w:sz="4" w:space="0" w:color="000000"/>
            </w:tcBorders>
            <w:shd w:val="clear" w:color="auto" w:fill="auto"/>
          </w:tcPr>
          <w:p w14:paraId="00000007" w14:textId="77777777" w:rsidR="00BA47F6" w:rsidRDefault="00000000">
            <w:pPr>
              <w:spacing w:before="120" w:line="240" w:lineRule="auto"/>
              <w:rPr>
                <w:rFonts w:ascii="Times New Roman" w:eastAsia="Times New Roman" w:hAnsi="Times New Roman" w:cs="Times New Roman"/>
              </w:rPr>
            </w:pPr>
            <w:r>
              <w:t>Std. Error </w:t>
            </w:r>
          </w:p>
        </w:tc>
        <w:tc>
          <w:tcPr>
            <w:tcW w:w="1260" w:type="dxa"/>
            <w:tcBorders>
              <w:top w:val="single" w:sz="4" w:space="0" w:color="000000"/>
              <w:bottom w:val="single" w:sz="4" w:space="0" w:color="000000"/>
            </w:tcBorders>
            <w:shd w:val="clear" w:color="auto" w:fill="auto"/>
          </w:tcPr>
          <w:p w14:paraId="00000008" w14:textId="77777777" w:rsidR="00BA47F6" w:rsidRDefault="00000000">
            <w:pPr>
              <w:spacing w:before="120" w:line="240" w:lineRule="auto"/>
              <w:rPr>
                <w:rFonts w:ascii="Times New Roman" w:eastAsia="Times New Roman" w:hAnsi="Times New Roman" w:cs="Times New Roman"/>
              </w:rPr>
            </w:pPr>
            <w:r>
              <w:t>T </w:t>
            </w:r>
          </w:p>
        </w:tc>
        <w:tc>
          <w:tcPr>
            <w:tcW w:w="1710" w:type="dxa"/>
            <w:tcBorders>
              <w:top w:val="single" w:sz="4" w:space="0" w:color="000000"/>
              <w:bottom w:val="single" w:sz="4" w:space="0" w:color="000000"/>
            </w:tcBorders>
            <w:shd w:val="clear" w:color="auto" w:fill="auto"/>
          </w:tcPr>
          <w:p w14:paraId="00000009" w14:textId="77777777" w:rsidR="00BA47F6" w:rsidRDefault="00000000">
            <w:pPr>
              <w:spacing w:before="120" w:line="240" w:lineRule="auto"/>
              <w:rPr>
                <w:rFonts w:ascii="Times New Roman" w:eastAsia="Times New Roman" w:hAnsi="Times New Roman" w:cs="Times New Roman"/>
              </w:rPr>
            </w:pPr>
            <w:r>
              <w:t>p</w:t>
            </w:r>
          </w:p>
        </w:tc>
      </w:tr>
      <w:tr w:rsidR="00BA47F6" w14:paraId="2D2FCC5D" w14:textId="77777777">
        <w:tc>
          <w:tcPr>
            <w:tcW w:w="2528" w:type="dxa"/>
            <w:tcBorders>
              <w:top w:val="single" w:sz="4" w:space="0" w:color="000000"/>
            </w:tcBorders>
            <w:shd w:val="clear" w:color="auto" w:fill="auto"/>
          </w:tcPr>
          <w:p w14:paraId="0000000A" w14:textId="77777777" w:rsidR="00BA47F6" w:rsidRDefault="00000000">
            <w:pPr>
              <w:spacing w:before="120" w:line="240" w:lineRule="auto"/>
            </w:pPr>
            <w:r>
              <w:t>(intercept)</w:t>
            </w:r>
          </w:p>
        </w:tc>
        <w:tc>
          <w:tcPr>
            <w:tcW w:w="1800" w:type="dxa"/>
            <w:tcBorders>
              <w:top w:val="single" w:sz="4" w:space="0" w:color="000000"/>
            </w:tcBorders>
            <w:shd w:val="clear" w:color="auto" w:fill="auto"/>
          </w:tcPr>
          <w:p w14:paraId="0000000B" w14:textId="77777777" w:rsidR="00BA47F6" w:rsidRDefault="00000000">
            <w:pPr>
              <w:spacing w:before="120" w:line="240" w:lineRule="auto"/>
            </w:pPr>
            <w:r>
              <w:t>-21.146</w:t>
            </w:r>
          </w:p>
        </w:tc>
        <w:tc>
          <w:tcPr>
            <w:tcW w:w="1620" w:type="dxa"/>
            <w:tcBorders>
              <w:top w:val="single" w:sz="4" w:space="0" w:color="000000"/>
            </w:tcBorders>
            <w:shd w:val="clear" w:color="auto" w:fill="auto"/>
          </w:tcPr>
          <w:p w14:paraId="0000000C" w14:textId="77777777" w:rsidR="00BA47F6" w:rsidRDefault="00000000">
            <w:pPr>
              <w:spacing w:before="120" w:line="240" w:lineRule="auto"/>
            </w:pPr>
            <w:r>
              <w:t>170.49</w:t>
            </w:r>
          </w:p>
        </w:tc>
        <w:tc>
          <w:tcPr>
            <w:tcW w:w="1260" w:type="dxa"/>
            <w:tcBorders>
              <w:top w:val="single" w:sz="4" w:space="0" w:color="000000"/>
            </w:tcBorders>
            <w:shd w:val="clear" w:color="auto" w:fill="auto"/>
          </w:tcPr>
          <w:p w14:paraId="0000000D" w14:textId="77777777" w:rsidR="00BA47F6" w:rsidRDefault="00000000">
            <w:pPr>
              <w:spacing w:before="120" w:line="240" w:lineRule="auto"/>
            </w:pPr>
            <w:r>
              <w:t>-0.124</w:t>
            </w:r>
          </w:p>
        </w:tc>
        <w:tc>
          <w:tcPr>
            <w:tcW w:w="1710" w:type="dxa"/>
            <w:tcBorders>
              <w:top w:val="single" w:sz="4" w:space="0" w:color="000000"/>
            </w:tcBorders>
            <w:shd w:val="clear" w:color="auto" w:fill="auto"/>
          </w:tcPr>
          <w:p w14:paraId="0000000E" w14:textId="77777777" w:rsidR="00BA47F6" w:rsidRDefault="00000000">
            <w:pPr>
              <w:spacing w:before="120" w:line="240" w:lineRule="auto"/>
            </w:pPr>
            <w:r>
              <w:t>0.902</w:t>
            </w:r>
          </w:p>
        </w:tc>
      </w:tr>
      <w:tr w:rsidR="00BA47F6" w14:paraId="1DBFCC73" w14:textId="77777777">
        <w:tc>
          <w:tcPr>
            <w:tcW w:w="2528" w:type="dxa"/>
            <w:shd w:val="clear" w:color="auto" w:fill="auto"/>
          </w:tcPr>
          <w:p w14:paraId="0000000F" w14:textId="77777777" w:rsidR="00BA47F6" w:rsidRDefault="00000000">
            <w:pPr>
              <w:spacing w:before="120" w:line="240" w:lineRule="auto"/>
              <w:rPr>
                <w:rFonts w:ascii="Times New Roman" w:eastAsia="Times New Roman" w:hAnsi="Times New Roman" w:cs="Times New Roman"/>
              </w:rPr>
            </w:pPr>
            <w:r>
              <w:t>Treatment: 17C  </w:t>
            </w:r>
          </w:p>
        </w:tc>
        <w:tc>
          <w:tcPr>
            <w:tcW w:w="1800" w:type="dxa"/>
            <w:shd w:val="clear" w:color="auto" w:fill="auto"/>
          </w:tcPr>
          <w:p w14:paraId="00000010" w14:textId="77777777" w:rsidR="00BA47F6" w:rsidRDefault="00000000">
            <w:pPr>
              <w:spacing w:before="120" w:line="240" w:lineRule="auto"/>
              <w:rPr>
                <w:rFonts w:ascii="Times New Roman" w:eastAsia="Times New Roman" w:hAnsi="Times New Roman" w:cs="Times New Roman"/>
              </w:rPr>
            </w:pPr>
            <w:r>
              <w:t>0.0363</w:t>
            </w:r>
          </w:p>
        </w:tc>
        <w:tc>
          <w:tcPr>
            <w:tcW w:w="1620" w:type="dxa"/>
            <w:shd w:val="clear" w:color="auto" w:fill="auto"/>
          </w:tcPr>
          <w:p w14:paraId="00000011" w14:textId="77777777" w:rsidR="00BA47F6" w:rsidRDefault="00000000">
            <w:pPr>
              <w:spacing w:before="120" w:line="240" w:lineRule="auto"/>
              <w:rPr>
                <w:rFonts w:ascii="Times New Roman" w:eastAsia="Times New Roman" w:hAnsi="Times New Roman" w:cs="Times New Roman"/>
              </w:rPr>
            </w:pPr>
            <w:r>
              <w:t>246.59</w:t>
            </w:r>
          </w:p>
        </w:tc>
        <w:tc>
          <w:tcPr>
            <w:tcW w:w="1260" w:type="dxa"/>
            <w:shd w:val="clear" w:color="auto" w:fill="auto"/>
          </w:tcPr>
          <w:p w14:paraId="00000012" w14:textId="77777777" w:rsidR="00BA47F6" w:rsidRDefault="00000000">
            <w:pPr>
              <w:spacing w:before="120" w:line="240" w:lineRule="auto"/>
              <w:rPr>
                <w:rFonts w:ascii="Times New Roman" w:eastAsia="Times New Roman" w:hAnsi="Times New Roman" w:cs="Times New Roman"/>
              </w:rPr>
            </w:pPr>
            <w:r>
              <w:t>0</w:t>
            </w:r>
          </w:p>
        </w:tc>
        <w:tc>
          <w:tcPr>
            <w:tcW w:w="1710" w:type="dxa"/>
            <w:shd w:val="clear" w:color="auto" w:fill="auto"/>
          </w:tcPr>
          <w:p w14:paraId="00000013" w14:textId="77777777" w:rsidR="00BA47F6" w:rsidRDefault="00000000">
            <w:pPr>
              <w:spacing w:before="120" w:line="240" w:lineRule="auto"/>
              <w:rPr>
                <w:rFonts w:ascii="Times New Roman" w:eastAsia="Times New Roman" w:hAnsi="Times New Roman" w:cs="Times New Roman"/>
              </w:rPr>
            </w:pPr>
            <w:r>
              <w:t>0.999</w:t>
            </w:r>
          </w:p>
        </w:tc>
      </w:tr>
      <w:tr w:rsidR="00BA47F6" w14:paraId="62132840" w14:textId="77777777">
        <w:tc>
          <w:tcPr>
            <w:tcW w:w="2528" w:type="dxa"/>
            <w:shd w:val="clear" w:color="auto" w:fill="auto"/>
          </w:tcPr>
          <w:p w14:paraId="00000014" w14:textId="77777777" w:rsidR="00BA47F6" w:rsidRDefault="00000000">
            <w:pPr>
              <w:spacing w:before="120" w:line="240" w:lineRule="auto"/>
              <w:rPr>
                <w:rFonts w:ascii="Times New Roman" w:eastAsia="Times New Roman" w:hAnsi="Times New Roman" w:cs="Times New Roman"/>
              </w:rPr>
            </w:pPr>
            <w:r>
              <w:t>Treatment: 22C  </w:t>
            </w:r>
          </w:p>
        </w:tc>
        <w:tc>
          <w:tcPr>
            <w:tcW w:w="1800" w:type="dxa"/>
            <w:shd w:val="clear" w:color="auto" w:fill="auto"/>
          </w:tcPr>
          <w:p w14:paraId="00000015" w14:textId="77777777" w:rsidR="00BA47F6" w:rsidRDefault="00000000">
            <w:pPr>
              <w:spacing w:before="120" w:line="240" w:lineRule="auto"/>
              <w:rPr>
                <w:rFonts w:ascii="Times New Roman" w:eastAsia="Times New Roman" w:hAnsi="Times New Roman" w:cs="Times New Roman"/>
              </w:rPr>
            </w:pPr>
            <w:r>
              <w:t>14.72</w:t>
            </w:r>
          </w:p>
        </w:tc>
        <w:tc>
          <w:tcPr>
            <w:tcW w:w="1620" w:type="dxa"/>
            <w:shd w:val="clear" w:color="auto" w:fill="auto"/>
          </w:tcPr>
          <w:p w14:paraId="00000016" w14:textId="77777777" w:rsidR="00BA47F6" w:rsidRDefault="00000000">
            <w:pPr>
              <w:spacing w:before="120" w:line="240" w:lineRule="auto"/>
              <w:rPr>
                <w:rFonts w:ascii="Times New Roman" w:eastAsia="Times New Roman" w:hAnsi="Times New Roman" w:cs="Times New Roman"/>
              </w:rPr>
            </w:pPr>
            <w:r>
              <w:t>170.42</w:t>
            </w:r>
          </w:p>
        </w:tc>
        <w:tc>
          <w:tcPr>
            <w:tcW w:w="1260" w:type="dxa"/>
            <w:shd w:val="clear" w:color="auto" w:fill="auto"/>
          </w:tcPr>
          <w:p w14:paraId="00000017" w14:textId="77777777" w:rsidR="00BA47F6" w:rsidRDefault="00000000">
            <w:pPr>
              <w:spacing w:before="120" w:line="240" w:lineRule="auto"/>
              <w:rPr>
                <w:rFonts w:ascii="Times New Roman" w:eastAsia="Times New Roman" w:hAnsi="Times New Roman" w:cs="Times New Roman"/>
              </w:rPr>
            </w:pPr>
            <w:r>
              <w:t>0.086 </w:t>
            </w:r>
          </w:p>
        </w:tc>
        <w:tc>
          <w:tcPr>
            <w:tcW w:w="1710" w:type="dxa"/>
            <w:shd w:val="clear" w:color="auto" w:fill="auto"/>
          </w:tcPr>
          <w:p w14:paraId="00000018" w14:textId="77777777" w:rsidR="00BA47F6" w:rsidRDefault="00000000">
            <w:pPr>
              <w:spacing w:before="120" w:line="240" w:lineRule="auto"/>
              <w:rPr>
                <w:rFonts w:ascii="Times New Roman" w:eastAsia="Times New Roman" w:hAnsi="Times New Roman" w:cs="Times New Roman"/>
              </w:rPr>
            </w:pPr>
            <w:r>
              <w:t>0.932</w:t>
            </w:r>
          </w:p>
        </w:tc>
      </w:tr>
      <w:tr w:rsidR="00BA47F6" w14:paraId="13FBFC3D" w14:textId="77777777">
        <w:tc>
          <w:tcPr>
            <w:tcW w:w="2528" w:type="dxa"/>
            <w:tcBorders>
              <w:bottom w:val="single" w:sz="4" w:space="0" w:color="000000"/>
            </w:tcBorders>
            <w:shd w:val="clear" w:color="auto" w:fill="auto"/>
          </w:tcPr>
          <w:p w14:paraId="00000019" w14:textId="77777777" w:rsidR="00BA47F6" w:rsidRDefault="00000000">
            <w:pPr>
              <w:spacing w:before="120" w:line="240" w:lineRule="auto"/>
              <w:rPr>
                <w:rFonts w:ascii="Times New Roman" w:eastAsia="Times New Roman" w:hAnsi="Times New Roman" w:cs="Times New Roman"/>
              </w:rPr>
            </w:pPr>
            <w:r>
              <w:t>Weight</w:t>
            </w:r>
          </w:p>
        </w:tc>
        <w:tc>
          <w:tcPr>
            <w:tcW w:w="1800" w:type="dxa"/>
            <w:tcBorders>
              <w:bottom w:val="single" w:sz="4" w:space="0" w:color="000000"/>
            </w:tcBorders>
            <w:shd w:val="clear" w:color="auto" w:fill="auto"/>
          </w:tcPr>
          <w:p w14:paraId="0000001A" w14:textId="77777777" w:rsidR="00BA47F6" w:rsidRDefault="00000000">
            <w:pPr>
              <w:spacing w:before="120" w:line="240" w:lineRule="auto"/>
              <w:rPr>
                <w:rFonts w:ascii="Times New Roman" w:eastAsia="Times New Roman" w:hAnsi="Times New Roman" w:cs="Times New Roman"/>
              </w:rPr>
            </w:pPr>
            <w:r>
              <w:t>0.0103</w:t>
            </w:r>
          </w:p>
        </w:tc>
        <w:tc>
          <w:tcPr>
            <w:tcW w:w="1620" w:type="dxa"/>
            <w:tcBorders>
              <w:bottom w:val="single" w:sz="4" w:space="0" w:color="000000"/>
            </w:tcBorders>
            <w:shd w:val="clear" w:color="auto" w:fill="auto"/>
          </w:tcPr>
          <w:p w14:paraId="0000001B" w14:textId="77777777" w:rsidR="00BA47F6" w:rsidRDefault="00000000">
            <w:pPr>
              <w:spacing w:before="120" w:line="240" w:lineRule="auto"/>
              <w:rPr>
                <w:rFonts w:ascii="Times New Roman" w:eastAsia="Times New Roman" w:hAnsi="Times New Roman" w:cs="Times New Roman"/>
              </w:rPr>
            </w:pPr>
            <w:r>
              <w:t>0.00553</w:t>
            </w:r>
          </w:p>
        </w:tc>
        <w:tc>
          <w:tcPr>
            <w:tcW w:w="1260" w:type="dxa"/>
            <w:tcBorders>
              <w:bottom w:val="single" w:sz="4" w:space="0" w:color="000000"/>
            </w:tcBorders>
            <w:shd w:val="clear" w:color="auto" w:fill="auto"/>
          </w:tcPr>
          <w:p w14:paraId="0000001C" w14:textId="77777777" w:rsidR="00BA47F6" w:rsidRDefault="00000000">
            <w:pPr>
              <w:spacing w:before="120" w:line="240" w:lineRule="auto"/>
              <w:rPr>
                <w:rFonts w:ascii="Times New Roman" w:eastAsia="Times New Roman" w:hAnsi="Times New Roman" w:cs="Times New Roman"/>
              </w:rPr>
            </w:pPr>
            <w:r>
              <w:t>-1.86 </w:t>
            </w:r>
          </w:p>
        </w:tc>
        <w:tc>
          <w:tcPr>
            <w:tcW w:w="1710" w:type="dxa"/>
            <w:tcBorders>
              <w:bottom w:val="single" w:sz="4" w:space="0" w:color="000000"/>
            </w:tcBorders>
            <w:shd w:val="clear" w:color="auto" w:fill="auto"/>
          </w:tcPr>
          <w:p w14:paraId="0000001D" w14:textId="77777777" w:rsidR="00BA47F6" w:rsidRDefault="00000000">
            <w:pPr>
              <w:spacing w:before="120" w:line="240" w:lineRule="auto"/>
              <w:rPr>
                <w:rFonts w:ascii="Times New Roman" w:eastAsia="Times New Roman" w:hAnsi="Times New Roman" w:cs="Times New Roman"/>
              </w:rPr>
            </w:pPr>
            <w:r>
              <w:t>0.0678 </w:t>
            </w:r>
          </w:p>
        </w:tc>
      </w:tr>
    </w:tbl>
    <w:p w14:paraId="0000001E" w14:textId="77777777" w:rsidR="00BA47F6" w:rsidRDefault="00000000">
      <w:pPr>
        <w:spacing w:after="0" w:line="240" w:lineRule="auto"/>
      </w:pPr>
      <w:r>
        <w:t>*p &lt; 0.05, **p &lt; 0.01</w:t>
      </w:r>
    </w:p>
    <w:p w14:paraId="0000001F" w14:textId="77777777" w:rsidR="00BA47F6" w:rsidRDefault="00BA47F6">
      <w:pPr>
        <w:spacing w:after="0" w:line="240" w:lineRule="auto"/>
      </w:pPr>
    </w:p>
    <w:p w14:paraId="00000020" w14:textId="77777777" w:rsidR="00BA47F6" w:rsidRDefault="00BA47F6">
      <w:pPr>
        <w:spacing w:after="0" w:line="240" w:lineRule="auto"/>
      </w:pPr>
    </w:p>
    <w:p w14:paraId="00000021" w14:textId="77777777" w:rsidR="00BA47F6" w:rsidRDefault="00BA47F6">
      <w:pPr>
        <w:spacing w:after="0" w:line="240" w:lineRule="auto"/>
      </w:pPr>
    </w:p>
    <w:p w14:paraId="00000022" w14:textId="77777777" w:rsidR="00BA47F6" w:rsidRDefault="00000000">
      <w:pPr>
        <w:spacing w:after="0" w:line="240" w:lineRule="auto"/>
        <w:rPr>
          <w:b/>
        </w:rPr>
      </w:pPr>
      <w:r>
        <w:rPr>
          <w:b/>
        </w:rPr>
        <w:t>Table S2</w:t>
      </w:r>
      <w:r>
        <w:t>. Results of ordinal regression model examining the effect of treatment and experiment day on sea cucumber stiffness. </w:t>
      </w:r>
    </w:p>
    <w:tbl>
      <w:tblPr>
        <w:tblStyle w:val="a0"/>
        <w:tblW w:w="8918" w:type="dxa"/>
        <w:tblLayout w:type="fixed"/>
        <w:tblLook w:val="0400" w:firstRow="0" w:lastRow="0" w:firstColumn="0" w:lastColumn="0" w:noHBand="0" w:noVBand="1"/>
      </w:tblPr>
      <w:tblGrid>
        <w:gridCol w:w="2528"/>
        <w:gridCol w:w="1800"/>
        <w:gridCol w:w="1620"/>
        <w:gridCol w:w="1260"/>
        <w:gridCol w:w="1710"/>
      </w:tblGrid>
      <w:tr w:rsidR="00BA47F6" w14:paraId="45087398" w14:textId="77777777">
        <w:trPr>
          <w:trHeight w:val="615"/>
        </w:trPr>
        <w:tc>
          <w:tcPr>
            <w:tcW w:w="2528" w:type="dxa"/>
            <w:tcBorders>
              <w:top w:val="single" w:sz="4" w:space="0" w:color="000000"/>
              <w:bottom w:val="single" w:sz="4" w:space="0" w:color="000000"/>
            </w:tcBorders>
            <w:shd w:val="clear" w:color="auto" w:fill="auto"/>
          </w:tcPr>
          <w:p w14:paraId="00000023"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Variable  </w:t>
            </w:r>
          </w:p>
        </w:tc>
        <w:tc>
          <w:tcPr>
            <w:tcW w:w="1800" w:type="dxa"/>
            <w:tcBorders>
              <w:top w:val="single" w:sz="4" w:space="0" w:color="000000"/>
              <w:bottom w:val="single" w:sz="4" w:space="0" w:color="000000"/>
            </w:tcBorders>
            <w:shd w:val="clear" w:color="auto" w:fill="auto"/>
          </w:tcPr>
          <w:p w14:paraId="00000024"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Coefficient  </w:t>
            </w:r>
          </w:p>
        </w:tc>
        <w:tc>
          <w:tcPr>
            <w:tcW w:w="1620" w:type="dxa"/>
            <w:tcBorders>
              <w:top w:val="single" w:sz="4" w:space="0" w:color="000000"/>
              <w:bottom w:val="single" w:sz="4" w:space="0" w:color="000000"/>
            </w:tcBorders>
            <w:shd w:val="clear" w:color="auto" w:fill="auto"/>
          </w:tcPr>
          <w:p w14:paraId="00000025"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Std. Error </w:t>
            </w:r>
          </w:p>
        </w:tc>
        <w:tc>
          <w:tcPr>
            <w:tcW w:w="1260" w:type="dxa"/>
            <w:tcBorders>
              <w:top w:val="single" w:sz="4" w:space="0" w:color="000000"/>
              <w:bottom w:val="single" w:sz="4" w:space="0" w:color="000000"/>
            </w:tcBorders>
            <w:shd w:val="clear" w:color="auto" w:fill="auto"/>
          </w:tcPr>
          <w:p w14:paraId="00000026"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T </w:t>
            </w:r>
          </w:p>
        </w:tc>
        <w:tc>
          <w:tcPr>
            <w:tcW w:w="1710" w:type="dxa"/>
            <w:tcBorders>
              <w:top w:val="single" w:sz="4" w:space="0" w:color="000000"/>
              <w:bottom w:val="single" w:sz="4" w:space="0" w:color="000000"/>
            </w:tcBorders>
            <w:shd w:val="clear" w:color="auto" w:fill="auto"/>
          </w:tcPr>
          <w:p w14:paraId="00000027"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p</w:t>
            </w:r>
          </w:p>
        </w:tc>
      </w:tr>
      <w:tr w:rsidR="00BA47F6" w14:paraId="70477A56" w14:textId="77777777">
        <w:tc>
          <w:tcPr>
            <w:tcW w:w="2528" w:type="dxa"/>
            <w:tcBorders>
              <w:top w:val="single" w:sz="4" w:space="0" w:color="000000"/>
            </w:tcBorders>
            <w:shd w:val="clear" w:color="auto" w:fill="auto"/>
          </w:tcPr>
          <w:p w14:paraId="00000028"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Treatment: 17C  </w:t>
            </w:r>
          </w:p>
        </w:tc>
        <w:tc>
          <w:tcPr>
            <w:tcW w:w="1800" w:type="dxa"/>
            <w:tcBorders>
              <w:top w:val="single" w:sz="4" w:space="0" w:color="000000"/>
            </w:tcBorders>
            <w:shd w:val="clear" w:color="auto" w:fill="auto"/>
          </w:tcPr>
          <w:p w14:paraId="00000029"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-2.99 </w:t>
            </w:r>
          </w:p>
        </w:tc>
        <w:tc>
          <w:tcPr>
            <w:tcW w:w="1620" w:type="dxa"/>
            <w:tcBorders>
              <w:top w:val="single" w:sz="4" w:space="0" w:color="000000"/>
            </w:tcBorders>
            <w:shd w:val="clear" w:color="auto" w:fill="auto"/>
          </w:tcPr>
          <w:p w14:paraId="0000002A"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0.575 </w:t>
            </w:r>
          </w:p>
        </w:tc>
        <w:tc>
          <w:tcPr>
            <w:tcW w:w="1260" w:type="dxa"/>
            <w:tcBorders>
              <w:top w:val="single" w:sz="4" w:space="0" w:color="000000"/>
            </w:tcBorders>
            <w:shd w:val="clear" w:color="auto" w:fill="auto"/>
          </w:tcPr>
          <w:p w14:paraId="0000002B"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-5.20 </w:t>
            </w:r>
          </w:p>
        </w:tc>
        <w:tc>
          <w:tcPr>
            <w:tcW w:w="1710" w:type="dxa"/>
            <w:tcBorders>
              <w:top w:val="single" w:sz="4" w:space="0" w:color="000000"/>
            </w:tcBorders>
            <w:shd w:val="clear" w:color="auto" w:fill="auto"/>
          </w:tcPr>
          <w:p w14:paraId="0000002C"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1.99e-07 **</w:t>
            </w:r>
          </w:p>
        </w:tc>
      </w:tr>
      <w:tr w:rsidR="00BA47F6" w14:paraId="012D3992" w14:textId="77777777">
        <w:tc>
          <w:tcPr>
            <w:tcW w:w="2528" w:type="dxa"/>
            <w:shd w:val="clear" w:color="auto" w:fill="auto"/>
          </w:tcPr>
          <w:p w14:paraId="0000002D"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Treatment: 22C  </w:t>
            </w:r>
          </w:p>
        </w:tc>
        <w:tc>
          <w:tcPr>
            <w:tcW w:w="1800" w:type="dxa"/>
            <w:shd w:val="clear" w:color="auto" w:fill="auto"/>
          </w:tcPr>
          <w:p w14:paraId="0000002E"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-4.05 </w:t>
            </w:r>
          </w:p>
        </w:tc>
        <w:tc>
          <w:tcPr>
            <w:tcW w:w="1620" w:type="dxa"/>
            <w:shd w:val="clear" w:color="auto" w:fill="auto"/>
          </w:tcPr>
          <w:p w14:paraId="0000002F"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0.606 </w:t>
            </w:r>
          </w:p>
        </w:tc>
        <w:tc>
          <w:tcPr>
            <w:tcW w:w="1260" w:type="dxa"/>
            <w:shd w:val="clear" w:color="auto" w:fill="auto"/>
          </w:tcPr>
          <w:p w14:paraId="00000030"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-6.68 </w:t>
            </w:r>
          </w:p>
        </w:tc>
        <w:tc>
          <w:tcPr>
            <w:tcW w:w="1710" w:type="dxa"/>
            <w:shd w:val="clear" w:color="auto" w:fill="auto"/>
          </w:tcPr>
          <w:p w14:paraId="00000031"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2.44e-11 **</w:t>
            </w:r>
          </w:p>
        </w:tc>
      </w:tr>
      <w:tr w:rsidR="00BA47F6" w14:paraId="3F064120" w14:textId="77777777">
        <w:tc>
          <w:tcPr>
            <w:tcW w:w="2528" w:type="dxa"/>
            <w:shd w:val="clear" w:color="auto" w:fill="auto"/>
          </w:tcPr>
          <w:p w14:paraId="00000032"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Day 2 </w:t>
            </w:r>
          </w:p>
        </w:tc>
        <w:tc>
          <w:tcPr>
            <w:tcW w:w="1800" w:type="dxa"/>
            <w:shd w:val="clear" w:color="auto" w:fill="auto"/>
          </w:tcPr>
          <w:p w14:paraId="00000033"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-0.976 </w:t>
            </w:r>
          </w:p>
        </w:tc>
        <w:tc>
          <w:tcPr>
            <w:tcW w:w="1620" w:type="dxa"/>
            <w:shd w:val="clear" w:color="auto" w:fill="auto"/>
          </w:tcPr>
          <w:p w14:paraId="00000034"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0.524 </w:t>
            </w:r>
          </w:p>
        </w:tc>
        <w:tc>
          <w:tcPr>
            <w:tcW w:w="1260" w:type="dxa"/>
            <w:shd w:val="clear" w:color="auto" w:fill="auto"/>
          </w:tcPr>
          <w:p w14:paraId="00000035"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-1.86 </w:t>
            </w:r>
          </w:p>
        </w:tc>
        <w:tc>
          <w:tcPr>
            <w:tcW w:w="1710" w:type="dxa"/>
            <w:shd w:val="clear" w:color="auto" w:fill="auto"/>
          </w:tcPr>
          <w:p w14:paraId="00000036"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0.0627 </w:t>
            </w:r>
          </w:p>
        </w:tc>
      </w:tr>
      <w:tr w:rsidR="00BA47F6" w14:paraId="6DFD2D1C" w14:textId="77777777">
        <w:tc>
          <w:tcPr>
            <w:tcW w:w="2528" w:type="dxa"/>
            <w:shd w:val="clear" w:color="auto" w:fill="auto"/>
          </w:tcPr>
          <w:p w14:paraId="00000037"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Day 3  </w:t>
            </w:r>
          </w:p>
        </w:tc>
        <w:tc>
          <w:tcPr>
            <w:tcW w:w="1800" w:type="dxa"/>
            <w:shd w:val="clear" w:color="auto" w:fill="auto"/>
          </w:tcPr>
          <w:p w14:paraId="00000038"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-2.30 </w:t>
            </w:r>
          </w:p>
        </w:tc>
        <w:tc>
          <w:tcPr>
            <w:tcW w:w="1620" w:type="dxa"/>
            <w:shd w:val="clear" w:color="auto" w:fill="auto"/>
          </w:tcPr>
          <w:p w14:paraId="00000039"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0.528 </w:t>
            </w:r>
          </w:p>
        </w:tc>
        <w:tc>
          <w:tcPr>
            <w:tcW w:w="1260" w:type="dxa"/>
            <w:shd w:val="clear" w:color="auto" w:fill="auto"/>
          </w:tcPr>
          <w:p w14:paraId="0000003A"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-4.35 </w:t>
            </w:r>
          </w:p>
        </w:tc>
        <w:tc>
          <w:tcPr>
            <w:tcW w:w="1710" w:type="dxa"/>
            <w:shd w:val="clear" w:color="auto" w:fill="auto"/>
          </w:tcPr>
          <w:p w14:paraId="0000003B"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1.37e-05 **</w:t>
            </w:r>
          </w:p>
        </w:tc>
      </w:tr>
      <w:tr w:rsidR="00BA47F6" w14:paraId="24B8713A" w14:textId="77777777">
        <w:tc>
          <w:tcPr>
            <w:tcW w:w="2528" w:type="dxa"/>
            <w:shd w:val="clear" w:color="auto" w:fill="auto"/>
          </w:tcPr>
          <w:p w14:paraId="0000003C"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Day 4 </w:t>
            </w:r>
          </w:p>
        </w:tc>
        <w:tc>
          <w:tcPr>
            <w:tcW w:w="1800" w:type="dxa"/>
            <w:shd w:val="clear" w:color="auto" w:fill="auto"/>
          </w:tcPr>
          <w:p w14:paraId="0000003D"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-2.22 </w:t>
            </w:r>
          </w:p>
        </w:tc>
        <w:tc>
          <w:tcPr>
            <w:tcW w:w="1620" w:type="dxa"/>
            <w:shd w:val="clear" w:color="auto" w:fill="auto"/>
          </w:tcPr>
          <w:p w14:paraId="0000003E"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0.527 </w:t>
            </w:r>
          </w:p>
        </w:tc>
        <w:tc>
          <w:tcPr>
            <w:tcW w:w="1260" w:type="dxa"/>
            <w:shd w:val="clear" w:color="auto" w:fill="auto"/>
          </w:tcPr>
          <w:p w14:paraId="0000003F"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-4.21 </w:t>
            </w:r>
          </w:p>
        </w:tc>
        <w:tc>
          <w:tcPr>
            <w:tcW w:w="1710" w:type="dxa"/>
            <w:shd w:val="clear" w:color="auto" w:fill="auto"/>
          </w:tcPr>
          <w:p w14:paraId="00000040"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2.50e-05 **</w:t>
            </w:r>
          </w:p>
        </w:tc>
      </w:tr>
      <w:tr w:rsidR="00BA47F6" w14:paraId="52DC80D5" w14:textId="77777777">
        <w:tc>
          <w:tcPr>
            <w:tcW w:w="2528" w:type="dxa"/>
            <w:tcBorders>
              <w:bottom w:val="single" w:sz="4" w:space="0" w:color="000000"/>
            </w:tcBorders>
            <w:shd w:val="clear" w:color="auto" w:fill="auto"/>
          </w:tcPr>
          <w:p w14:paraId="00000041"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Day 5  </w:t>
            </w:r>
          </w:p>
        </w:tc>
        <w:tc>
          <w:tcPr>
            <w:tcW w:w="1800" w:type="dxa"/>
            <w:tcBorders>
              <w:bottom w:val="single" w:sz="4" w:space="0" w:color="000000"/>
            </w:tcBorders>
            <w:shd w:val="clear" w:color="auto" w:fill="auto"/>
          </w:tcPr>
          <w:p w14:paraId="00000042"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-2.12 </w:t>
            </w:r>
          </w:p>
        </w:tc>
        <w:tc>
          <w:tcPr>
            <w:tcW w:w="1620" w:type="dxa"/>
            <w:tcBorders>
              <w:bottom w:val="single" w:sz="4" w:space="0" w:color="000000"/>
            </w:tcBorders>
            <w:shd w:val="clear" w:color="auto" w:fill="auto"/>
          </w:tcPr>
          <w:p w14:paraId="00000043"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0.541 </w:t>
            </w:r>
          </w:p>
        </w:tc>
        <w:tc>
          <w:tcPr>
            <w:tcW w:w="1260" w:type="dxa"/>
            <w:tcBorders>
              <w:bottom w:val="single" w:sz="4" w:space="0" w:color="000000"/>
            </w:tcBorders>
            <w:shd w:val="clear" w:color="auto" w:fill="auto"/>
          </w:tcPr>
          <w:p w14:paraId="00000044"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-3.93 </w:t>
            </w:r>
          </w:p>
        </w:tc>
        <w:tc>
          <w:tcPr>
            <w:tcW w:w="1710" w:type="dxa"/>
            <w:tcBorders>
              <w:bottom w:val="single" w:sz="4" w:space="0" w:color="000000"/>
            </w:tcBorders>
            <w:shd w:val="clear" w:color="auto" w:fill="auto"/>
          </w:tcPr>
          <w:p w14:paraId="00000045"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8.66e-05 **</w:t>
            </w:r>
          </w:p>
        </w:tc>
      </w:tr>
    </w:tbl>
    <w:p w14:paraId="00000046" w14:textId="77777777" w:rsidR="00BA47F6" w:rsidRDefault="00000000">
      <w:pPr>
        <w:spacing w:after="0" w:line="240" w:lineRule="auto"/>
      </w:pPr>
      <w:r>
        <w:t>*p &lt; 0.05, **p &lt; 0.01</w:t>
      </w:r>
    </w:p>
    <w:p w14:paraId="00000047" w14:textId="77777777" w:rsidR="00BA47F6" w:rsidRDefault="00BA47F6">
      <w:pPr>
        <w:spacing w:after="0" w:line="240" w:lineRule="auto"/>
        <w:rPr>
          <w:rFonts w:ascii="Quattrocento Sans" w:eastAsia="Quattrocento Sans" w:hAnsi="Quattrocento Sans" w:cs="Quattrocento Sans"/>
          <w:sz w:val="18"/>
          <w:szCs w:val="18"/>
        </w:rPr>
      </w:pPr>
    </w:p>
    <w:p w14:paraId="00000048" w14:textId="77777777" w:rsidR="00BA47F6" w:rsidRDefault="00000000">
      <w:pPr>
        <w:pBdr>
          <w:top w:val="nil"/>
          <w:left w:val="nil"/>
          <w:bottom w:val="nil"/>
          <w:right w:val="nil"/>
          <w:between w:val="nil"/>
        </w:pBdr>
        <w:spacing w:before="120" w:line="240" w:lineRule="auto"/>
        <w:rPr>
          <w:rFonts w:ascii="Quattrocento Sans" w:eastAsia="Quattrocento Sans" w:hAnsi="Quattrocento Sans" w:cs="Quattrocento Sans"/>
          <w:color w:val="000000"/>
          <w:sz w:val="18"/>
          <w:szCs w:val="18"/>
        </w:rPr>
      </w:pPr>
      <w:r>
        <w:rPr>
          <w:b/>
          <w:color w:val="000000"/>
        </w:rPr>
        <w:lastRenderedPageBreak/>
        <w:t>Table S3</w:t>
      </w:r>
      <w:r>
        <w:rPr>
          <w:color w:val="000000"/>
        </w:rPr>
        <w:t>. Results from a backwards-selected logistic regression model examining the effect of evisceration as a function of defecation status and weight. Asterisks indicate significant effects. </w:t>
      </w:r>
    </w:p>
    <w:tbl>
      <w:tblPr>
        <w:tblStyle w:val="a1"/>
        <w:tblW w:w="9150" w:type="dxa"/>
        <w:tblLayout w:type="fixed"/>
        <w:tblLook w:val="0400" w:firstRow="0" w:lastRow="0" w:firstColumn="0" w:lastColumn="0" w:noHBand="0" w:noVBand="1"/>
      </w:tblPr>
      <w:tblGrid>
        <w:gridCol w:w="2438"/>
        <w:gridCol w:w="1710"/>
        <w:gridCol w:w="1710"/>
        <w:gridCol w:w="1530"/>
        <w:gridCol w:w="1762"/>
      </w:tblGrid>
      <w:tr w:rsidR="00BA47F6" w14:paraId="70473F25" w14:textId="77777777">
        <w:trPr>
          <w:trHeight w:val="206"/>
        </w:trPr>
        <w:tc>
          <w:tcPr>
            <w:tcW w:w="2438" w:type="dxa"/>
            <w:tcBorders>
              <w:top w:val="single" w:sz="4" w:space="0" w:color="000000"/>
              <w:bottom w:val="single" w:sz="4" w:space="0" w:color="000000"/>
            </w:tcBorders>
            <w:shd w:val="clear" w:color="auto" w:fill="auto"/>
          </w:tcPr>
          <w:p w14:paraId="00000049"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  </w:t>
            </w:r>
          </w:p>
        </w:tc>
        <w:tc>
          <w:tcPr>
            <w:tcW w:w="1710" w:type="dxa"/>
            <w:tcBorders>
              <w:top w:val="single" w:sz="4" w:space="0" w:color="000000"/>
              <w:bottom w:val="single" w:sz="4" w:space="0" w:color="000000"/>
            </w:tcBorders>
            <w:shd w:val="clear" w:color="auto" w:fill="auto"/>
          </w:tcPr>
          <w:p w14:paraId="0000004A"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Coefficient</w:t>
            </w:r>
          </w:p>
        </w:tc>
        <w:tc>
          <w:tcPr>
            <w:tcW w:w="1710" w:type="dxa"/>
            <w:tcBorders>
              <w:top w:val="single" w:sz="4" w:space="0" w:color="000000"/>
              <w:bottom w:val="single" w:sz="4" w:space="0" w:color="000000"/>
            </w:tcBorders>
            <w:shd w:val="clear" w:color="auto" w:fill="auto"/>
          </w:tcPr>
          <w:p w14:paraId="0000004B"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Std. Error </w:t>
            </w:r>
          </w:p>
        </w:tc>
        <w:tc>
          <w:tcPr>
            <w:tcW w:w="1530" w:type="dxa"/>
            <w:tcBorders>
              <w:top w:val="single" w:sz="4" w:space="0" w:color="000000"/>
              <w:bottom w:val="single" w:sz="4" w:space="0" w:color="000000"/>
            </w:tcBorders>
            <w:shd w:val="clear" w:color="auto" w:fill="auto"/>
          </w:tcPr>
          <w:p w14:paraId="0000004C"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t-value </w:t>
            </w:r>
          </w:p>
        </w:tc>
        <w:tc>
          <w:tcPr>
            <w:tcW w:w="1762" w:type="dxa"/>
            <w:tcBorders>
              <w:top w:val="single" w:sz="4" w:space="0" w:color="000000"/>
              <w:bottom w:val="single" w:sz="4" w:space="0" w:color="000000"/>
            </w:tcBorders>
            <w:shd w:val="clear" w:color="auto" w:fill="auto"/>
          </w:tcPr>
          <w:p w14:paraId="0000004D"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p</w:t>
            </w:r>
          </w:p>
        </w:tc>
      </w:tr>
      <w:tr w:rsidR="00BA47F6" w14:paraId="784E717D" w14:textId="77777777">
        <w:trPr>
          <w:trHeight w:val="198"/>
        </w:trPr>
        <w:tc>
          <w:tcPr>
            <w:tcW w:w="2438" w:type="dxa"/>
            <w:tcBorders>
              <w:top w:val="single" w:sz="4" w:space="0" w:color="000000"/>
            </w:tcBorders>
            <w:shd w:val="clear" w:color="auto" w:fill="auto"/>
          </w:tcPr>
          <w:p w14:paraId="0000004E"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(Intercept)  </w:t>
            </w:r>
          </w:p>
        </w:tc>
        <w:tc>
          <w:tcPr>
            <w:tcW w:w="1710" w:type="dxa"/>
            <w:tcBorders>
              <w:top w:val="single" w:sz="4" w:space="0" w:color="000000"/>
            </w:tcBorders>
            <w:shd w:val="clear" w:color="auto" w:fill="auto"/>
          </w:tcPr>
          <w:p w14:paraId="0000004F"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1.713 </w:t>
            </w:r>
          </w:p>
        </w:tc>
        <w:tc>
          <w:tcPr>
            <w:tcW w:w="1710" w:type="dxa"/>
            <w:tcBorders>
              <w:top w:val="single" w:sz="4" w:space="0" w:color="000000"/>
            </w:tcBorders>
            <w:shd w:val="clear" w:color="auto" w:fill="auto"/>
          </w:tcPr>
          <w:p w14:paraId="00000050"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1.128</w:t>
            </w:r>
          </w:p>
        </w:tc>
        <w:tc>
          <w:tcPr>
            <w:tcW w:w="1530" w:type="dxa"/>
            <w:tcBorders>
              <w:top w:val="single" w:sz="4" w:space="0" w:color="000000"/>
            </w:tcBorders>
            <w:shd w:val="clear" w:color="auto" w:fill="auto"/>
          </w:tcPr>
          <w:p w14:paraId="00000051"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1.52 </w:t>
            </w:r>
          </w:p>
        </w:tc>
        <w:tc>
          <w:tcPr>
            <w:tcW w:w="1762" w:type="dxa"/>
            <w:tcBorders>
              <w:top w:val="single" w:sz="4" w:space="0" w:color="000000"/>
            </w:tcBorders>
            <w:shd w:val="clear" w:color="auto" w:fill="auto"/>
          </w:tcPr>
          <w:p w14:paraId="00000052"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0.135 </w:t>
            </w:r>
          </w:p>
        </w:tc>
      </w:tr>
      <w:tr w:rsidR="00BA47F6" w14:paraId="7464BCC5" w14:textId="77777777">
        <w:trPr>
          <w:trHeight w:val="404"/>
        </w:trPr>
        <w:tc>
          <w:tcPr>
            <w:tcW w:w="2438" w:type="dxa"/>
            <w:shd w:val="clear" w:color="auto" w:fill="auto"/>
          </w:tcPr>
          <w:p w14:paraId="00000053"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Defecating (yes) </w:t>
            </w:r>
          </w:p>
        </w:tc>
        <w:tc>
          <w:tcPr>
            <w:tcW w:w="1710" w:type="dxa"/>
            <w:shd w:val="clear" w:color="auto" w:fill="auto"/>
          </w:tcPr>
          <w:p w14:paraId="00000054"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-2.78 </w:t>
            </w:r>
          </w:p>
        </w:tc>
        <w:tc>
          <w:tcPr>
            <w:tcW w:w="1710" w:type="dxa"/>
            <w:shd w:val="clear" w:color="auto" w:fill="auto"/>
          </w:tcPr>
          <w:p w14:paraId="00000055"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1.12 </w:t>
            </w:r>
          </w:p>
        </w:tc>
        <w:tc>
          <w:tcPr>
            <w:tcW w:w="1530" w:type="dxa"/>
            <w:shd w:val="clear" w:color="auto" w:fill="auto"/>
          </w:tcPr>
          <w:p w14:paraId="00000056"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-2.48 </w:t>
            </w:r>
          </w:p>
        </w:tc>
        <w:tc>
          <w:tcPr>
            <w:tcW w:w="1762" w:type="dxa"/>
            <w:shd w:val="clear" w:color="auto" w:fill="auto"/>
          </w:tcPr>
          <w:p w14:paraId="00000057"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0.0163 * </w:t>
            </w:r>
          </w:p>
        </w:tc>
      </w:tr>
      <w:tr w:rsidR="00BA47F6" w14:paraId="57AAD537" w14:textId="77777777">
        <w:trPr>
          <w:trHeight w:val="206"/>
        </w:trPr>
        <w:tc>
          <w:tcPr>
            <w:tcW w:w="2438" w:type="dxa"/>
            <w:tcBorders>
              <w:bottom w:val="single" w:sz="4" w:space="0" w:color="000000"/>
            </w:tcBorders>
            <w:shd w:val="clear" w:color="auto" w:fill="auto"/>
          </w:tcPr>
          <w:p w14:paraId="00000058"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Weight </w:t>
            </w:r>
          </w:p>
        </w:tc>
        <w:tc>
          <w:tcPr>
            <w:tcW w:w="1710" w:type="dxa"/>
            <w:tcBorders>
              <w:bottom w:val="single" w:sz="4" w:space="0" w:color="000000"/>
            </w:tcBorders>
            <w:shd w:val="clear" w:color="auto" w:fill="auto"/>
          </w:tcPr>
          <w:p w14:paraId="00000059"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-0.00431</w:t>
            </w:r>
          </w:p>
        </w:tc>
        <w:tc>
          <w:tcPr>
            <w:tcW w:w="1710" w:type="dxa"/>
            <w:tcBorders>
              <w:bottom w:val="single" w:sz="4" w:space="0" w:color="000000"/>
            </w:tcBorders>
            <w:shd w:val="clear" w:color="auto" w:fill="auto"/>
          </w:tcPr>
          <w:p w14:paraId="0000005A"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0.00203 </w:t>
            </w:r>
          </w:p>
        </w:tc>
        <w:tc>
          <w:tcPr>
            <w:tcW w:w="1530" w:type="dxa"/>
            <w:tcBorders>
              <w:bottom w:val="single" w:sz="4" w:space="0" w:color="000000"/>
            </w:tcBorders>
            <w:shd w:val="clear" w:color="auto" w:fill="auto"/>
          </w:tcPr>
          <w:p w14:paraId="0000005B"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-2.12 </w:t>
            </w:r>
          </w:p>
        </w:tc>
        <w:tc>
          <w:tcPr>
            <w:tcW w:w="1762" w:type="dxa"/>
            <w:tcBorders>
              <w:bottom w:val="single" w:sz="4" w:space="0" w:color="000000"/>
            </w:tcBorders>
            <w:shd w:val="clear" w:color="auto" w:fill="auto"/>
          </w:tcPr>
          <w:p w14:paraId="0000005C" w14:textId="77777777" w:rsidR="00BA47F6" w:rsidRDefault="00000000">
            <w:pPr>
              <w:pBdr>
                <w:top w:val="nil"/>
                <w:left w:val="nil"/>
                <w:bottom w:val="nil"/>
                <w:right w:val="nil"/>
                <w:between w:val="nil"/>
              </w:pBdr>
              <w:spacing w:before="120" w:line="240" w:lineRule="auto"/>
              <w:rPr>
                <w:rFonts w:ascii="Times New Roman" w:eastAsia="Times New Roman" w:hAnsi="Times New Roman" w:cs="Times New Roman"/>
                <w:color w:val="000000"/>
              </w:rPr>
            </w:pPr>
            <w:r>
              <w:rPr>
                <w:color w:val="000000"/>
              </w:rPr>
              <w:t>0.0383 *</w:t>
            </w:r>
          </w:p>
        </w:tc>
      </w:tr>
    </w:tbl>
    <w:p w14:paraId="0000005D" w14:textId="77777777" w:rsidR="00BA47F6" w:rsidRDefault="00000000">
      <w:pPr>
        <w:spacing w:after="0" w:line="240" w:lineRule="auto"/>
      </w:pPr>
      <w:r>
        <w:t xml:space="preserve">*p &lt; 0.05, **p &lt; 0.01 </w:t>
      </w:r>
    </w:p>
    <w:p w14:paraId="0000005E" w14:textId="77777777" w:rsidR="00BA47F6" w:rsidRDefault="00BA47F6">
      <w:pPr>
        <w:spacing w:after="0" w:line="240" w:lineRule="auto"/>
      </w:pPr>
    </w:p>
    <w:p w14:paraId="0000005F" w14:textId="77777777" w:rsidR="00BA47F6" w:rsidRDefault="00BA47F6">
      <w:pPr>
        <w:spacing w:after="0" w:line="240" w:lineRule="auto"/>
      </w:pPr>
    </w:p>
    <w:p w14:paraId="00000060" w14:textId="77777777" w:rsidR="00BA47F6" w:rsidRDefault="00BA47F6">
      <w:pPr>
        <w:spacing w:after="0" w:line="240" w:lineRule="auto"/>
      </w:pPr>
    </w:p>
    <w:p w14:paraId="00000061" w14:textId="77777777" w:rsidR="00BA47F6" w:rsidRDefault="00BA47F6">
      <w:pPr>
        <w:spacing w:after="0" w:line="240" w:lineRule="auto"/>
      </w:pPr>
    </w:p>
    <w:p w14:paraId="00000062" w14:textId="77777777" w:rsidR="00BA47F6" w:rsidRDefault="00000000">
      <w:pPr>
        <w:spacing w:after="0" w:line="240" w:lineRule="auto"/>
      </w:pPr>
      <w:r>
        <w:rPr>
          <w:noProof/>
        </w:rPr>
        <w:drawing>
          <wp:inline distT="0" distB="0" distL="0" distR="0">
            <wp:extent cx="5943600" cy="292862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2928620"/>
                    </a:xfrm>
                    <a:prstGeom prst="rect">
                      <a:avLst/>
                    </a:prstGeom>
                    <a:ln/>
                  </pic:spPr>
                </pic:pic>
              </a:graphicData>
            </a:graphic>
          </wp:inline>
        </w:drawing>
      </w:r>
    </w:p>
    <w:p w14:paraId="00000063" w14:textId="77777777" w:rsidR="00BA47F6" w:rsidRDefault="00000000">
      <w:pPr>
        <w:spacing w:after="0" w:line="240" w:lineRule="auto"/>
        <w:ind w:right="15"/>
        <w:rPr>
          <w:color w:val="000000"/>
          <w:sz w:val="20"/>
          <w:szCs w:val="20"/>
        </w:rPr>
      </w:pPr>
      <w:r>
        <w:t xml:space="preserve">Figure S1. Average seasonal temperatures at 5m depth (top line; device ID: 24124) and 20m depth (bottom line; device ID: 24001) between 2019-2022 in the Strait of Georgia where sea cucumber wasting was observed after a maximum temperature of 21.6ºC was reached on August 04, 2021. </w:t>
      </w:r>
      <w:sdt>
        <w:sdtPr>
          <w:tag w:val="goog_rdk_0"/>
          <w:id w:val="-255213509"/>
        </w:sdtPr>
        <w:sdtContent>
          <w:sdt>
            <w:sdtPr>
              <w:tag w:val="goog_rdk_1"/>
              <w:id w:val="-1158840747"/>
            </w:sdtPr>
            <w:sdtContent/>
          </w:sdt>
          <w:r>
            <w:t xml:space="preserve">Line colour represents deviation from average temperature (grey), indicating the magnitude of warming (red) or cooling (blue) of the sea. </w:t>
          </w:r>
        </w:sdtContent>
      </w:sdt>
      <w:r>
        <w:t>Data obtained from Ocean Networks Canada.</w:t>
      </w:r>
    </w:p>
    <w:p w14:paraId="00000064" w14:textId="718CC28C" w:rsidR="00BA47F6" w:rsidRDefault="00BA47F6">
      <w:pPr>
        <w:jc w:val="center"/>
      </w:pPr>
    </w:p>
    <w:p w14:paraId="5051109D" w14:textId="77777777" w:rsidR="00F25EA8" w:rsidRDefault="00F25EA8">
      <w:pPr>
        <w:spacing w:line="240" w:lineRule="auto"/>
      </w:pPr>
    </w:p>
    <w:p w14:paraId="36F82917" w14:textId="694D2654" w:rsidR="00F25EA8" w:rsidRDefault="00F25EA8">
      <w:pPr>
        <w:spacing w:line="240" w:lineRule="auto"/>
      </w:pPr>
      <w:r>
        <w:rPr>
          <w:noProof/>
        </w:rPr>
        <w:lastRenderedPageBreak/>
        <w:drawing>
          <wp:inline distT="0" distB="0" distL="0" distR="0" wp14:anchorId="4FC44F96" wp14:editId="392E1CFC">
            <wp:extent cx="3759200" cy="50122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760818" cy="5014424"/>
                    </a:xfrm>
                    <a:prstGeom prst="rect">
                      <a:avLst/>
                    </a:prstGeom>
                  </pic:spPr>
                </pic:pic>
              </a:graphicData>
            </a:graphic>
          </wp:inline>
        </w:drawing>
      </w:r>
    </w:p>
    <w:p w14:paraId="00000065" w14:textId="50F736A5" w:rsidR="00BA47F6" w:rsidRDefault="00000000">
      <w:pPr>
        <w:spacing w:line="240" w:lineRule="auto"/>
      </w:pPr>
      <w:r>
        <w:t>Figure S2. Average treatment temperatures (black lines) in control treatment (Grey, 12ºC) warm (red; 17ºC), or heat wave (orange; 22ºC). Temperatures were gradually increased over a 24-hour period in the sea table water baths (day 1). The water remained at target temperatures for 79 hours, after which they were lowered back to the control temperature of 12º</w:t>
      </w:r>
      <w:proofErr w:type="spellStart"/>
      <w:r>
        <w:t>C over</w:t>
      </w:r>
      <w:proofErr w:type="spellEnd"/>
      <w:r>
        <w:t xml:space="preserve"> 9-hours. Days 5 through 12 were a recovery period where all sea cucumber holding containers were maintained on the flow through </w:t>
      </w:r>
      <w:proofErr w:type="gramStart"/>
      <w:r>
        <w:t>system..</w:t>
      </w:r>
      <w:proofErr w:type="gramEnd"/>
    </w:p>
    <w:sectPr w:rsidR="00BA47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F6"/>
    <w:rsid w:val="00BA47F6"/>
    <w:rsid w:val="00F2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94ED6D"/>
  <w15:docId w15:val="{E45E366A-8600-8A40-973D-E579EAA0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US" w:bidi="ar-SA"/>
      </w:rPr>
    </w:rPrDefault>
    <w:pPrDefault>
      <w:pPr>
        <w:spacing w:after="3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8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EjNs5lZorJ8kqgNKYzJCf7sZrQ==">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Wuitchik, Daniel, Michael</cp:lastModifiedBy>
  <cp:revision>2</cp:revision>
  <dcterms:created xsi:type="dcterms:W3CDTF">2022-06-09T16:58:00Z</dcterms:created>
  <dcterms:modified xsi:type="dcterms:W3CDTF">2022-10-18T20:26:00Z</dcterms:modified>
</cp:coreProperties>
</file>