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BD099" w14:textId="77777777" w:rsidR="00932365" w:rsidRPr="00132347" w:rsidRDefault="00932365">
      <w:pPr>
        <w:rPr>
          <w:rFonts w:ascii="Times" w:hAnsi="Times" w:cs="Arial"/>
          <w:color w:val="181817"/>
          <w:sz w:val="28"/>
          <w:szCs w:val="28"/>
          <w:lang w:val="en-US"/>
        </w:rPr>
      </w:pPr>
      <w:r w:rsidRPr="00132347">
        <w:rPr>
          <w:rFonts w:ascii="Times" w:hAnsi="Times" w:cs="Arial"/>
          <w:color w:val="181817"/>
          <w:sz w:val="28"/>
          <w:szCs w:val="28"/>
          <w:lang w:val="en-US"/>
        </w:rPr>
        <w:t>Supplementary Material</w:t>
      </w:r>
    </w:p>
    <w:p w14:paraId="60EAFAEC" w14:textId="77777777" w:rsidR="00A82C51" w:rsidRPr="00132347" w:rsidRDefault="00A82C51">
      <w:pPr>
        <w:rPr>
          <w:rFonts w:ascii="Times" w:hAnsi="Times" w:cs="Arial"/>
          <w:color w:val="181817"/>
          <w:lang w:val="en-US"/>
        </w:rPr>
      </w:pPr>
    </w:p>
    <w:p w14:paraId="31A91D48" w14:textId="35022EBF" w:rsidR="004A70FD" w:rsidRPr="00132347" w:rsidRDefault="00A82C51" w:rsidP="00A82C51">
      <w:pPr>
        <w:jc w:val="both"/>
        <w:rPr>
          <w:rFonts w:ascii="Times" w:hAnsi="Times" w:cs="Arial"/>
          <w:color w:val="181817"/>
        </w:rPr>
      </w:pPr>
      <w:r w:rsidRPr="00132347">
        <w:rPr>
          <w:rFonts w:ascii="Times" w:hAnsi="Times" w:cs="Arial"/>
          <w:color w:val="181817"/>
          <w:lang w:val="en-US"/>
        </w:rPr>
        <w:t xml:space="preserve">By analyzing the bifurcation events that took place within community C3, we identified the early branching, as revealed by the sequential removal of edges in the multiplex, of 10 out of the 17 </w:t>
      </w:r>
      <w:proofErr w:type="spellStart"/>
      <w:r w:rsidRPr="00132347">
        <w:rPr>
          <w:rFonts w:ascii="Times" w:hAnsi="Times" w:cs="Arial"/>
          <w:color w:val="181817"/>
          <w:lang w:val="en-US"/>
        </w:rPr>
        <w:t>Rickettsiales</w:t>
      </w:r>
      <w:proofErr w:type="spellEnd"/>
      <w:r w:rsidRPr="00132347">
        <w:rPr>
          <w:rFonts w:ascii="Times" w:hAnsi="Times" w:cs="Arial"/>
          <w:color w:val="181817"/>
          <w:lang w:val="en-US"/>
        </w:rPr>
        <w:t xml:space="preserve"> sequences included in the dataset (</w:t>
      </w:r>
      <w:r w:rsidRPr="00132347">
        <w:rPr>
          <w:rFonts w:ascii="Times" w:hAnsi="Times" w:cs="Arial"/>
          <w:bCs/>
          <w:color w:val="181817"/>
          <w:lang w:val="en-US"/>
        </w:rPr>
        <w:t>Figure</w:t>
      </w:r>
      <w:r w:rsidR="00F754FA" w:rsidRPr="00132347">
        <w:rPr>
          <w:rFonts w:ascii="Times" w:hAnsi="Times" w:cs="Arial"/>
          <w:bCs/>
          <w:color w:val="181817"/>
          <w:lang w:val="en-US"/>
        </w:rPr>
        <w:t xml:space="preserve"> 3</w:t>
      </w:r>
      <w:r w:rsidR="00132347">
        <w:rPr>
          <w:rFonts w:ascii="Times" w:hAnsi="Times" w:cs="Arial"/>
          <w:bCs/>
          <w:color w:val="181817"/>
          <w:lang w:val="en-US"/>
        </w:rPr>
        <w:t xml:space="preserve"> in main text</w:t>
      </w:r>
      <w:r w:rsidRPr="00132347">
        <w:rPr>
          <w:rFonts w:ascii="Times" w:hAnsi="Times" w:cs="Arial"/>
          <w:color w:val="181817"/>
          <w:lang w:val="en-US"/>
        </w:rPr>
        <w:t>). This result is also confirmed when higher values for sigma are used to disclose communities (Cob: 70%; Cox2: 61%; Cox3: 67%; Nad1: 72%; Nad4: 68%; Nad5: 67%; Nad6: 67%; Nad9: 66%). In</w:t>
      </w:r>
      <w:r w:rsidR="00F754FA" w:rsidRPr="00132347">
        <w:rPr>
          <w:rFonts w:ascii="Times" w:hAnsi="Times" w:cs="Arial"/>
          <w:color w:val="181817"/>
          <w:lang w:val="en-US"/>
        </w:rPr>
        <w:t xml:space="preserve"> </w:t>
      </w:r>
      <w:r w:rsidRPr="00132347">
        <w:rPr>
          <w:rFonts w:ascii="Times" w:hAnsi="Times" w:cs="Arial"/>
          <w:bCs/>
          <w:color w:val="181817"/>
          <w:lang w:val="en-US"/>
        </w:rPr>
        <w:t>Supplementary Figure 1</w:t>
      </w:r>
      <w:r w:rsidR="00F754FA" w:rsidRPr="00132347">
        <w:rPr>
          <w:rFonts w:ascii="Times" w:hAnsi="Times" w:cs="Arial"/>
          <w:bCs/>
          <w:color w:val="181817"/>
          <w:lang w:val="en-US"/>
        </w:rPr>
        <w:t xml:space="preserve"> </w:t>
      </w:r>
      <w:r w:rsidRPr="00132347">
        <w:rPr>
          <w:rFonts w:ascii="Times" w:hAnsi="Times" w:cs="Arial"/>
          <w:color w:val="181817"/>
          <w:lang w:val="en-US"/>
        </w:rPr>
        <w:t xml:space="preserve">we further try to improve the resolution of the relationships within the subclusters, confirming the grouping of early-branching </w:t>
      </w:r>
      <w:proofErr w:type="spellStart"/>
      <w:r w:rsidRPr="00132347">
        <w:rPr>
          <w:rFonts w:ascii="Times" w:hAnsi="Times" w:cs="Arial"/>
          <w:color w:val="181817"/>
          <w:lang w:val="en-US"/>
        </w:rPr>
        <w:t>Rickettsiales</w:t>
      </w:r>
      <w:proofErr w:type="spellEnd"/>
      <w:r w:rsidRPr="00132347">
        <w:rPr>
          <w:rFonts w:ascii="Times" w:hAnsi="Times" w:cs="Arial"/>
          <w:color w:val="181817"/>
          <w:lang w:val="en-US"/>
        </w:rPr>
        <w:t xml:space="preserve">, of most </w:t>
      </w:r>
      <w:proofErr w:type="spellStart"/>
      <w:r w:rsidRPr="00132347">
        <w:rPr>
          <w:rFonts w:ascii="Times" w:hAnsi="Times" w:cs="Arial"/>
          <w:color w:val="181817"/>
          <w:lang w:val="en-US"/>
        </w:rPr>
        <w:t>Rhodobacterales</w:t>
      </w:r>
      <w:proofErr w:type="spellEnd"/>
      <w:r w:rsidRPr="00132347">
        <w:rPr>
          <w:rFonts w:ascii="Times" w:hAnsi="Times" w:cs="Arial"/>
          <w:color w:val="181817"/>
          <w:lang w:val="en-US"/>
        </w:rPr>
        <w:t xml:space="preserve"> and that of </w:t>
      </w:r>
      <w:proofErr w:type="spellStart"/>
      <w:r w:rsidRPr="00132347">
        <w:rPr>
          <w:rFonts w:ascii="Times" w:hAnsi="Times" w:cs="Arial"/>
          <w:color w:val="181817"/>
          <w:lang w:val="en-US"/>
        </w:rPr>
        <w:t>Rhizobiales</w:t>
      </w:r>
      <w:proofErr w:type="spellEnd"/>
      <w:r w:rsidRPr="00132347">
        <w:rPr>
          <w:rFonts w:ascii="Times" w:hAnsi="Times" w:cs="Arial"/>
          <w:color w:val="181817"/>
          <w:lang w:val="en-US"/>
        </w:rPr>
        <w:t xml:space="preserve"> sequences. </w:t>
      </w:r>
      <w:r w:rsidR="0062033A" w:rsidRPr="00132347">
        <w:rPr>
          <w:rFonts w:ascii="Times" w:hAnsi="Times" w:cs="Arial"/>
          <w:color w:val="181817"/>
          <w:lang w:val="en-US"/>
        </w:rPr>
        <w:t xml:space="preserve">Taken </w:t>
      </w:r>
      <w:r w:rsidR="00132347">
        <w:rPr>
          <w:rFonts w:ascii="Times" w:hAnsi="Times" w:cs="Arial"/>
          <w:color w:val="181817"/>
          <w:lang w:val="en-US"/>
        </w:rPr>
        <w:t>t</w:t>
      </w:r>
      <w:r w:rsidRPr="00132347">
        <w:rPr>
          <w:rFonts w:ascii="Times" w:hAnsi="Times" w:cs="Arial"/>
          <w:color w:val="181817"/>
          <w:lang w:val="en-US"/>
        </w:rPr>
        <w:t>ogether, these results</w:t>
      </w:r>
      <w:r w:rsidR="00F754FA" w:rsidRPr="00132347">
        <w:rPr>
          <w:rFonts w:ascii="Times" w:hAnsi="Times" w:cs="Arial"/>
          <w:color w:val="181817"/>
          <w:lang w:val="en-US"/>
        </w:rPr>
        <w:t xml:space="preserve"> </w:t>
      </w:r>
      <w:r w:rsidRPr="00132347">
        <w:rPr>
          <w:rFonts w:ascii="Times" w:hAnsi="Times" w:cs="Arial"/>
          <w:color w:val="181817"/>
          <w:lang w:val="en-US"/>
        </w:rPr>
        <w:t xml:space="preserve">provide strong support toward the divergence of </w:t>
      </w:r>
      <w:proofErr w:type="spellStart"/>
      <w:r w:rsidRPr="00132347">
        <w:rPr>
          <w:rFonts w:ascii="Times" w:hAnsi="Times" w:cs="Arial"/>
          <w:color w:val="181817"/>
          <w:lang w:val="en-US"/>
        </w:rPr>
        <w:t>Rickettsiales</w:t>
      </w:r>
      <w:proofErr w:type="spellEnd"/>
      <w:r w:rsidRPr="00132347">
        <w:rPr>
          <w:rFonts w:ascii="Times" w:hAnsi="Times" w:cs="Arial"/>
          <w:color w:val="181817"/>
          <w:lang w:val="en-US"/>
        </w:rPr>
        <w:t xml:space="preserve"> before the diversification of the remaining alphaproteobacterial subgroups.</w:t>
      </w:r>
      <w:r w:rsidR="00955E1F" w:rsidRPr="00132347">
        <w:rPr>
          <w:rFonts w:ascii="Times" w:hAnsi="Times" w:cs="Arial"/>
          <w:color w:val="181817"/>
          <w:lang w:val="en-US"/>
        </w:rPr>
        <w:t xml:space="preserve"> </w:t>
      </w:r>
    </w:p>
    <w:p w14:paraId="3FD51C10" w14:textId="77777777" w:rsidR="00A82C51" w:rsidRPr="00132347" w:rsidRDefault="00A82C51" w:rsidP="00A82C51">
      <w:pPr>
        <w:jc w:val="both"/>
        <w:rPr>
          <w:rFonts w:ascii="Times" w:hAnsi="Times" w:cs="Arial"/>
          <w:color w:val="181817"/>
        </w:rPr>
      </w:pPr>
    </w:p>
    <w:p w14:paraId="3E7BFCB6" w14:textId="0FE0D55D" w:rsidR="0011134C" w:rsidRPr="00132347" w:rsidRDefault="00132347" w:rsidP="00132347">
      <w:pPr>
        <w:jc w:val="both"/>
        <w:rPr>
          <w:rFonts w:ascii="Times" w:hAnsi="Times"/>
          <w:strike/>
          <w:lang w:val="en-US"/>
        </w:rPr>
      </w:pPr>
      <w:proofErr w:type="spellStart"/>
      <w:r>
        <w:rPr>
          <w:rFonts w:ascii="Times" w:hAnsi="Times"/>
        </w:rPr>
        <w:t>Explanation</w:t>
      </w:r>
      <w:proofErr w:type="spellEnd"/>
      <w:r w:rsidR="00A82C51" w:rsidRPr="00132347">
        <w:rPr>
          <w:rFonts w:ascii="Times" w:hAnsi="Times"/>
        </w:rPr>
        <w:t xml:space="preserve"> </w:t>
      </w:r>
      <w:proofErr w:type="spellStart"/>
      <w:r>
        <w:rPr>
          <w:rFonts w:ascii="Times" w:hAnsi="Times"/>
        </w:rPr>
        <w:t>of</w:t>
      </w:r>
      <w:proofErr w:type="spellEnd"/>
      <w:r>
        <w:rPr>
          <w:rFonts w:ascii="Times" w:hAnsi="Times"/>
        </w:rPr>
        <w:t xml:space="preserve"> </w:t>
      </w:r>
      <w:proofErr w:type="spellStart"/>
      <w:r w:rsidR="004D5BC4">
        <w:rPr>
          <w:rFonts w:ascii="Times" w:hAnsi="Times"/>
        </w:rPr>
        <w:t>Supplementary</w:t>
      </w:r>
      <w:proofErr w:type="spellEnd"/>
      <w:r w:rsidR="004D5BC4">
        <w:rPr>
          <w:rFonts w:ascii="Times" w:hAnsi="Times"/>
        </w:rPr>
        <w:t xml:space="preserve"> F</w:t>
      </w:r>
      <w:r w:rsidR="00A82C51" w:rsidRPr="00132347">
        <w:rPr>
          <w:rFonts w:ascii="Times" w:hAnsi="Times"/>
        </w:rPr>
        <w:t xml:space="preserve">igure </w:t>
      </w:r>
      <w:r w:rsidR="004D5BC4">
        <w:rPr>
          <w:rFonts w:ascii="Times" w:hAnsi="Times"/>
        </w:rPr>
        <w:t>M</w:t>
      </w:r>
      <w:r w:rsidR="00A82C51" w:rsidRPr="00132347">
        <w:rPr>
          <w:rFonts w:ascii="Times" w:hAnsi="Times"/>
        </w:rPr>
        <w:t xml:space="preserve">1 </w:t>
      </w:r>
    </w:p>
    <w:p w14:paraId="6CD96455" w14:textId="77777777" w:rsidR="0011134C" w:rsidRPr="00132347" w:rsidRDefault="0011134C" w:rsidP="00A82C51">
      <w:pPr>
        <w:jc w:val="both"/>
        <w:rPr>
          <w:rFonts w:ascii="Times" w:hAnsi="Times"/>
          <w:lang w:val="en-US"/>
        </w:rPr>
      </w:pPr>
    </w:p>
    <w:p w14:paraId="414C86D5" w14:textId="748A600E" w:rsidR="00932365" w:rsidRPr="00132347" w:rsidRDefault="7F7F74D2" w:rsidP="00A82C51">
      <w:pPr>
        <w:jc w:val="both"/>
        <w:rPr>
          <w:rFonts w:ascii="Times" w:hAnsi="Times"/>
          <w:lang w:val="en-US"/>
        </w:rPr>
      </w:pPr>
      <w:r w:rsidRPr="00132347">
        <w:rPr>
          <w:rFonts w:ascii="Times" w:hAnsi="Times"/>
          <w:lang w:val="en-US"/>
        </w:rPr>
        <w:t xml:space="preserve">Supplementary result </w:t>
      </w:r>
      <w:r w:rsidR="00F754FA" w:rsidRPr="00132347">
        <w:rPr>
          <w:rFonts w:ascii="Times" w:hAnsi="Times"/>
          <w:lang w:val="en-US"/>
        </w:rPr>
        <w:t xml:space="preserve">to Figure 3 in the main text: </w:t>
      </w:r>
      <w:r w:rsidRPr="00132347">
        <w:rPr>
          <w:rFonts w:ascii="Times" w:hAnsi="Times"/>
          <w:lang w:val="en-US"/>
        </w:rPr>
        <w:t xml:space="preserve">dendrogram obtained by applying the </w:t>
      </w:r>
      <w:proofErr w:type="spellStart"/>
      <w:r w:rsidRPr="00132347">
        <w:rPr>
          <w:rFonts w:ascii="Times" w:hAnsi="Times"/>
          <w:lang w:val="en-US"/>
        </w:rPr>
        <w:t>MultiNG</w:t>
      </w:r>
      <w:proofErr w:type="spellEnd"/>
      <w:r w:rsidRPr="00132347">
        <w:rPr>
          <w:rFonts w:ascii="Times" w:hAnsi="Times"/>
          <w:lang w:val="en-US"/>
        </w:rPr>
        <w:t xml:space="preserve"> algorithm to the weighted layer multiplex network</w:t>
      </w:r>
      <w:r w:rsidR="00F754FA" w:rsidRPr="00132347">
        <w:rPr>
          <w:rFonts w:ascii="Times" w:hAnsi="Times"/>
          <w:lang w:val="en-US"/>
        </w:rPr>
        <w:t xml:space="preserve"> at larger values of </w:t>
      </w:r>
      <w:r w:rsidR="00F754FA" w:rsidRPr="00132347">
        <w:t>σ</w:t>
      </w:r>
      <w:proofErr w:type="spellStart"/>
      <w:r w:rsidR="00F754FA" w:rsidRPr="00132347">
        <w:rPr>
          <w:i/>
          <w:vertAlign w:val="subscript"/>
          <w:lang w:val="en-US"/>
        </w:rPr>
        <w:t>th</w:t>
      </w:r>
      <w:proofErr w:type="spellEnd"/>
      <w:r w:rsidR="00F754FA" w:rsidRPr="00132347">
        <w:rPr>
          <w:rFonts w:ascii="Times" w:hAnsi="Times" w:cs="Arial"/>
          <w:color w:val="181817"/>
          <w:lang w:val="en-US"/>
        </w:rPr>
        <w:t xml:space="preserve"> (Cob: 70%; Cox2: 61%; Cox3: 67%; Nad1: 72%; Nad4: 68%; Nad5: 67%; Nad6: 67%; Nad9: 66%)</w:t>
      </w:r>
      <w:r w:rsidR="005D76BB" w:rsidRPr="00132347">
        <w:rPr>
          <w:rFonts w:ascii="Times" w:hAnsi="Times" w:cs="Arial"/>
          <w:color w:val="181817"/>
          <w:lang w:val="en-US"/>
        </w:rPr>
        <w:t xml:space="preserve">. Although the initial number of isolated branches is larger than that of Figure 3, </w:t>
      </w:r>
      <w:r w:rsidR="000750EA" w:rsidRPr="00132347">
        <w:rPr>
          <w:rFonts w:ascii="Times" w:hAnsi="Times"/>
          <w:lang w:val="en-US"/>
        </w:rPr>
        <w:t>for the sake of a better identification</w:t>
      </w:r>
      <w:r w:rsidR="000750EA" w:rsidRPr="00132347">
        <w:rPr>
          <w:rFonts w:ascii="Times" w:hAnsi="Times" w:cs="Arial"/>
          <w:color w:val="181817"/>
          <w:lang w:val="en-US"/>
        </w:rPr>
        <w:t xml:space="preserve"> </w:t>
      </w:r>
      <w:r w:rsidR="005D76BB" w:rsidRPr="00132347">
        <w:rPr>
          <w:rFonts w:ascii="Times" w:hAnsi="Times" w:cs="Arial"/>
          <w:color w:val="181817"/>
          <w:lang w:val="en-US"/>
        </w:rPr>
        <w:t xml:space="preserve">the </w:t>
      </w:r>
      <w:r w:rsidR="000750EA" w:rsidRPr="00132347">
        <w:rPr>
          <w:rFonts w:ascii="Times" w:hAnsi="Times" w:cs="Arial"/>
          <w:color w:val="181817"/>
          <w:lang w:val="en-US"/>
        </w:rPr>
        <w:t xml:space="preserve">sequences are distributed into </w:t>
      </w:r>
      <w:r w:rsidR="005D76BB" w:rsidRPr="00132347">
        <w:rPr>
          <w:rFonts w:ascii="Times" w:hAnsi="Times" w:cs="Arial"/>
          <w:color w:val="181817"/>
          <w:lang w:val="en-US"/>
        </w:rPr>
        <w:t xml:space="preserve">communities C0-C3 </w:t>
      </w:r>
      <w:r w:rsidR="000750EA" w:rsidRPr="00132347">
        <w:rPr>
          <w:rFonts w:ascii="Times" w:hAnsi="Times" w:cs="Arial"/>
          <w:color w:val="181817"/>
          <w:lang w:val="en-US"/>
        </w:rPr>
        <w:t>according to</w:t>
      </w:r>
      <w:r w:rsidR="005D76BB" w:rsidRPr="00132347">
        <w:rPr>
          <w:rFonts w:ascii="Times" w:hAnsi="Times" w:cs="Arial"/>
          <w:color w:val="181817"/>
          <w:lang w:val="en-US"/>
        </w:rPr>
        <w:t xml:space="preserve"> identifi</w:t>
      </w:r>
      <w:r w:rsidR="000750EA" w:rsidRPr="00132347">
        <w:rPr>
          <w:rFonts w:ascii="Times" w:hAnsi="Times" w:cs="Arial"/>
          <w:color w:val="181817"/>
          <w:lang w:val="en-US"/>
        </w:rPr>
        <w:t>cation defin</w:t>
      </w:r>
      <w:r w:rsidR="005D76BB" w:rsidRPr="00132347">
        <w:rPr>
          <w:rFonts w:ascii="Times" w:hAnsi="Times" w:cs="Arial"/>
          <w:color w:val="181817"/>
          <w:lang w:val="en-US"/>
        </w:rPr>
        <w:t>ed in that figure.</w:t>
      </w:r>
      <w:r w:rsidR="005D76BB" w:rsidRPr="00132347">
        <w:rPr>
          <w:rFonts w:ascii="Times" w:hAnsi="Times"/>
          <w:lang w:val="en-US"/>
        </w:rPr>
        <w:t xml:space="preserve"> </w:t>
      </w:r>
      <w:r w:rsidR="000750EA" w:rsidRPr="00132347">
        <w:rPr>
          <w:rFonts w:ascii="Times" w:hAnsi="Times"/>
          <w:lang w:val="en-US"/>
        </w:rPr>
        <w:t>For the same reason</w:t>
      </w:r>
      <w:r w:rsidR="005D76BB" w:rsidRPr="00132347">
        <w:rPr>
          <w:rFonts w:ascii="Times" w:hAnsi="Times"/>
          <w:lang w:val="en-US"/>
        </w:rPr>
        <w:t xml:space="preserve">, the 10 early diverging </w:t>
      </w:r>
      <w:proofErr w:type="spellStart"/>
      <w:r w:rsidR="005D76BB" w:rsidRPr="00132347">
        <w:rPr>
          <w:rFonts w:ascii="Times" w:hAnsi="Times"/>
          <w:lang w:val="en-US"/>
        </w:rPr>
        <w:t>Rickettsiales</w:t>
      </w:r>
      <w:proofErr w:type="spellEnd"/>
      <w:r w:rsidR="005D76BB" w:rsidRPr="00132347">
        <w:rPr>
          <w:rFonts w:ascii="Times" w:hAnsi="Times"/>
          <w:lang w:val="en-US"/>
        </w:rPr>
        <w:t xml:space="preserve"> within C3 are drawn in red. Contrary to what was observed in Figure 3, the dendrogram further discloses </w:t>
      </w:r>
      <w:r w:rsidR="005979E5" w:rsidRPr="00132347">
        <w:rPr>
          <w:rFonts w:ascii="Times" w:hAnsi="Times"/>
          <w:lang w:val="en-US"/>
        </w:rPr>
        <w:t xml:space="preserve">eight </w:t>
      </w:r>
      <w:r w:rsidR="005D76BB" w:rsidRPr="00132347">
        <w:rPr>
          <w:rFonts w:ascii="Times" w:hAnsi="Times"/>
          <w:lang w:val="en-US"/>
        </w:rPr>
        <w:t>well defined sub-clusters with</w:t>
      </w:r>
      <w:r w:rsidRPr="00132347">
        <w:rPr>
          <w:rFonts w:ascii="Times" w:hAnsi="Times"/>
          <w:lang w:val="en-US"/>
        </w:rPr>
        <w:t>in the C3</w:t>
      </w:r>
      <w:r w:rsidR="005979E5" w:rsidRPr="00132347">
        <w:rPr>
          <w:rFonts w:ascii="Times" w:hAnsi="Times"/>
          <w:lang w:val="en-US"/>
        </w:rPr>
        <w:t>, and</w:t>
      </w:r>
      <w:r w:rsidRPr="00132347">
        <w:rPr>
          <w:rFonts w:ascii="Times" w:hAnsi="Times"/>
          <w:lang w:val="en-US"/>
        </w:rPr>
        <w:t xml:space="preserve"> the highest modularity value </w:t>
      </w:r>
      <w:r w:rsidR="005979E5" w:rsidRPr="00132347">
        <w:rPr>
          <w:rFonts w:ascii="Times" w:hAnsi="Times"/>
          <w:lang w:val="en-US"/>
        </w:rPr>
        <w:t xml:space="preserve">Q = 0.9461 just </w:t>
      </w:r>
      <w:r w:rsidRPr="00132347">
        <w:rPr>
          <w:rFonts w:ascii="Times" w:hAnsi="Times"/>
          <w:lang w:val="en-US"/>
        </w:rPr>
        <w:t xml:space="preserve">before </w:t>
      </w:r>
      <w:r w:rsidR="005979E5" w:rsidRPr="00132347">
        <w:rPr>
          <w:rFonts w:ascii="Times" w:hAnsi="Times"/>
          <w:lang w:val="en-US"/>
        </w:rPr>
        <w:t xml:space="preserve">a series of important </w:t>
      </w:r>
      <w:r w:rsidRPr="00132347">
        <w:rPr>
          <w:rFonts w:ascii="Times" w:hAnsi="Times"/>
          <w:lang w:val="en-US"/>
        </w:rPr>
        <w:t xml:space="preserve">divergences </w:t>
      </w:r>
      <w:r w:rsidR="005979E5" w:rsidRPr="00132347">
        <w:rPr>
          <w:rFonts w:ascii="Times" w:hAnsi="Times"/>
          <w:lang w:val="en-US"/>
        </w:rPr>
        <w:t>leading to the subgroups</w:t>
      </w:r>
      <w:r w:rsidR="00EF64FB" w:rsidRPr="00132347">
        <w:rPr>
          <w:rFonts w:ascii="Times" w:hAnsi="Times"/>
          <w:lang w:val="en-US"/>
        </w:rPr>
        <w:t xml:space="preserve">. Some of them are characterized by the presence of most </w:t>
      </w:r>
      <w:proofErr w:type="spellStart"/>
      <w:r w:rsidR="00EF64FB" w:rsidRPr="00132347">
        <w:rPr>
          <w:rFonts w:ascii="Times" w:hAnsi="Times" w:cs="Arial"/>
          <w:color w:val="181817"/>
          <w:lang w:val="en-US"/>
        </w:rPr>
        <w:t>Rhodobacterales</w:t>
      </w:r>
      <w:proofErr w:type="spellEnd"/>
      <w:r w:rsidR="00EF64FB" w:rsidRPr="00132347">
        <w:rPr>
          <w:rFonts w:ascii="Times" w:hAnsi="Times" w:cs="Arial"/>
          <w:color w:val="181817"/>
          <w:lang w:val="en-US"/>
        </w:rPr>
        <w:t xml:space="preserve"> and </w:t>
      </w:r>
      <w:proofErr w:type="spellStart"/>
      <w:r w:rsidR="00EF64FB" w:rsidRPr="00132347">
        <w:rPr>
          <w:rFonts w:ascii="Times" w:hAnsi="Times" w:cs="Arial"/>
          <w:color w:val="181817"/>
          <w:lang w:val="en-US"/>
        </w:rPr>
        <w:t>Rhizobiales</w:t>
      </w:r>
      <w:proofErr w:type="spellEnd"/>
      <w:r w:rsidR="00EF64FB" w:rsidRPr="00132347">
        <w:rPr>
          <w:rFonts w:ascii="Times" w:hAnsi="Times" w:cs="Arial"/>
          <w:color w:val="181817"/>
          <w:lang w:val="en-US"/>
        </w:rPr>
        <w:t xml:space="preserve"> sequences.</w:t>
      </w:r>
    </w:p>
    <w:p w14:paraId="3EAE3474" w14:textId="5533B87E" w:rsidR="00932365" w:rsidRPr="00132347" w:rsidRDefault="00932365" w:rsidP="7F7F74D2">
      <w:pPr>
        <w:jc w:val="both"/>
        <w:rPr>
          <w:rFonts w:ascii="Times" w:hAnsi="Times"/>
          <w:lang w:val="en-US"/>
        </w:rPr>
      </w:pPr>
    </w:p>
    <w:p w14:paraId="5B133A1D" w14:textId="77777777" w:rsidR="00932365" w:rsidRPr="00132347" w:rsidRDefault="00932365" w:rsidP="00932365">
      <w:pPr>
        <w:jc w:val="both"/>
        <w:rPr>
          <w:rFonts w:ascii="Times" w:hAnsi="Times"/>
          <w:lang w:val="en-US"/>
        </w:rPr>
      </w:pPr>
      <w:r w:rsidRPr="00132347">
        <w:rPr>
          <w:rFonts w:ascii="Times" w:hAnsi="Times"/>
          <w:lang w:val="en-US"/>
        </w:rPr>
        <w:t>Description table 1 supplementary</w:t>
      </w:r>
    </w:p>
    <w:p w14:paraId="0BA94A72" w14:textId="77777777" w:rsidR="00932365" w:rsidRPr="00132347" w:rsidRDefault="00932365" w:rsidP="00932365">
      <w:pPr>
        <w:jc w:val="both"/>
        <w:rPr>
          <w:rFonts w:ascii="Times" w:hAnsi="Times"/>
          <w:lang w:val="en-US"/>
        </w:rPr>
      </w:pPr>
    </w:p>
    <w:p w14:paraId="7899BE11" w14:textId="77777777" w:rsidR="00932365" w:rsidRPr="00132347" w:rsidRDefault="00C5774E" w:rsidP="00932365">
      <w:pPr>
        <w:jc w:val="both"/>
        <w:rPr>
          <w:rFonts w:ascii="Times" w:hAnsi="Times"/>
          <w:lang w:val="en-US"/>
        </w:rPr>
      </w:pPr>
      <w:r w:rsidRPr="00132347">
        <w:rPr>
          <w:rFonts w:ascii="Times" w:hAnsi="Times"/>
          <w:lang w:val="en-US"/>
        </w:rPr>
        <w:t xml:space="preserve">Species included in the work, their taxonomic information and community members, shown in figure 2 (main </w:t>
      </w:r>
      <w:r w:rsidR="00CE1ABA" w:rsidRPr="00132347">
        <w:rPr>
          <w:rFonts w:ascii="Times" w:hAnsi="Times"/>
          <w:lang w:val="en-US"/>
        </w:rPr>
        <w:t>dendrogram</w:t>
      </w:r>
      <w:r w:rsidRPr="00132347">
        <w:rPr>
          <w:rFonts w:ascii="Times" w:hAnsi="Times"/>
          <w:lang w:val="en-US"/>
        </w:rPr>
        <w:t>) revealed during the evaluation of the network structure.</w:t>
      </w:r>
    </w:p>
    <w:p w14:paraId="3D1D9D65" w14:textId="77777777" w:rsidR="00932365" w:rsidRPr="00132347" w:rsidRDefault="00932365" w:rsidP="00932365">
      <w:pPr>
        <w:jc w:val="both"/>
        <w:rPr>
          <w:rFonts w:ascii="Times" w:hAnsi="Times"/>
          <w:lang w:val="en-US"/>
        </w:rPr>
      </w:pPr>
    </w:p>
    <w:p w14:paraId="342BF20D" w14:textId="77777777" w:rsidR="00932365" w:rsidRPr="00132347" w:rsidRDefault="00932365" w:rsidP="00932365">
      <w:pPr>
        <w:jc w:val="both"/>
        <w:rPr>
          <w:rFonts w:ascii="Times" w:hAnsi="Times"/>
          <w:lang w:val="en-US"/>
        </w:rPr>
      </w:pPr>
      <w:r w:rsidRPr="00132347">
        <w:rPr>
          <w:rFonts w:ascii="Times" w:hAnsi="Times"/>
          <w:lang w:val="en-US"/>
        </w:rPr>
        <w:t>Description table 2 supplementary</w:t>
      </w:r>
    </w:p>
    <w:p w14:paraId="14F1A5B5" w14:textId="77777777" w:rsidR="00C5774E" w:rsidRPr="00132347" w:rsidRDefault="00C5774E" w:rsidP="00932365">
      <w:pPr>
        <w:jc w:val="both"/>
        <w:rPr>
          <w:rFonts w:ascii="Times" w:hAnsi="Times"/>
          <w:lang w:val="en-US"/>
        </w:rPr>
      </w:pPr>
    </w:p>
    <w:p w14:paraId="156EC116" w14:textId="77777777" w:rsidR="00932365" w:rsidRPr="00132347" w:rsidRDefault="7ABA874C" w:rsidP="00932365">
      <w:pPr>
        <w:jc w:val="both"/>
        <w:rPr>
          <w:rFonts w:ascii="Times" w:hAnsi="Times"/>
          <w:lang w:val="en-US"/>
        </w:rPr>
      </w:pPr>
      <w:r w:rsidRPr="00132347">
        <w:rPr>
          <w:rFonts w:ascii="Times" w:hAnsi="Times"/>
          <w:lang w:val="en-US"/>
        </w:rPr>
        <w:t>Species included in the work, their taxonomic information and community members and subcommunities (if any), shown in complementary figure 1 (supplementary dendrogram) revealed during the network structure assessment.</w:t>
      </w:r>
    </w:p>
    <w:p w14:paraId="67B76D0A" w14:textId="7B091AEC" w:rsidR="7ABA874C" w:rsidRPr="00132347" w:rsidRDefault="7ABA874C" w:rsidP="7ABA874C">
      <w:pPr>
        <w:jc w:val="both"/>
        <w:rPr>
          <w:rFonts w:ascii="Times" w:hAnsi="Times"/>
          <w:lang w:val="en-US"/>
        </w:rPr>
      </w:pPr>
    </w:p>
    <w:p w14:paraId="14DB3D33" w14:textId="156FB031" w:rsidR="7ABA874C" w:rsidRPr="00132347" w:rsidRDefault="7ABA874C" w:rsidP="7ABA874C">
      <w:pPr>
        <w:jc w:val="both"/>
        <w:rPr>
          <w:rFonts w:ascii="Times" w:hAnsi="Times"/>
          <w:lang w:val="en-US"/>
        </w:rPr>
      </w:pPr>
      <w:r w:rsidRPr="00132347">
        <w:rPr>
          <w:rFonts w:ascii="Times" w:hAnsi="Times"/>
          <w:lang w:val="en-US"/>
        </w:rPr>
        <w:t>Description table 3 supplementary</w:t>
      </w:r>
    </w:p>
    <w:p w14:paraId="3F934E9A" w14:textId="43B3A138" w:rsidR="7ABA874C" w:rsidRPr="00132347" w:rsidRDefault="7ABA874C" w:rsidP="7ABA874C">
      <w:pPr>
        <w:jc w:val="both"/>
        <w:rPr>
          <w:rFonts w:ascii="Times" w:hAnsi="Times"/>
          <w:lang w:val="en-US"/>
        </w:rPr>
      </w:pPr>
    </w:p>
    <w:p w14:paraId="634800BD" w14:textId="05043F56" w:rsidR="7ABA874C" w:rsidRDefault="7ABA874C" w:rsidP="7ABA874C">
      <w:pPr>
        <w:jc w:val="both"/>
        <w:rPr>
          <w:rFonts w:ascii="Times" w:hAnsi="Times"/>
          <w:lang w:val="en-US"/>
        </w:rPr>
      </w:pPr>
      <w:r w:rsidRPr="00132347">
        <w:rPr>
          <w:rFonts w:ascii="Times" w:hAnsi="Times"/>
          <w:lang w:val="en-US"/>
        </w:rPr>
        <w:t>Species included in the work, abbreviated nomenclature, representation of the number of each species.</w:t>
      </w:r>
    </w:p>
    <w:p w14:paraId="42FAF6A7" w14:textId="5ABBF1DD" w:rsidR="7ABA874C" w:rsidRDefault="7ABA874C" w:rsidP="7ABA874C">
      <w:pPr>
        <w:jc w:val="both"/>
        <w:rPr>
          <w:rFonts w:ascii="Times" w:hAnsi="Times"/>
          <w:lang w:val="en-US"/>
        </w:rPr>
      </w:pPr>
    </w:p>
    <w:p w14:paraId="54F22289" w14:textId="77777777" w:rsidR="00932365" w:rsidRPr="00932365" w:rsidRDefault="00932365" w:rsidP="00A82C51">
      <w:pPr>
        <w:jc w:val="both"/>
        <w:rPr>
          <w:rFonts w:ascii="Times" w:hAnsi="Times"/>
          <w:lang w:val="en-US"/>
        </w:rPr>
      </w:pPr>
    </w:p>
    <w:p w14:paraId="6823CECA" w14:textId="77777777" w:rsidR="00932365" w:rsidRPr="00932365" w:rsidRDefault="00932365" w:rsidP="00A82C51">
      <w:pPr>
        <w:jc w:val="both"/>
        <w:rPr>
          <w:rFonts w:ascii="Times" w:hAnsi="Times"/>
          <w:lang w:val="en-US"/>
        </w:rPr>
      </w:pPr>
    </w:p>
    <w:p w14:paraId="40C1003D" w14:textId="77777777" w:rsidR="00932365" w:rsidRPr="00932365" w:rsidRDefault="00932365" w:rsidP="00A82C51">
      <w:pPr>
        <w:jc w:val="both"/>
        <w:rPr>
          <w:rFonts w:ascii="Times" w:hAnsi="Times"/>
          <w:lang w:val="en-US"/>
        </w:rPr>
      </w:pPr>
    </w:p>
    <w:p w14:paraId="4732EA5E" w14:textId="77777777" w:rsidR="00932365" w:rsidRPr="00932365" w:rsidRDefault="00932365" w:rsidP="00A82C51">
      <w:pPr>
        <w:jc w:val="both"/>
        <w:rPr>
          <w:rFonts w:ascii="Times" w:hAnsi="Times"/>
          <w:lang w:val="en-US"/>
        </w:rPr>
      </w:pPr>
    </w:p>
    <w:p w14:paraId="0755F98F" w14:textId="77777777" w:rsidR="00932365" w:rsidRPr="00932365" w:rsidRDefault="00932365" w:rsidP="00A82C51">
      <w:pPr>
        <w:jc w:val="both"/>
        <w:rPr>
          <w:rFonts w:ascii="Times" w:hAnsi="Times"/>
          <w:lang w:val="en-US"/>
        </w:rPr>
      </w:pPr>
    </w:p>
    <w:p w14:paraId="08539B86" w14:textId="77777777" w:rsidR="00A82C51" w:rsidRPr="00F754FA" w:rsidRDefault="00A82C51" w:rsidP="00A82C51">
      <w:pPr>
        <w:jc w:val="both"/>
        <w:rPr>
          <w:rFonts w:ascii="Times" w:hAnsi="Times"/>
          <w:lang w:val="en-US"/>
        </w:rPr>
      </w:pPr>
    </w:p>
    <w:p w14:paraId="0A821C7B" w14:textId="77777777" w:rsidR="00A82C51" w:rsidRPr="00F754FA" w:rsidRDefault="00A82C51" w:rsidP="00A82C51">
      <w:pPr>
        <w:jc w:val="both"/>
        <w:rPr>
          <w:rFonts w:ascii="Times" w:hAnsi="Times"/>
          <w:lang w:val="en-US"/>
        </w:rPr>
      </w:pPr>
    </w:p>
    <w:sectPr w:rsidR="00A82C51" w:rsidRPr="00F754FA" w:rsidSect="004A70F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C51"/>
    <w:rsid w:val="0000230D"/>
    <w:rsid w:val="000750EA"/>
    <w:rsid w:val="0011134C"/>
    <w:rsid w:val="00132347"/>
    <w:rsid w:val="0043138B"/>
    <w:rsid w:val="004A70FD"/>
    <w:rsid w:val="004D5BC4"/>
    <w:rsid w:val="00596FE0"/>
    <w:rsid w:val="005979E5"/>
    <w:rsid w:val="005D76BB"/>
    <w:rsid w:val="0062033A"/>
    <w:rsid w:val="00932365"/>
    <w:rsid w:val="00955E1F"/>
    <w:rsid w:val="00A82C51"/>
    <w:rsid w:val="00AF6177"/>
    <w:rsid w:val="00AF7472"/>
    <w:rsid w:val="00C5774E"/>
    <w:rsid w:val="00CE1ABA"/>
    <w:rsid w:val="00EF64FB"/>
    <w:rsid w:val="00F754FA"/>
    <w:rsid w:val="7ABA874C"/>
    <w:rsid w:val="7F7F74D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70A184"/>
  <w14:defaultImageDpi w14:val="300"/>
  <w15:docId w15:val="{3020AF93-B717-9241-AF0A-AEEBADFB6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lqj4b">
    <w:name w:val="jlqj4b"/>
    <w:basedOn w:val="DefaultParagraphFont"/>
    <w:rsid w:val="7F7F74D2"/>
  </w:style>
  <w:style w:type="character" w:customStyle="1" w:styleId="viiyi">
    <w:name w:val="viiyi"/>
    <w:basedOn w:val="DefaultParagraphFont"/>
    <w:rsid w:val="7F7F74D2"/>
  </w:style>
  <w:style w:type="paragraph" w:styleId="BalloonText">
    <w:name w:val="Balloon Text"/>
    <w:basedOn w:val="Normal"/>
    <w:link w:val="BalloonTextChar"/>
    <w:uiPriority w:val="99"/>
    <w:semiHidden/>
    <w:unhideWhenUsed/>
    <w:rsid w:val="00F754FA"/>
    <w:rPr>
      <w:rFonts w:ascii="Tahoma" w:hAnsi="Tahoma" w:cs="Tahoma"/>
      <w:sz w:val="16"/>
      <w:szCs w:val="16"/>
    </w:rPr>
  </w:style>
  <w:style w:type="character" w:customStyle="1" w:styleId="BalloonTextChar">
    <w:name w:val="Balloon Text Char"/>
    <w:basedOn w:val="DefaultParagraphFont"/>
    <w:link w:val="BalloonText"/>
    <w:uiPriority w:val="99"/>
    <w:semiHidden/>
    <w:rsid w:val="00F754FA"/>
    <w:rPr>
      <w:rFonts w:ascii="Tahoma" w:hAnsi="Tahoma" w:cs="Tahoma"/>
      <w:sz w:val="16"/>
      <w:szCs w:val="16"/>
    </w:rPr>
  </w:style>
  <w:style w:type="paragraph" w:styleId="Revision">
    <w:name w:val="Revision"/>
    <w:hidden/>
    <w:uiPriority w:val="99"/>
    <w:semiHidden/>
    <w:rsid w:val="00620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2277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367</Words>
  <Characters>2062</Characters>
  <Application>Microsoft Office Word</Application>
  <DocSecurity>0</DocSecurity>
  <Lines>34</Lines>
  <Paragraphs>28</Paragraphs>
  <ScaleCrop>false</ScaleCrop>
  <HeadingPairs>
    <vt:vector size="2" baseType="variant">
      <vt:variant>
        <vt:lpstr>Título</vt:lpstr>
      </vt:variant>
      <vt:variant>
        <vt:i4>1</vt:i4>
      </vt:variant>
    </vt:vector>
  </HeadingPairs>
  <TitlesOfParts>
    <vt:vector size="1" baseType="lpstr">
      <vt:lpstr/>
    </vt:vector>
  </TitlesOfParts>
  <Company>UFBA</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Dérick Borges</dc:creator>
  <cp:lastModifiedBy>Aristóteles Góes-Neto</cp:lastModifiedBy>
  <cp:revision>4</cp:revision>
  <cp:lastPrinted>2022-05-16T11:20:00Z</cp:lastPrinted>
  <dcterms:created xsi:type="dcterms:W3CDTF">2022-06-29T00:12:00Z</dcterms:created>
  <dcterms:modified xsi:type="dcterms:W3CDTF">2022-06-29T00:26:00Z</dcterms:modified>
</cp:coreProperties>
</file>