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83F62" w14:textId="77777777" w:rsidR="00543643" w:rsidRDefault="00543643" w:rsidP="00543643">
      <w:pPr>
        <w:rPr>
          <w:rFonts w:ascii="Times New Roman" w:hAnsi="Times New Roman" w:cs="Times New Roman"/>
          <w:b/>
          <w:bCs/>
          <w:sz w:val="22"/>
        </w:rPr>
      </w:pPr>
      <w:r w:rsidRPr="00DA12FD">
        <w:rPr>
          <w:rFonts w:ascii="Times New Roman" w:hAnsi="Times New Roman" w:cs="Times New Roman"/>
          <w:b/>
          <w:bCs/>
          <w:sz w:val="22"/>
        </w:rPr>
        <w:t xml:space="preserve">Supplementary Table 1. </w:t>
      </w:r>
      <w:r>
        <w:rPr>
          <w:rFonts w:ascii="Times New Roman" w:hAnsi="Times New Roman" w:cs="Times New Roman"/>
          <w:b/>
          <w:bCs/>
          <w:sz w:val="22"/>
        </w:rPr>
        <w:t>Competitive level classification (China).</w:t>
      </w:r>
    </w:p>
    <w:tbl>
      <w:tblPr>
        <w:tblStyle w:val="a3"/>
        <w:tblW w:w="0" w:type="auto"/>
        <w:tblLook w:val="04A0" w:firstRow="1" w:lastRow="0" w:firstColumn="1" w:lastColumn="0" w:noHBand="0" w:noVBand="1"/>
      </w:tblPr>
      <w:tblGrid>
        <w:gridCol w:w="1555"/>
        <w:gridCol w:w="6741"/>
      </w:tblGrid>
      <w:tr w:rsidR="00543643" w14:paraId="3A8FEFFC" w14:textId="77777777" w:rsidTr="003069D3">
        <w:tc>
          <w:tcPr>
            <w:tcW w:w="1555" w:type="dxa"/>
          </w:tcPr>
          <w:p w14:paraId="3BE4816C" w14:textId="77777777" w:rsidR="00543643" w:rsidRDefault="00543643" w:rsidP="003069D3">
            <w:pPr>
              <w:rPr>
                <w:rFonts w:ascii="Times New Roman" w:hAnsi="Times New Roman" w:cs="Times New Roman"/>
                <w:b/>
                <w:bCs/>
                <w:sz w:val="22"/>
              </w:rPr>
            </w:pPr>
            <w:r>
              <w:rPr>
                <w:rFonts w:ascii="Times New Roman" w:hAnsi="Times New Roman" w:cs="Times New Roman" w:hint="eastAsia"/>
                <w:b/>
                <w:bCs/>
                <w:sz w:val="22"/>
              </w:rPr>
              <w:t>T</w:t>
            </w:r>
            <w:r>
              <w:rPr>
                <w:rFonts w:ascii="Times New Roman" w:hAnsi="Times New Roman" w:cs="Times New Roman"/>
                <w:b/>
                <w:bCs/>
                <w:sz w:val="22"/>
              </w:rPr>
              <w:t>ier</w:t>
            </w:r>
          </w:p>
        </w:tc>
        <w:tc>
          <w:tcPr>
            <w:tcW w:w="6741" w:type="dxa"/>
          </w:tcPr>
          <w:p w14:paraId="4845D883" w14:textId="77777777" w:rsidR="00543643" w:rsidRDefault="00543643" w:rsidP="003069D3">
            <w:pPr>
              <w:rPr>
                <w:rFonts w:ascii="Times New Roman" w:hAnsi="Times New Roman" w:cs="Times New Roman"/>
                <w:b/>
                <w:bCs/>
                <w:sz w:val="22"/>
              </w:rPr>
            </w:pPr>
            <w:r>
              <w:rPr>
                <w:rFonts w:ascii="Times New Roman" w:hAnsi="Times New Roman" w:cs="Times New Roman"/>
                <w:b/>
                <w:bCs/>
                <w:sz w:val="22"/>
              </w:rPr>
              <w:t>Criteria for classification</w:t>
            </w:r>
          </w:p>
        </w:tc>
      </w:tr>
      <w:tr w:rsidR="00543643" w14:paraId="1EA49A88" w14:textId="77777777" w:rsidTr="003069D3">
        <w:tc>
          <w:tcPr>
            <w:tcW w:w="1555" w:type="dxa"/>
          </w:tcPr>
          <w:p w14:paraId="3EF65A95" w14:textId="77777777" w:rsidR="00543643" w:rsidRDefault="00543643" w:rsidP="003069D3">
            <w:pPr>
              <w:rPr>
                <w:rFonts w:ascii="Times New Roman" w:hAnsi="Times New Roman" w:cs="Times New Roman"/>
                <w:b/>
                <w:bCs/>
                <w:sz w:val="22"/>
              </w:rPr>
            </w:pPr>
            <w:r>
              <w:rPr>
                <w:rFonts w:ascii="Times New Roman" w:hAnsi="Times New Roman" w:cs="Times New Roman"/>
                <w:b/>
                <w:bCs/>
                <w:sz w:val="22"/>
              </w:rPr>
              <w:t>I</w:t>
            </w:r>
            <w:r>
              <w:rPr>
                <w:rFonts w:ascii="Times New Roman" w:hAnsi="Times New Roman" w:cs="Times New Roman" w:hint="eastAsia"/>
                <w:b/>
                <w:bCs/>
                <w:sz w:val="22"/>
              </w:rPr>
              <w:t>nternational</w:t>
            </w:r>
            <w:r>
              <w:rPr>
                <w:rFonts w:ascii="Times New Roman" w:hAnsi="Times New Roman" w:cs="Times New Roman"/>
                <w:b/>
                <w:bCs/>
                <w:sz w:val="22"/>
              </w:rPr>
              <w:t xml:space="preserve"> Grade</w:t>
            </w:r>
          </w:p>
        </w:tc>
        <w:tc>
          <w:tcPr>
            <w:tcW w:w="6741" w:type="dxa"/>
          </w:tcPr>
          <w:p w14:paraId="0BFDDD46" w14:textId="77777777" w:rsidR="00543643" w:rsidRPr="00E6266A" w:rsidRDefault="00543643" w:rsidP="003069D3">
            <w:pPr>
              <w:rPr>
                <w:rFonts w:ascii="Times New Roman" w:hAnsi="Times New Roman" w:cs="Times New Roman"/>
                <w:sz w:val="22"/>
              </w:rPr>
            </w:pPr>
            <w:r w:rsidRPr="00E6266A">
              <w:rPr>
                <w:rFonts w:ascii="Times New Roman" w:hAnsi="Times New Roman" w:cs="Times New Roman"/>
                <w:sz w:val="22"/>
              </w:rPr>
              <w:t>Meet one of the following conditions:</w:t>
            </w:r>
          </w:p>
          <w:p w14:paraId="251E836C" w14:textId="77777777" w:rsidR="00543643" w:rsidRPr="00E6266A" w:rsidRDefault="00543643" w:rsidP="003069D3">
            <w:pPr>
              <w:rPr>
                <w:rFonts w:ascii="Times New Roman" w:hAnsi="Times New Roman" w:cs="Times New Roman"/>
                <w:sz w:val="22"/>
              </w:rPr>
            </w:pPr>
            <w:r w:rsidRPr="00E6266A">
              <w:rPr>
                <w:rFonts w:ascii="Times New Roman" w:hAnsi="Times New Roman" w:cs="Times New Roman" w:hint="eastAsia"/>
                <w:sz w:val="22"/>
              </w:rPr>
              <w:t>a</w:t>
            </w:r>
            <w:r w:rsidRPr="00E6266A">
              <w:rPr>
                <w:rFonts w:ascii="Times New Roman" w:hAnsi="Times New Roman" w:cs="Times New Roman"/>
                <w:sz w:val="22"/>
              </w:rPr>
              <w:t>) meet the performance standards in the Olympic Games, Youth Olympic Games, World Championships, Youth World Championships, FINA Swimming World Cup, World University Games, Asian Games, Asian Youth Games, Asian Indoor Games, Asian Championships, Asian Youth Championships, Pan Pacific Swimming Championships, Mediterranean Games, China-Australia Match Race.</w:t>
            </w:r>
          </w:p>
        </w:tc>
      </w:tr>
      <w:tr w:rsidR="00543643" w14:paraId="53ACC398" w14:textId="77777777" w:rsidTr="003069D3">
        <w:tc>
          <w:tcPr>
            <w:tcW w:w="1555" w:type="dxa"/>
          </w:tcPr>
          <w:p w14:paraId="2BC91425" w14:textId="77777777" w:rsidR="00543643" w:rsidRDefault="00543643" w:rsidP="003069D3">
            <w:pPr>
              <w:rPr>
                <w:rFonts w:ascii="Times New Roman" w:hAnsi="Times New Roman" w:cs="Times New Roman"/>
                <w:b/>
                <w:bCs/>
                <w:sz w:val="22"/>
              </w:rPr>
            </w:pPr>
            <w:r>
              <w:rPr>
                <w:rFonts w:ascii="Times New Roman" w:hAnsi="Times New Roman" w:cs="Times New Roman"/>
                <w:b/>
                <w:bCs/>
                <w:sz w:val="22"/>
              </w:rPr>
              <w:t>N</w:t>
            </w:r>
            <w:r>
              <w:rPr>
                <w:rFonts w:ascii="Times New Roman" w:hAnsi="Times New Roman" w:cs="Times New Roman" w:hint="eastAsia"/>
                <w:b/>
                <w:bCs/>
                <w:sz w:val="22"/>
              </w:rPr>
              <w:t>ational</w:t>
            </w:r>
            <w:r>
              <w:rPr>
                <w:rFonts w:ascii="Times New Roman" w:hAnsi="Times New Roman" w:cs="Times New Roman"/>
                <w:b/>
                <w:bCs/>
                <w:sz w:val="22"/>
              </w:rPr>
              <w:t xml:space="preserve"> Grade</w:t>
            </w:r>
          </w:p>
        </w:tc>
        <w:tc>
          <w:tcPr>
            <w:tcW w:w="6741" w:type="dxa"/>
          </w:tcPr>
          <w:p w14:paraId="5C16A6E2" w14:textId="77777777" w:rsidR="00543643" w:rsidRPr="00E6266A" w:rsidRDefault="00543643" w:rsidP="003069D3">
            <w:pPr>
              <w:rPr>
                <w:rFonts w:ascii="Times New Roman" w:hAnsi="Times New Roman" w:cs="Times New Roman"/>
                <w:sz w:val="22"/>
              </w:rPr>
            </w:pPr>
            <w:r w:rsidRPr="00E6266A">
              <w:rPr>
                <w:rFonts w:ascii="Times New Roman" w:hAnsi="Times New Roman" w:cs="Times New Roman"/>
                <w:sz w:val="22"/>
              </w:rPr>
              <w:t>Meet one of the following conditions:</w:t>
            </w:r>
          </w:p>
          <w:p w14:paraId="6C0D04F7" w14:textId="77777777" w:rsidR="00543643" w:rsidRPr="00E6266A" w:rsidRDefault="00543643" w:rsidP="003069D3">
            <w:pPr>
              <w:rPr>
                <w:rFonts w:ascii="Times New Roman" w:hAnsi="Times New Roman" w:cs="Times New Roman"/>
                <w:sz w:val="22"/>
              </w:rPr>
            </w:pPr>
            <w:r w:rsidRPr="00E6266A">
              <w:rPr>
                <w:rFonts w:ascii="Times New Roman" w:hAnsi="Times New Roman" w:cs="Times New Roman" w:hint="eastAsia"/>
                <w:sz w:val="22"/>
              </w:rPr>
              <w:t>a</w:t>
            </w:r>
            <w:r w:rsidRPr="00E6266A">
              <w:rPr>
                <w:rFonts w:ascii="Times New Roman" w:hAnsi="Times New Roman" w:cs="Times New Roman"/>
                <w:sz w:val="22"/>
              </w:rPr>
              <w:t>) meet the performance standards in the competitions that can award the International Grade.</w:t>
            </w:r>
          </w:p>
          <w:p w14:paraId="4A8461E7" w14:textId="77777777" w:rsidR="00543643" w:rsidRPr="00E6266A" w:rsidRDefault="00543643" w:rsidP="003069D3">
            <w:pPr>
              <w:rPr>
                <w:rFonts w:ascii="Times New Roman" w:hAnsi="Times New Roman" w:cs="Times New Roman"/>
                <w:sz w:val="22"/>
              </w:rPr>
            </w:pPr>
            <w:r w:rsidRPr="00E6266A">
              <w:rPr>
                <w:rFonts w:ascii="Times New Roman" w:hAnsi="Times New Roman" w:cs="Times New Roman"/>
                <w:sz w:val="22"/>
              </w:rPr>
              <w:t>b) meet the performance standards in the National Games of the People's Republic of China, Youth Games of the People's Republic of China, National Championships, National Tournaments, National Spring Championships, National Summer Championships, National Youth Championships, National Junior U Series Finals, National Student Games.</w:t>
            </w:r>
          </w:p>
        </w:tc>
      </w:tr>
      <w:tr w:rsidR="00543643" w14:paraId="45F743D3" w14:textId="77777777" w:rsidTr="003069D3">
        <w:tc>
          <w:tcPr>
            <w:tcW w:w="1555" w:type="dxa"/>
          </w:tcPr>
          <w:p w14:paraId="25D86E8B" w14:textId="77777777" w:rsidR="00543643" w:rsidRDefault="00543643" w:rsidP="003069D3">
            <w:pPr>
              <w:rPr>
                <w:rFonts w:ascii="Times New Roman" w:hAnsi="Times New Roman" w:cs="Times New Roman"/>
                <w:b/>
                <w:bCs/>
                <w:sz w:val="22"/>
              </w:rPr>
            </w:pPr>
            <w:r>
              <w:rPr>
                <w:rFonts w:ascii="Times New Roman" w:hAnsi="Times New Roman" w:cs="Times New Roman"/>
                <w:b/>
                <w:bCs/>
                <w:sz w:val="22"/>
              </w:rPr>
              <w:t>1</w:t>
            </w:r>
            <w:r w:rsidRPr="003C105A">
              <w:rPr>
                <w:rFonts w:ascii="Times New Roman" w:hAnsi="Times New Roman" w:cs="Times New Roman"/>
                <w:b/>
                <w:bCs/>
                <w:sz w:val="22"/>
                <w:vertAlign w:val="superscript"/>
              </w:rPr>
              <w:t>st</w:t>
            </w:r>
            <w:r>
              <w:rPr>
                <w:rFonts w:ascii="Times New Roman" w:hAnsi="Times New Roman" w:cs="Times New Roman"/>
                <w:b/>
                <w:bCs/>
                <w:sz w:val="22"/>
              </w:rPr>
              <w:t xml:space="preserve"> Grade and 2</w:t>
            </w:r>
            <w:r w:rsidRPr="003C105A">
              <w:rPr>
                <w:rFonts w:ascii="Times New Roman" w:hAnsi="Times New Roman" w:cs="Times New Roman"/>
                <w:b/>
                <w:bCs/>
                <w:sz w:val="22"/>
                <w:vertAlign w:val="superscript"/>
              </w:rPr>
              <w:t>nd</w:t>
            </w:r>
            <w:r>
              <w:rPr>
                <w:rFonts w:ascii="Times New Roman" w:hAnsi="Times New Roman" w:cs="Times New Roman"/>
                <w:b/>
                <w:bCs/>
                <w:sz w:val="22"/>
              </w:rPr>
              <w:t xml:space="preserve"> Grade</w:t>
            </w:r>
          </w:p>
        </w:tc>
        <w:tc>
          <w:tcPr>
            <w:tcW w:w="6741" w:type="dxa"/>
          </w:tcPr>
          <w:p w14:paraId="7B15998B" w14:textId="77777777" w:rsidR="00543643" w:rsidRPr="00E6266A" w:rsidRDefault="00543643" w:rsidP="003069D3">
            <w:pPr>
              <w:rPr>
                <w:rFonts w:ascii="Times New Roman" w:hAnsi="Times New Roman" w:cs="Times New Roman"/>
                <w:sz w:val="22"/>
              </w:rPr>
            </w:pPr>
            <w:r w:rsidRPr="00E6266A">
              <w:rPr>
                <w:rFonts w:ascii="Times New Roman" w:hAnsi="Times New Roman" w:cs="Times New Roman"/>
                <w:sz w:val="22"/>
              </w:rPr>
              <w:t>Meet one of the following conditions:</w:t>
            </w:r>
          </w:p>
          <w:p w14:paraId="06B05B8A" w14:textId="77777777" w:rsidR="00543643" w:rsidRPr="00E6266A" w:rsidRDefault="00543643" w:rsidP="003069D3">
            <w:pPr>
              <w:rPr>
                <w:rFonts w:ascii="Times New Roman" w:hAnsi="Times New Roman" w:cs="Times New Roman"/>
                <w:sz w:val="22"/>
              </w:rPr>
            </w:pPr>
            <w:r w:rsidRPr="00E6266A">
              <w:rPr>
                <w:rFonts w:ascii="Times New Roman" w:hAnsi="Times New Roman" w:cs="Times New Roman" w:hint="eastAsia"/>
                <w:sz w:val="22"/>
              </w:rPr>
              <w:t>a</w:t>
            </w:r>
            <w:r w:rsidRPr="00E6266A">
              <w:rPr>
                <w:rFonts w:ascii="Times New Roman" w:hAnsi="Times New Roman" w:cs="Times New Roman"/>
                <w:sz w:val="22"/>
              </w:rPr>
              <w:t>) meet the performance standards in the competitions that can award the National Grade and above.</w:t>
            </w:r>
          </w:p>
          <w:p w14:paraId="36B4824B" w14:textId="77777777" w:rsidR="00543643" w:rsidRPr="00E6266A" w:rsidRDefault="00543643" w:rsidP="003069D3">
            <w:pPr>
              <w:rPr>
                <w:rFonts w:ascii="Times New Roman" w:hAnsi="Times New Roman" w:cs="Times New Roman"/>
                <w:sz w:val="22"/>
              </w:rPr>
            </w:pPr>
            <w:r w:rsidRPr="00E6266A">
              <w:rPr>
                <w:rFonts w:ascii="Times New Roman" w:hAnsi="Times New Roman" w:cs="Times New Roman"/>
                <w:sz w:val="22"/>
              </w:rPr>
              <w:t>b) meet the performance standards in the National Traditional Sports Schools League, National Junior U Series, and Games or Championships or Tournaments sponsored by provincial (district or city) sports bureaus.</w:t>
            </w:r>
          </w:p>
        </w:tc>
      </w:tr>
      <w:tr w:rsidR="00543643" w14:paraId="671DEBEE" w14:textId="77777777" w:rsidTr="003069D3">
        <w:tc>
          <w:tcPr>
            <w:tcW w:w="1555" w:type="dxa"/>
          </w:tcPr>
          <w:p w14:paraId="39F1C18E" w14:textId="77777777" w:rsidR="00543643" w:rsidRDefault="00543643" w:rsidP="003069D3">
            <w:pPr>
              <w:rPr>
                <w:rFonts w:ascii="Times New Roman" w:hAnsi="Times New Roman" w:cs="Times New Roman"/>
                <w:b/>
                <w:bCs/>
                <w:sz w:val="22"/>
              </w:rPr>
            </w:pPr>
            <w:r>
              <w:rPr>
                <w:rFonts w:ascii="Times New Roman" w:hAnsi="Times New Roman" w:cs="Times New Roman"/>
                <w:b/>
                <w:bCs/>
                <w:sz w:val="22"/>
              </w:rPr>
              <w:t>3</w:t>
            </w:r>
            <w:r w:rsidRPr="003C105A">
              <w:rPr>
                <w:rFonts w:ascii="Times New Roman" w:hAnsi="Times New Roman" w:cs="Times New Roman"/>
                <w:b/>
                <w:bCs/>
                <w:sz w:val="22"/>
                <w:vertAlign w:val="superscript"/>
              </w:rPr>
              <w:t>rd</w:t>
            </w:r>
            <w:r>
              <w:rPr>
                <w:rFonts w:ascii="Times New Roman" w:hAnsi="Times New Roman" w:cs="Times New Roman"/>
                <w:b/>
                <w:bCs/>
                <w:sz w:val="22"/>
              </w:rPr>
              <w:t xml:space="preserve"> Grade</w:t>
            </w:r>
          </w:p>
        </w:tc>
        <w:tc>
          <w:tcPr>
            <w:tcW w:w="6741" w:type="dxa"/>
          </w:tcPr>
          <w:p w14:paraId="0A9B3E81" w14:textId="77777777" w:rsidR="00543643" w:rsidRPr="008D0599" w:rsidRDefault="00543643" w:rsidP="003069D3">
            <w:pPr>
              <w:rPr>
                <w:rFonts w:ascii="Times New Roman" w:hAnsi="Times New Roman" w:cs="Times New Roman"/>
                <w:sz w:val="22"/>
              </w:rPr>
            </w:pPr>
            <w:r w:rsidRPr="008D0599">
              <w:rPr>
                <w:rFonts w:ascii="Times New Roman" w:hAnsi="Times New Roman" w:cs="Times New Roman"/>
                <w:sz w:val="22"/>
              </w:rPr>
              <w:t>Meet one of the following conditions:</w:t>
            </w:r>
          </w:p>
          <w:p w14:paraId="00B98D25" w14:textId="77777777" w:rsidR="00543643" w:rsidRDefault="00543643" w:rsidP="003069D3">
            <w:pPr>
              <w:rPr>
                <w:rFonts w:ascii="Times New Roman" w:hAnsi="Times New Roman" w:cs="Times New Roman"/>
                <w:sz w:val="22"/>
              </w:rPr>
            </w:pPr>
            <w:r w:rsidRPr="008D0599">
              <w:rPr>
                <w:rFonts w:ascii="Times New Roman" w:hAnsi="Times New Roman" w:cs="Times New Roman" w:hint="eastAsia"/>
                <w:sz w:val="22"/>
              </w:rPr>
              <w:t>a</w:t>
            </w:r>
            <w:r>
              <w:rPr>
                <w:rFonts w:ascii="Times New Roman" w:hAnsi="Times New Roman" w:cs="Times New Roman"/>
                <w:sz w:val="22"/>
              </w:rPr>
              <w:t xml:space="preserve">) meet the performance standards in </w:t>
            </w:r>
            <w:r w:rsidRPr="008D560D">
              <w:rPr>
                <w:rFonts w:ascii="Times New Roman" w:hAnsi="Times New Roman" w:cs="Times New Roman"/>
                <w:sz w:val="22"/>
              </w:rPr>
              <w:t xml:space="preserve">the competition that can be awarded the </w:t>
            </w:r>
            <w:r>
              <w:rPr>
                <w:rFonts w:ascii="Times New Roman" w:hAnsi="Times New Roman" w:cs="Times New Roman"/>
                <w:sz w:val="22"/>
              </w:rPr>
              <w:t>2</w:t>
            </w:r>
            <w:r w:rsidRPr="00770277">
              <w:rPr>
                <w:rFonts w:ascii="Times New Roman" w:hAnsi="Times New Roman" w:cs="Times New Roman"/>
                <w:sz w:val="22"/>
                <w:vertAlign w:val="superscript"/>
              </w:rPr>
              <w:t>nd</w:t>
            </w:r>
            <w:r>
              <w:rPr>
                <w:rFonts w:ascii="Times New Roman" w:hAnsi="Times New Roman" w:cs="Times New Roman"/>
                <w:sz w:val="22"/>
              </w:rPr>
              <w:t xml:space="preserve"> Grade</w:t>
            </w:r>
            <w:r w:rsidRPr="008D560D">
              <w:rPr>
                <w:rFonts w:ascii="Times New Roman" w:hAnsi="Times New Roman" w:cs="Times New Roman"/>
                <w:sz w:val="22"/>
              </w:rPr>
              <w:t xml:space="preserve"> and above</w:t>
            </w:r>
            <w:r>
              <w:rPr>
                <w:rFonts w:ascii="Times New Roman" w:hAnsi="Times New Roman" w:cs="Times New Roman"/>
                <w:sz w:val="22"/>
              </w:rPr>
              <w:t>.</w:t>
            </w:r>
          </w:p>
          <w:p w14:paraId="69687358" w14:textId="77777777" w:rsidR="00543643" w:rsidRPr="008D0599" w:rsidRDefault="00543643" w:rsidP="003069D3">
            <w:pPr>
              <w:rPr>
                <w:rFonts w:ascii="Times New Roman" w:hAnsi="Times New Roman" w:cs="Times New Roman"/>
                <w:sz w:val="22"/>
              </w:rPr>
            </w:pPr>
            <w:r>
              <w:rPr>
                <w:rFonts w:ascii="Times New Roman" w:hAnsi="Times New Roman" w:cs="Times New Roman"/>
                <w:sz w:val="22"/>
              </w:rPr>
              <w:t>b) meet the performance standards</w:t>
            </w:r>
            <w:r w:rsidRPr="00A930E8">
              <w:rPr>
                <w:rFonts w:ascii="Times New Roman" w:hAnsi="Times New Roman" w:cs="Times New Roman"/>
                <w:sz w:val="22"/>
              </w:rPr>
              <w:t xml:space="preserve"> in the </w:t>
            </w:r>
            <w:r>
              <w:rPr>
                <w:rFonts w:ascii="Times New Roman" w:hAnsi="Times New Roman" w:cs="Times New Roman"/>
                <w:sz w:val="22"/>
              </w:rPr>
              <w:t>G</w:t>
            </w:r>
            <w:r w:rsidRPr="003B54EA">
              <w:rPr>
                <w:rFonts w:ascii="Times New Roman" w:hAnsi="Times New Roman" w:cs="Times New Roman"/>
                <w:sz w:val="22"/>
              </w:rPr>
              <w:t xml:space="preserve">ames or </w:t>
            </w:r>
            <w:r>
              <w:rPr>
                <w:rFonts w:ascii="Times New Roman" w:hAnsi="Times New Roman" w:cs="Times New Roman"/>
                <w:sz w:val="22"/>
              </w:rPr>
              <w:t>C</w:t>
            </w:r>
            <w:r w:rsidRPr="003B54EA">
              <w:rPr>
                <w:rFonts w:ascii="Times New Roman" w:hAnsi="Times New Roman" w:cs="Times New Roman"/>
                <w:sz w:val="22"/>
              </w:rPr>
              <w:t xml:space="preserve">hampionships sponsored by </w:t>
            </w:r>
            <w:r w:rsidRPr="00A930E8">
              <w:rPr>
                <w:rFonts w:ascii="Times New Roman" w:hAnsi="Times New Roman" w:cs="Times New Roman"/>
                <w:sz w:val="22"/>
              </w:rPr>
              <w:t>city (local, state, league)</w:t>
            </w:r>
            <w:r w:rsidRPr="003B54EA">
              <w:rPr>
                <w:rFonts w:ascii="Times New Roman" w:hAnsi="Times New Roman" w:cs="Times New Roman"/>
                <w:sz w:val="22"/>
              </w:rPr>
              <w:t xml:space="preserve"> sports </w:t>
            </w:r>
            <w:r>
              <w:rPr>
                <w:rFonts w:ascii="Times New Roman" w:hAnsi="Times New Roman" w:cs="Times New Roman"/>
                <w:sz w:val="22"/>
              </w:rPr>
              <w:t>a</w:t>
            </w:r>
            <w:r w:rsidRPr="0092554C">
              <w:rPr>
                <w:rFonts w:ascii="Times New Roman" w:hAnsi="Times New Roman" w:cs="Times New Roman"/>
                <w:sz w:val="22"/>
              </w:rPr>
              <w:t xml:space="preserve">dministration </w:t>
            </w:r>
            <w:r>
              <w:rPr>
                <w:rFonts w:ascii="Times New Roman" w:hAnsi="Times New Roman" w:cs="Times New Roman"/>
                <w:sz w:val="22"/>
              </w:rPr>
              <w:t>d</w:t>
            </w:r>
            <w:r w:rsidRPr="0092554C">
              <w:rPr>
                <w:rFonts w:ascii="Times New Roman" w:hAnsi="Times New Roman" w:cs="Times New Roman"/>
                <w:sz w:val="22"/>
              </w:rPr>
              <w:t>epartment</w:t>
            </w:r>
            <w:r w:rsidRPr="003B54EA">
              <w:rPr>
                <w:rFonts w:ascii="Times New Roman" w:hAnsi="Times New Roman" w:cs="Times New Roman"/>
                <w:sz w:val="22"/>
              </w:rPr>
              <w:t>.</w:t>
            </w:r>
          </w:p>
        </w:tc>
      </w:tr>
    </w:tbl>
    <w:p w14:paraId="3A0C01BC" w14:textId="77777777" w:rsidR="00A039BA" w:rsidRPr="00543643" w:rsidRDefault="00A039BA"/>
    <w:sectPr w:rsidR="00A039BA" w:rsidRPr="00543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43"/>
    <w:rsid w:val="00543643"/>
    <w:rsid w:val="00A039BA"/>
    <w:rsid w:val="00BD3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CA3B"/>
  <w15:chartTrackingRefBased/>
  <w15:docId w15:val="{66AE3F45-D391-4031-8342-3994E453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Killore</dc:creator>
  <cp:keywords/>
  <dc:description/>
  <cp:lastModifiedBy>Pan Killore</cp:lastModifiedBy>
  <cp:revision>1</cp:revision>
  <dcterms:created xsi:type="dcterms:W3CDTF">2022-11-11T04:37:00Z</dcterms:created>
  <dcterms:modified xsi:type="dcterms:W3CDTF">2022-11-11T04:37:00Z</dcterms:modified>
</cp:coreProperties>
</file>