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A" w:rsidRDefault="00D609DA" w:rsidP="00D609DA">
      <w:pPr>
        <w:spacing w:line="40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b/>
          <w:bCs/>
          <w:sz w:val="18"/>
          <w:szCs w:val="18"/>
        </w:rPr>
        <w:t xml:space="preserve">Table </w:t>
      </w:r>
      <w:r>
        <w:rPr>
          <w:rFonts w:ascii="Times New Roman" w:eastAsia="宋体" w:hAnsi="Times New Roman" w:cs="Times New Roman" w:hint="eastAsia"/>
          <w:b/>
          <w:bCs/>
          <w:sz w:val="18"/>
          <w:szCs w:val="18"/>
        </w:rPr>
        <w:t>S2</w:t>
      </w:r>
      <w:r>
        <w:rPr>
          <w:rFonts w:ascii="Times New Roman" w:eastAsia="宋体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</w:rPr>
        <w:t>Calculation of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Q</w:t>
      </w:r>
      <w:r>
        <w:rPr>
          <w:rFonts w:ascii="Times New Roman" w:eastAsia="宋体" w:hAnsi="Times New Roman" w:cs="Times New Roman" w:hint="eastAsia"/>
          <w:sz w:val="18"/>
          <w:szCs w:val="18"/>
          <w:vertAlign w:val="subscript"/>
        </w:rPr>
        <w:t>sp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</w:rPr>
        <w:t xml:space="preserve">of zinc hydroxide in AMD under </w:t>
      </w:r>
      <w:r>
        <w:rPr>
          <w:rFonts w:ascii="Times New Roman" w:eastAsia="宋体" w:hAnsi="Times New Roman" w:cs="Times New Roman" w:hint="eastAsia"/>
          <w:sz w:val="18"/>
          <w:szCs w:val="18"/>
        </w:rPr>
        <w:t>SS</w:t>
      </w:r>
      <w:r>
        <w:rPr>
          <w:rFonts w:ascii="Times New Roman" w:eastAsia="宋体" w:hAnsi="Times New Roman" w:cs="Times New Roman"/>
          <w:sz w:val="18"/>
          <w:szCs w:val="18"/>
        </w:rPr>
        <w:t xml:space="preserve"> limestone addition</w:t>
      </w:r>
    </w:p>
    <w:tbl>
      <w:tblPr>
        <w:tblW w:w="8118" w:type="dxa"/>
        <w:jc w:val="center"/>
        <w:tblBorders>
          <w:top w:val="single" w:sz="12" w:space="0" w:color="auto"/>
          <w:left w:val="none" w:sz="4" w:space="0" w:color="auto"/>
          <w:bottom w:val="single" w:sz="12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368"/>
        <w:gridCol w:w="1922"/>
        <w:gridCol w:w="2092"/>
        <w:gridCol w:w="1368"/>
      </w:tblGrid>
      <w:tr w:rsidR="00D609DA" w:rsidTr="008A2D5E">
        <w:trPr>
          <w:trHeight w:val="23"/>
          <w:jc w:val="center"/>
        </w:trPr>
        <w:tc>
          <w:tcPr>
            <w:tcW w:w="136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Time</w:t>
            </w:r>
          </w:p>
        </w:tc>
        <w:tc>
          <w:tcPr>
            <w:tcW w:w="136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pOH</w:t>
            </w:r>
          </w:p>
        </w:tc>
        <w:tc>
          <w:tcPr>
            <w:tcW w:w="192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Zn(mol</w:t>
            </w: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 xml:space="preserve"> L</w:t>
            </w: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0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[Zn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][OH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36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Ksp</w:t>
            </w:r>
          </w:p>
        </w:tc>
      </w:tr>
      <w:tr w:rsidR="00D609DA" w:rsidTr="008A2D5E">
        <w:trPr>
          <w:trHeight w:val="23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2h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8.33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E34B96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5.49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*10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E34B96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1.20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*10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-21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1.2*10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-17</w:t>
            </w:r>
          </w:p>
        </w:tc>
      </w:tr>
      <w:tr w:rsidR="00D609DA" w:rsidTr="008A2D5E">
        <w:trPr>
          <w:trHeight w:val="2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E34B96" w:rsidP="00E34B9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6.70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*10</w:t>
            </w:r>
            <w:r w:rsidR="00D609DA" w:rsidRPr="00E34B9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E34B96" w:rsidP="00E34B9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5.08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*10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-2</w:t>
            </w: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D609DA" w:rsidTr="008A2D5E">
        <w:trPr>
          <w:trHeight w:val="2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E34B96" w:rsidP="00E34B9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4.26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*10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E34B96" w:rsidP="00E34B9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1.95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*10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  <w:vertAlign w:val="superscript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D609DA" w:rsidTr="008A2D5E">
        <w:trPr>
          <w:trHeight w:val="2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E34B96" w:rsidP="00E34B9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3.28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*10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E34B96" w:rsidP="00E34B9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2.86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*10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  <w:vertAlign w:val="superscript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D609DA" w:rsidTr="008A2D5E">
        <w:trPr>
          <w:trHeight w:val="2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E34B9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</w:t>
            </w:r>
            <w:r w:rsidR="00E34B96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*10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-</w:t>
            </w:r>
            <w:r w:rsidR="00E34B96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E34B96" w:rsidP="00E34B9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1.55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*10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  <w:vertAlign w:val="superscript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D609DA" w:rsidTr="008A2D5E">
        <w:trPr>
          <w:trHeight w:val="2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E34B9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</w:t>
            </w:r>
            <w:r w:rsidR="00E34B96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96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*10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-</w:t>
            </w:r>
            <w:r w:rsidR="00E34B96"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E34B96" w:rsidP="00E34B9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2.36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*10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  <w:vertAlign w:val="superscript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D609DA" w:rsidTr="008A2D5E">
        <w:trPr>
          <w:trHeight w:val="2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E34B96" w:rsidP="00E34B9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6.58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*10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E34B96" w:rsidP="00E34B9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1.20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*10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  <w:vertAlign w:val="superscript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D609DA" w:rsidTr="008A2D5E">
        <w:trPr>
          <w:trHeight w:val="2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E34B96" w:rsidP="00E34B9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3.40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*10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E34B96" w:rsidP="00E34B9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7.79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*10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  <w:vertAlign w:val="superscript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D609DA" w:rsidTr="008A2D5E">
        <w:trPr>
          <w:trHeight w:val="2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150d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E34B96" w:rsidP="00E34B9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1.11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*10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E34B96" w:rsidP="00E34B9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4.42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*10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  <w:vertAlign w:val="superscript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D609DA" w:rsidTr="008A2D5E">
        <w:trPr>
          <w:trHeight w:val="23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300d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6.54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E34B96" w:rsidP="00E34B9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3.31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*10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E34B96" w:rsidP="00E34B9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</w:rPr>
              <w:t>2.75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*10</w:t>
            </w:r>
            <w:r w:rsidR="00D609D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  <w:shd w:val="clear" w:color="auto" w:fill="FFFFFF"/>
                <w:vertAlign w:val="superscript"/>
              </w:rPr>
              <w:t>20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609DA" w:rsidRDefault="00D609DA" w:rsidP="008A2D5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</w:tbl>
    <w:p w:rsidR="00D609DA" w:rsidRDefault="00D609DA" w:rsidP="00D609DA"/>
    <w:p w:rsidR="00EB6B1A" w:rsidRDefault="00222D66"/>
    <w:sectPr w:rsidR="00EB6B1A" w:rsidSect="00D609DA">
      <w:footerReference w:type="default" r:id="rId7"/>
      <w:pgSz w:w="12240" w:h="15840" w:code="1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66" w:rsidRDefault="00222D66">
      <w:r>
        <w:separator/>
      </w:r>
    </w:p>
  </w:endnote>
  <w:endnote w:type="continuationSeparator" w:id="0">
    <w:p w:rsidR="00222D66" w:rsidRDefault="0022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7F" w:rsidRDefault="00D609D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0A036" wp14:editId="189EF41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307F" w:rsidRDefault="00D609D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34B9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6307F" w:rsidRDefault="00D609D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34B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66" w:rsidRDefault="00222D66">
      <w:r>
        <w:separator/>
      </w:r>
    </w:p>
  </w:footnote>
  <w:footnote w:type="continuationSeparator" w:id="0">
    <w:p w:rsidR="00222D66" w:rsidRDefault="00222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DA"/>
    <w:rsid w:val="00222D66"/>
    <w:rsid w:val="00B35A31"/>
    <w:rsid w:val="00C1442B"/>
    <w:rsid w:val="00D609DA"/>
    <w:rsid w:val="00E3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60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609D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34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34B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60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609D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34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34B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383</Characters>
  <Application>Microsoft Office Word</Application>
  <DocSecurity>0</DocSecurity>
  <Lines>3</Lines>
  <Paragraphs>1</Paragraphs>
  <ScaleCrop>false</ScaleCrop>
  <Company>HP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2022-07-05T02:13:00Z</dcterms:created>
  <dcterms:modified xsi:type="dcterms:W3CDTF">2022-07-14T07:53:00Z</dcterms:modified>
</cp:coreProperties>
</file>