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C2F8" w14:textId="77777777" w:rsidR="00CF0638" w:rsidRDefault="00CF0638" w:rsidP="00CF0638">
      <w:pPr>
        <w:pStyle w:val="Normal1"/>
        <w:contextualSpacing w:val="0"/>
        <w:rPr>
          <w:b/>
          <w:sz w:val="36"/>
          <w:szCs w:val="36"/>
        </w:rPr>
      </w:pPr>
      <w:bookmarkStart w:id="0" w:name="_Hlk111194352"/>
      <w:bookmarkStart w:id="1" w:name="_Hlk75099632"/>
      <w:r w:rsidRPr="00333B8D">
        <w:rPr>
          <w:b/>
          <w:sz w:val="36"/>
          <w:szCs w:val="36"/>
        </w:rPr>
        <w:t>Determination and Risk Assessment of Pharmaceutical Residues in the Urban Water Cycle</w:t>
      </w:r>
      <w:r>
        <w:rPr>
          <w:b/>
          <w:sz w:val="36"/>
          <w:szCs w:val="36"/>
        </w:rPr>
        <w:t xml:space="preserve"> </w:t>
      </w:r>
    </w:p>
    <w:p w14:paraId="4E17FB2E" w14:textId="6A61868B" w:rsidR="005F08DC" w:rsidRDefault="005F08DC" w:rsidP="005F08DC">
      <w:pPr>
        <w:spacing w:after="0" w:line="240" w:lineRule="auto"/>
        <w:jc w:val="center"/>
        <w:rPr>
          <w:rFonts w:ascii="Times New Roman" w:hAnsi="Times New Roman"/>
          <w:b/>
          <w:sz w:val="32"/>
          <w:szCs w:val="32"/>
        </w:rPr>
      </w:pPr>
    </w:p>
    <w:p w14:paraId="3A7365ED" w14:textId="77777777" w:rsidR="00CF0638" w:rsidRPr="009B3AEF" w:rsidRDefault="00CF0638" w:rsidP="005F08DC">
      <w:pPr>
        <w:spacing w:after="0" w:line="240" w:lineRule="auto"/>
        <w:jc w:val="center"/>
        <w:rPr>
          <w:rFonts w:ascii="Times New Roman" w:hAnsi="Times New Roman"/>
          <w:b/>
          <w:sz w:val="32"/>
          <w:szCs w:val="32"/>
        </w:rPr>
      </w:pPr>
    </w:p>
    <w:bookmarkEnd w:id="0"/>
    <w:bookmarkEnd w:id="1"/>
    <w:p w14:paraId="32AD7929" w14:textId="77777777" w:rsidR="00CF0638" w:rsidRPr="00861616" w:rsidRDefault="00CF0638" w:rsidP="00CF0638">
      <w:pPr>
        <w:pStyle w:val="Normal1"/>
        <w:contextualSpacing w:val="0"/>
        <w:rPr>
          <w:rFonts w:ascii="Times" w:hAnsi="Times"/>
          <w:sz w:val="24"/>
          <w:vertAlign w:val="superscript"/>
        </w:rPr>
      </w:pPr>
      <w:r w:rsidRPr="00333B8D">
        <w:rPr>
          <w:rFonts w:ascii="Times" w:hAnsi="Times"/>
          <w:sz w:val="24"/>
        </w:rPr>
        <w:t>Zarimah Mohd Hanafiah</w:t>
      </w:r>
      <w:r w:rsidRPr="00333B8D">
        <w:rPr>
          <w:rFonts w:ascii="Times" w:hAnsi="Times"/>
          <w:sz w:val="24"/>
          <w:vertAlign w:val="superscript"/>
        </w:rPr>
        <w:t>1</w:t>
      </w:r>
      <w:r w:rsidRPr="00333B8D">
        <w:rPr>
          <w:rFonts w:ascii="Times" w:hAnsi="Times"/>
          <w:sz w:val="24"/>
        </w:rPr>
        <w:t>, Wan Hanna Melini Wan Mohtar</w:t>
      </w:r>
      <w:r w:rsidRPr="00333B8D">
        <w:rPr>
          <w:rFonts w:ascii="Times" w:hAnsi="Times"/>
          <w:sz w:val="24"/>
          <w:vertAlign w:val="superscript"/>
        </w:rPr>
        <w:t>1</w:t>
      </w:r>
      <w:r w:rsidRPr="00333B8D">
        <w:rPr>
          <w:rFonts w:ascii="Times" w:hAnsi="Times"/>
          <w:sz w:val="24"/>
        </w:rPr>
        <w:t>, Teh Sabariah Abd Manan</w:t>
      </w:r>
      <w:r w:rsidRPr="00333B8D">
        <w:rPr>
          <w:rFonts w:ascii="Times" w:hAnsi="Times"/>
          <w:sz w:val="24"/>
          <w:vertAlign w:val="superscript"/>
        </w:rPr>
        <w:t>2,3</w:t>
      </w:r>
      <w:r w:rsidRPr="00333B8D">
        <w:rPr>
          <w:rFonts w:ascii="Times" w:hAnsi="Times"/>
          <w:sz w:val="24"/>
        </w:rPr>
        <w:t>, Nur Aina Bachi'</w:t>
      </w:r>
      <w:r w:rsidRPr="00333B8D">
        <w:rPr>
          <w:rFonts w:ascii="Times" w:hAnsi="Times"/>
          <w:sz w:val="24"/>
          <w:vertAlign w:val="superscript"/>
        </w:rPr>
        <w:t>1</w:t>
      </w:r>
      <w:r w:rsidRPr="00333B8D">
        <w:rPr>
          <w:rFonts w:ascii="Times" w:hAnsi="Times"/>
          <w:sz w:val="24"/>
        </w:rPr>
        <w:t>, Nurfaizah Abu Tahrim</w:t>
      </w:r>
      <w:r w:rsidRPr="00333B8D">
        <w:rPr>
          <w:rFonts w:ascii="Times" w:hAnsi="Times"/>
          <w:sz w:val="24"/>
          <w:vertAlign w:val="superscript"/>
        </w:rPr>
        <w:t>4</w:t>
      </w:r>
      <w:r w:rsidRPr="00333B8D">
        <w:rPr>
          <w:rFonts w:ascii="Times" w:hAnsi="Times"/>
          <w:sz w:val="24"/>
        </w:rPr>
        <w:t>, Haris Hafizal Abd Hamid</w:t>
      </w:r>
      <w:r w:rsidRPr="00333B8D">
        <w:rPr>
          <w:rFonts w:ascii="Times" w:hAnsi="Times"/>
          <w:sz w:val="24"/>
          <w:vertAlign w:val="superscript"/>
        </w:rPr>
        <w:t>5</w:t>
      </w:r>
      <w:r w:rsidRPr="00333B8D">
        <w:rPr>
          <w:rFonts w:ascii="Times" w:hAnsi="Times"/>
          <w:sz w:val="24"/>
        </w:rPr>
        <w:t>, Abdulnoor A. J. Ghanim</w:t>
      </w:r>
      <w:r w:rsidRPr="00333B8D">
        <w:rPr>
          <w:rFonts w:ascii="Times" w:hAnsi="Times"/>
          <w:sz w:val="24"/>
          <w:vertAlign w:val="superscript"/>
        </w:rPr>
        <w:t>6</w:t>
      </w:r>
      <w:r w:rsidRPr="00333B8D">
        <w:rPr>
          <w:rFonts w:ascii="Times" w:hAnsi="Times"/>
          <w:sz w:val="24"/>
        </w:rPr>
        <w:t>, Amirrudin Ahmad</w:t>
      </w:r>
      <w:r w:rsidRPr="00333B8D">
        <w:rPr>
          <w:rFonts w:ascii="Times" w:hAnsi="Times"/>
          <w:sz w:val="24"/>
          <w:vertAlign w:val="superscript"/>
        </w:rPr>
        <w:t>2,7</w:t>
      </w:r>
      <w:r w:rsidRPr="00333B8D">
        <w:rPr>
          <w:rFonts w:ascii="Times" w:hAnsi="Times"/>
          <w:sz w:val="24"/>
        </w:rPr>
        <w:t>, Nadiah Wan Rasdi</w:t>
      </w:r>
      <w:r w:rsidRPr="00333B8D">
        <w:rPr>
          <w:rFonts w:ascii="Times" w:hAnsi="Times"/>
          <w:sz w:val="24"/>
          <w:vertAlign w:val="superscript"/>
        </w:rPr>
        <w:t>2,8</w:t>
      </w:r>
      <w:r w:rsidRPr="00333B8D">
        <w:rPr>
          <w:rFonts w:ascii="Times" w:hAnsi="Times"/>
          <w:sz w:val="24"/>
        </w:rPr>
        <w:t>, Hamidi Abdul Aziz</w:t>
      </w:r>
      <w:r w:rsidRPr="00333B8D">
        <w:rPr>
          <w:rFonts w:ascii="Times" w:hAnsi="Times"/>
          <w:sz w:val="24"/>
          <w:vertAlign w:val="superscript"/>
        </w:rPr>
        <w:t>3</w:t>
      </w:r>
    </w:p>
    <w:p w14:paraId="440DE5F2" w14:textId="77777777" w:rsidR="00CF0638" w:rsidRPr="00861616" w:rsidRDefault="00CF0638" w:rsidP="00CF0638">
      <w:pPr>
        <w:pStyle w:val="Normal1"/>
        <w:contextualSpacing w:val="0"/>
        <w:rPr>
          <w:rFonts w:ascii="Times" w:hAnsi="Times"/>
          <w:sz w:val="24"/>
          <w:vertAlign w:val="superscript"/>
        </w:rPr>
      </w:pPr>
    </w:p>
    <w:p w14:paraId="643B5CC3" w14:textId="578905AB"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1</w:t>
      </w:r>
      <w:r w:rsidR="00E941F3" w:rsidRPr="00E941F3">
        <w:rPr>
          <w:rFonts w:ascii="Times" w:hAnsi="Times"/>
          <w:sz w:val="24"/>
        </w:rPr>
        <w:t xml:space="preserve">Department of </w:t>
      </w:r>
      <w:r w:rsidRPr="00333B8D">
        <w:rPr>
          <w:rFonts w:ascii="Times" w:hAnsi="Times"/>
          <w:sz w:val="24"/>
        </w:rPr>
        <w:t xml:space="preserve">Civil Engineering, Faculty of Engineering and Built Environment, Universiti Kebangsaan Malaysia, 43600 UKM Bangi, Selangor Darul Ehsan, Malaysia. </w:t>
      </w:r>
    </w:p>
    <w:p w14:paraId="54629B9A" w14:textId="77777777"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2</w:t>
      </w:r>
      <w:r w:rsidRPr="00333B8D">
        <w:rPr>
          <w:rFonts w:ascii="Times" w:hAnsi="Times"/>
          <w:sz w:val="24"/>
        </w:rPr>
        <w:t>Institute of Tropical Biodiversity and Sustainable Development, Universiti Malaysia Terengganu, 21030 Kuala Nerus, Terengganu Darul Iman, Malaysia.</w:t>
      </w:r>
    </w:p>
    <w:p w14:paraId="65F838F6" w14:textId="1275ABFB"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3</w:t>
      </w:r>
      <w:r w:rsidRPr="00333B8D">
        <w:rPr>
          <w:rFonts w:ascii="Times" w:hAnsi="Times"/>
          <w:sz w:val="24"/>
        </w:rPr>
        <w:t xml:space="preserve">School of Civil Engineering, Universiti Sains Malaysia, 14300 Nibong Tebal, </w:t>
      </w:r>
      <w:r w:rsidR="004B43D5">
        <w:rPr>
          <w:rFonts w:ascii="Times" w:hAnsi="Times"/>
          <w:sz w:val="24"/>
        </w:rPr>
        <w:t xml:space="preserve">Pulau </w:t>
      </w:r>
      <w:r w:rsidRPr="00333B8D">
        <w:rPr>
          <w:rFonts w:ascii="Times" w:hAnsi="Times"/>
          <w:sz w:val="24"/>
        </w:rPr>
        <w:t>P</w:t>
      </w:r>
      <w:r w:rsidR="004B43D5">
        <w:rPr>
          <w:rFonts w:ascii="Times" w:hAnsi="Times"/>
          <w:sz w:val="24"/>
        </w:rPr>
        <w:t>i</w:t>
      </w:r>
      <w:r w:rsidRPr="00333B8D">
        <w:rPr>
          <w:rFonts w:ascii="Times" w:hAnsi="Times"/>
          <w:sz w:val="24"/>
        </w:rPr>
        <w:t>nang, Malaysia.</w:t>
      </w:r>
    </w:p>
    <w:p w14:paraId="7EAE2349" w14:textId="77777777"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4</w:t>
      </w:r>
      <w:r w:rsidRPr="00333B8D">
        <w:rPr>
          <w:rFonts w:ascii="Times" w:hAnsi="Times"/>
          <w:sz w:val="24"/>
        </w:rPr>
        <w:t>Department of Chemical Sciences, Faculty of Science and Technology, Universiti Kebangsaan, 43600 UKM Bangi, Selangor Darul Ehsan, Malaysia.</w:t>
      </w:r>
    </w:p>
    <w:p w14:paraId="798C9343" w14:textId="77777777"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5</w:t>
      </w:r>
      <w:r w:rsidRPr="00333B8D">
        <w:rPr>
          <w:rFonts w:ascii="Times" w:hAnsi="Times"/>
          <w:sz w:val="24"/>
        </w:rPr>
        <w:t>Department of Earth Sciences and Environment, Faculty of Science and Technology, Universiti Kebangsaan Malaysia, 43600 UKM Bangi, Selangor Darul Ehsan, Malaysia.</w:t>
      </w:r>
    </w:p>
    <w:p w14:paraId="20FA7956" w14:textId="77777777"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6</w:t>
      </w:r>
      <w:r w:rsidRPr="00333B8D">
        <w:rPr>
          <w:rFonts w:ascii="Times" w:hAnsi="Times"/>
          <w:sz w:val="24"/>
        </w:rPr>
        <w:t>Department of Civil Engineering, College of Engineering, Najran University, Najran 61441, KSA.</w:t>
      </w:r>
    </w:p>
    <w:p w14:paraId="440DA5CB" w14:textId="77777777" w:rsidR="00CF0638" w:rsidRPr="00333B8D" w:rsidRDefault="00CF0638" w:rsidP="00CF0638">
      <w:pPr>
        <w:pStyle w:val="Normal1"/>
        <w:contextualSpacing w:val="0"/>
        <w:rPr>
          <w:rFonts w:ascii="Times" w:hAnsi="Times"/>
          <w:sz w:val="24"/>
        </w:rPr>
      </w:pPr>
      <w:r w:rsidRPr="00333B8D">
        <w:rPr>
          <w:rFonts w:ascii="Times" w:hAnsi="Times"/>
          <w:sz w:val="24"/>
          <w:vertAlign w:val="superscript"/>
        </w:rPr>
        <w:t>7</w:t>
      </w:r>
      <w:r w:rsidRPr="00333B8D">
        <w:rPr>
          <w:rFonts w:ascii="Times" w:hAnsi="Times"/>
          <w:sz w:val="24"/>
        </w:rPr>
        <w:t>Faculty of Science and Marine Environment, Universiti Malaysia Terengganu, 21030 Kuala Nerus, Terengganu Darul Iman, Malaysia.</w:t>
      </w:r>
    </w:p>
    <w:p w14:paraId="5A9E3682" w14:textId="77777777" w:rsidR="00CF0638" w:rsidRPr="00861616" w:rsidRDefault="00CF0638" w:rsidP="00CF0638">
      <w:pPr>
        <w:pStyle w:val="Normal1"/>
        <w:contextualSpacing w:val="0"/>
        <w:rPr>
          <w:rFonts w:ascii="Times" w:hAnsi="Times"/>
          <w:sz w:val="24"/>
        </w:rPr>
      </w:pPr>
      <w:r w:rsidRPr="00333B8D">
        <w:rPr>
          <w:rFonts w:ascii="Times" w:hAnsi="Times"/>
          <w:sz w:val="24"/>
          <w:vertAlign w:val="superscript"/>
        </w:rPr>
        <w:t>8</w:t>
      </w:r>
      <w:r w:rsidRPr="00333B8D">
        <w:rPr>
          <w:rFonts w:ascii="Times" w:hAnsi="Times"/>
          <w:sz w:val="24"/>
        </w:rPr>
        <w:t>Faculty of Fisheries and Food Science, Universiti Malaysia Terengganu, 21030 Kuala Nerus, Terengganu Darul Iman, Malaysia.</w:t>
      </w:r>
    </w:p>
    <w:p w14:paraId="029E0A4C" w14:textId="77777777" w:rsidR="00CF0638" w:rsidRPr="00861616" w:rsidRDefault="00CF0638" w:rsidP="00CF0638">
      <w:pPr>
        <w:pStyle w:val="Normal1"/>
        <w:contextualSpacing w:val="0"/>
        <w:rPr>
          <w:rFonts w:ascii="Times" w:hAnsi="Times"/>
          <w:sz w:val="24"/>
        </w:rPr>
      </w:pPr>
      <w:r w:rsidRPr="00861616">
        <w:rPr>
          <w:rFonts w:ascii="Times" w:hAnsi="Times"/>
          <w:sz w:val="24"/>
        </w:rPr>
        <w:t xml:space="preserve"> </w:t>
      </w:r>
    </w:p>
    <w:p w14:paraId="03FDBCC3" w14:textId="77777777" w:rsidR="00CF0638" w:rsidRPr="00861616" w:rsidRDefault="00CF0638" w:rsidP="00CF0638">
      <w:pPr>
        <w:pStyle w:val="Normal1"/>
        <w:contextualSpacing w:val="0"/>
        <w:rPr>
          <w:rFonts w:ascii="Times" w:hAnsi="Times"/>
          <w:sz w:val="24"/>
        </w:rPr>
      </w:pPr>
      <w:r w:rsidRPr="00861616">
        <w:rPr>
          <w:rFonts w:ascii="Times" w:hAnsi="Times"/>
          <w:sz w:val="24"/>
        </w:rPr>
        <w:t>Corresponding Author:</w:t>
      </w:r>
    </w:p>
    <w:p w14:paraId="383F2C55" w14:textId="77777777" w:rsidR="00CF0638" w:rsidRPr="00861616" w:rsidRDefault="00CF0638" w:rsidP="00CF0638">
      <w:pPr>
        <w:pStyle w:val="Normal1"/>
        <w:contextualSpacing w:val="0"/>
        <w:rPr>
          <w:rFonts w:ascii="Times" w:hAnsi="Times"/>
          <w:sz w:val="24"/>
          <w:highlight w:val="cyan"/>
          <w:vertAlign w:val="superscript"/>
        </w:rPr>
      </w:pPr>
      <w:r w:rsidRPr="00333B8D">
        <w:rPr>
          <w:rFonts w:ascii="Times" w:hAnsi="Times"/>
          <w:sz w:val="24"/>
        </w:rPr>
        <w:t>Wan Hanna Melini Wan Mohtar</w:t>
      </w:r>
      <w:r w:rsidRPr="00333B8D">
        <w:rPr>
          <w:rFonts w:ascii="Times" w:hAnsi="Times"/>
          <w:sz w:val="24"/>
          <w:vertAlign w:val="superscript"/>
        </w:rPr>
        <w:t>1</w:t>
      </w:r>
    </w:p>
    <w:p w14:paraId="6A9478C8" w14:textId="0C99B298" w:rsidR="00CF0638" w:rsidRPr="00861616" w:rsidRDefault="00E941F3" w:rsidP="00CF0638">
      <w:pPr>
        <w:pStyle w:val="Normal1"/>
        <w:contextualSpacing w:val="0"/>
        <w:rPr>
          <w:rFonts w:ascii="Times" w:hAnsi="Times"/>
          <w:sz w:val="24"/>
        </w:rPr>
      </w:pPr>
      <w:r>
        <w:rPr>
          <w:rFonts w:ascii="Times" w:hAnsi="Times"/>
          <w:sz w:val="24"/>
        </w:rPr>
        <w:t xml:space="preserve">Department of </w:t>
      </w:r>
      <w:r w:rsidR="00CF0638" w:rsidRPr="00333B8D">
        <w:rPr>
          <w:rFonts w:ascii="Times" w:hAnsi="Times"/>
          <w:sz w:val="24"/>
        </w:rPr>
        <w:t>Civil Engineering, Faculty of Engineering and Built Environment, Universiti Kebangsaan Malaysia, 43600 UKM Bangi, Selangor Darul Ehsan, Malaysia.</w:t>
      </w:r>
      <w:r w:rsidR="00CF0638" w:rsidRPr="00861616">
        <w:rPr>
          <w:rFonts w:ascii="Times" w:hAnsi="Times"/>
          <w:sz w:val="24"/>
          <w:highlight w:val="cyan"/>
        </w:rPr>
        <w:t xml:space="preserve"> </w:t>
      </w:r>
    </w:p>
    <w:p w14:paraId="5CEA7F40" w14:textId="77777777" w:rsidR="00CF0638" w:rsidRPr="007B6DD5" w:rsidRDefault="00CF0638" w:rsidP="00CF0638">
      <w:pPr>
        <w:pStyle w:val="Normal1"/>
        <w:contextualSpacing w:val="0"/>
        <w:rPr>
          <w:rFonts w:ascii="Times" w:hAnsi="Times"/>
          <w:sz w:val="24"/>
        </w:rPr>
      </w:pPr>
      <w:r w:rsidRPr="00861616">
        <w:rPr>
          <w:rFonts w:ascii="Times" w:hAnsi="Times"/>
          <w:sz w:val="24"/>
        </w:rPr>
        <w:t>Email address:</w:t>
      </w:r>
      <w:r w:rsidRPr="00333B8D">
        <w:t xml:space="preserve"> </w:t>
      </w:r>
      <w:r w:rsidRPr="00333B8D">
        <w:rPr>
          <w:rFonts w:ascii="Times" w:hAnsi="Times"/>
          <w:sz w:val="24"/>
        </w:rPr>
        <w:t>hanna@ukm.edu.my</w:t>
      </w:r>
    </w:p>
    <w:p w14:paraId="6F011122" w14:textId="16FB3DD7" w:rsidR="0068567D" w:rsidRDefault="0068567D" w:rsidP="0094796B">
      <w:pPr>
        <w:spacing w:after="0" w:line="480" w:lineRule="auto"/>
        <w:jc w:val="both"/>
        <w:rPr>
          <w:rFonts w:ascii="Times New Roman" w:eastAsia="Calibri" w:hAnsi="Times New Roman" w:cs="Times New Roman"/>
          <w:bCs/>
          <w:sz w:val="24"/>
          <w:szCs w:val="24"/>
        </w:rPr>
      </w:pPr>
    </w:p>
    <w:p w14:paraId="60053F98" w14:textId="77777777" w:rsidR="00680EE7" w:rsidRDefault="00680EE7" w:rsidP="0094796B">
      <w:pPr>
        <w:spacing w:after="0" w:line="276" w:lineRule="auto"/>
        <w:jc w:val="center"/>
        <w:rPr>
          <w:rFonts w:ascii="Times New Roman" w:eastAsia="Calibri" w:hAnsi="Times New Roman" w:cs="Times New Roman"/>
          <w:b/>
          <w:bCs/>
          <w:sz w:val="24"/>
          <w:szCs w:val="24"/>
        </w:rPr>
        <w:sectPr w:rsidR="00680EE7" w:rsidSect="0002016D">
          <w:headerReference w:type="default" r:id="rId6"/>
          <w:pgSz w:w="11906" w:h="16838"/>
          <w:pgMar w:top="1440" w:right="1440" w:bottom="1440" w:left="1440" w:header="708" w:footer="708" w:gutter="0"/>
          <w:lnNumType w:countBy="1" w:restart="continuous"/>
          <w:cols w:space="708"/>
          <w:docGrid w:linePitch="360"/>
        </w:sectPr>
      </w:pPr>
    </w:p>
    <w:p w14:paraId="454CABC2" w14:textId="5C4E267E" w:rsidR="0094796B" w:rsidRPr="0094796B" w:rsidRDefault="0094796B" w:rsidP="0094796B">
      <w:pPr>
        <w:spacing w:after="0" w:line="276" w:lineRule="auto"/>
        <w:jc w:val="center"/>
        <w:rPr>
          <w:rFonts w:ascii="Times New Roman" w:eastAsia="Calibri" w:hAnsi="Times New Roman" w:cs="Times New Roman"/>
          <w:b/>
          <w:bCs/>
          <w:sz w:val="24"/>
          <w:szCs w:val="24"/>
        </w:rPr>
      </w:pPr>
      <w:r w:rsidRPr="0094796B">
        <w:rPr>
          <w:rFonts w:ascii="Times New Roman" w:eastAsia="Calibri" w:hAnsi="Times New Roman" w:cs="Times New Roman"/>
          <w:b/>
          <w:bCs/>
          <w:sz w:val="24"/>
          <w:szCs w:val="24"/>
        </w:rPr>
        <w:lastRenderedPageBreak/>
        <w:t>Table S</w:t>
      </w:r>
      <w:r w:rsidR="00E001A9">
        <w:rPr>
          <w:rFonts w:ascii="Times New Roman" w:eastAsia="Calibri" w:hAnsi="Times New Roman" w:cs="Times New Roman"/>
          <w:b/>
          <w:bCs/>
          <w:sz w:val="24"/>
          <w:szCs w:val="24"/>
        </w:rPr>
        <w:t>-</w:t>
      </w:r>
      <w:r w:rsidRPr="0094796B">
        <w:rPr>
          <w:rFonts w:ascii="Times New Roman" w:eastAsia="Calibri" w:hAnsi="Times New Roman" w:cs="Times New Roman"/>
          <w:b/>
          <w:bCs/>
          <w:sz w:val="24"/>
          <w:szCs w:val="24"/>
        </w:rPr>
        <w:t>1 Chemical structure and molecular formula of targeted compounds</w:t>
      </w:r>
    </w:p>
    <w:tbl>
      <w:tblPr>
        <w:tblW w:w="10967" w:type="dxa"/>
        <w:jc w:val="center"/>
        <w:tblBorders>
          <w:top w:val="single" w:sz="4" w:space="0" w:color="auto"/>
          <w:bottom w:val="single" w:sz="4" w:space="0" w:color="auto"/>
        </w:tblBorders>
        <w:tblLook w:val="04A0" w:firstRow="1" w:lastRow="0" w:firstColumn="1" w:lastColumn="0" w:noHBand="0" w:noVBand="1"/>
      </w:tblPr>
      <w:tblGrid>
        <w:gridCol w:w="1653"/>
        <w:gridCol w:w="3559"/>
        <w:gridCol w:w="1713"/>
        <w:gridCol w:w="1482"/>
        <w:gridCol w:w="1359"/>
        <w:gridCol w:w="1201"/>
      </w:tblGrid>
      <w:tr w:rsidR="00E85783" w:rsidRPr="00E67579" w14:paraId="2392BC29" w14:textId="536D3330" w:rsidTr="002412ED">
        <w:trPr>
          <w:trHeight w:val="905"/>
          <w:jc w:val="center"/>
        </w:trPr>
        <w:tc>
          <w:tcPr>
            <w:tcW w:w="1653" w:type="dxa"/>
            <w:tcBorders>
              <w:top w:val="single" w:sz="4" w:space="0" w:color="auto"/>
              <w:bottom w:val="single" w:sz="4" w:space="0" w:color="auto"/>
            </w:tcBorders>
            <w:shd w:val="clear" w:color="auto" w:fill="auto"/>
            <w:vAlign w:val="center"/>
          </w:tcPr>
          <w:p w14:paraId="29660FE3"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Targeted compounds</w:t>
            </w:r>
          </w:p>
        </w:tc>
        <w:tc>
          <w:tcPr>
            <w:tcW w:w="3559" w:type="dxa"/>
            <w:tcBorders>
              <w:top w:val="single" w:sz="4" w:space="0" w:color="auto"/>
              <w:bottom w:val="single" w:sz="4" w:space="0" w:color="auto"/>
            </w:tcBorders>
            <w:shd w:val="clear" w:color="auto" w:fill="auto"/>
            <w:vAlign w:val="center"/>
          </w:tcPr>
          <w:p w14:paraId="4B7C4C35"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Chemical Structure</w:t>
            </w:r>
          </w:p>
        </w:tc>
        <w:tc>
          <w:tcPr>
            <w:tcW w:w="1713" w:type="dxa"/>
            <w:tcBorders>
              <w:top w:val="single" w:sz="4" w:space="0" w:color="auto"/>
              <w:bottom w:val="single" w:sz="4" w:space="0" w:color="auto"/>
            </w:tcBorders>
            <w:shd w:val="clear" w:color="auto" w:fill="auto"/>
            <w:vAlign w:val="center"/>
          </w:tcPr>
          <w:p w14:paraId="7A8477CC"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Molecular formula</w:t>
            </w:r>
          </w:p>
        </w:tc>
        <w:tc>
          <w:tcPr>
            <w:tcW w:w="1482" w:type="dxa"/>
            <w:tcBorders>
              <w:top w:val="single" w:sz="4" w:space="0" w:color="auto"/>
              <w:bottom w:val="single" w:sz="4" w:space="0" w:color="auto"/>
            </w:tcBorders>
            <w:shd w:val="clear" w:color="auto" w:fill="auto"/>
            <w:vAlign w:val="center"/>
          </w:tcPr>
          <w:p w14:paraId="46F4D88D"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CAS number</w:t>
            </w:r>
          </w:p>
        </w:tc>
        <w:tc>
          <w:tcPr>
            <w:tcW w:w="1359" w:type="dxa"/>
            <w:tcBorders>
              <w:top w:val="single" w:sz="4" w:space="0" w:color="auto"/>
              <w:bottom w:val="single" w:sz="4" w:space="0" w:color="auto"/>
            </w:tcBorders>
            <w:shd w:val="clear" w:color="auto" w:fill="auto"/>
            <w:vAlign w:val="center"/>
          </w:tcPr>
          <w:p w14:paraId="3A247469"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Molecular Weight (g/mol)</w:t>
            </w:r>
          </w:p>
        </w:tc>
        <w:tc>
          <w:tcPr>
            <w:tcW w:w="1201" w:type="dxa"/>
            <w:tcBorders>
              <w:top w:val="single" w:sz="4" w:space="0" w:color="auto"/>
              <w:bottom w:val="single" w:sz="4" w:space="0" w:color="auto"/>
            </w:tcBorders>
            <w:vAlign w:val="center"/>
          </w:tcPr>
          <w:p w14:paraId="1F518F82" w14:textId="5994CEB8"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LogK</w:t>
            </w:r>
            <w:r w:rsidRPr="00E67579">
              <w:rPr>
                <w:rFonts w:ascii="Times New Roman" w:eastAsia="Calibri" w:hAnsi="Times New Roman" w:cs="Times New Roman"/>
                <w:bCs/>
                <w:sz w:val="24"/>
                <w:szCs w:val="24"/>
                <w:vertAlign w:val="subscript"/>
              </w:rPr>
              <w:t>ow</w:t>
            </w:r>
          </w:p>
        </w:tc>
      </w:tr>
      <w:tr w:rsidR="00E85783" w:rsidRPr="00E67579" w14:paraId="6724C9D8" w14:textId="16FB2441" w:rsidTr="002412ED">
        <w:trPr>
          <w:trHeight w:val="1874"/>
          <w:jc w:val="center"/>
        </w:trPr>
        <w:tc>
          <w:tcPr>
            <w:tcW w:w="1653" w:type="dxa"/>
            <w:tcBorders>
              <w:top w:val="single" w:sz="4" w:space="0" w:color="auto"/>
            </w:tcBorders>
            <w:shd w:val="clear" w:color="auto" w:fill="auto"/>
            <w:vAlign w:val="center"/>
          </w:tcPr>
          <w:p w14:paraId="4F492678"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Ibuprofen (IBU)</w:t>
            </w:r>
          </w:p>
          <w:p w14:paraId="44559E90" w14:textId="77777777" w:rsidR="00680EE7" w:rsidRPr="00E67579" w:rsidRDefault="00680EE7" w:rsidP="0062714B">
            <w:pPr>
              <w:spacing w:after="0" w:line="240" w:lineRule="auto"/>
              <w:rPr>
                <w:rFonts w:ascii="Times New Roman" w:eastAsia="Calibri" w:hAnsi="Times New Roman" w:cs="Times New Roman"/>
                <w:bCs/>
                <w:sz w:val="24"/>
                <w:szCs w:val="24"/>
              </w:rPr>
            </w:pPr>
          </w:p>
        </w:tc>
        <w:tc>
          <w:tcPr>
            <w:tcW w:w="3559" w:type="dxa"/>
            <w:tcBorders>
              <w:top w:val="single" w:sz="4" w:space="0" w:color="auto"/>
            </w:tcBorders>
            <w:shd w:val="clear" w:color="auto" w:fill="auto"/>
            <w:vAlign w:val="center"/>
          </w:tcPr>
          <w:p w14:paraId="23B0D367" w14:textId="050B1008" w:rsidR="00680EE7" w:rsidRPr="00E67579" w:rsidRDefault="00E67579" w:rsidP="004808B0">
            <w:pPr>
              <w:spacing w:after="0" w:line="240" w:lineRule="auto"/>
              <w:jc w:val="center"/>
              <w:rPr>
                <w:rFonts w:ascii="Times New Roman" w:eastAsia="Calibri" w:hAnsi="Times New Roman" w:cs="Times New Roman"/>
                <w:bCs/>
                <w:sz w:val="24"/>
                <w:szCs w:val="24"/>
              </w:rPr>
            </w:pPr>
            <w:r w:rsidRPr="00E67579">
              <w:rPr>
                <w:noProof/>
                <w:sz w:val="24"/>
                <w:szCs w:val="24"/>
              </w:rPr>
              <w:drawing>
                <wp:inline distT="0" distB="0" distL="0" distR="0" wp14:anchorId="1472C5F8" wp14:editId="27268CB0">
                  <wp:extent cx="2054432" cy="99882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75091" cy="1008865"/>
                          </a:xfrm>
                          <a:prstGeom prst="rect">
                            <a:avLst/>
                          </a:prstGeom>
                        </pic:spPr>
                      </pic:pic>
                    </a:graphicData>
                  </a:graphic>
                </wp:inline>
              </w:drawing>
            </w:r>
          </w:p>
        </w:tc>
        <w:tc>
          <w:tcPr>
            <w:tcW w:w="1713" w:type="dxa"/>
            <w:tcBorders>
              <w:top w:val="single" w:sz="4" w:space="0" w:color="auto"/>
            </w:tcBorders>
            <w:shd w:val="clear" w:color="auto" w:fill="auto"/>
            <w:vAlign w:val="center"/>
          </w:tcPr>
          <w:p w14:paraId="51AAEF22" w14:textId="77777777" w:rsidR="00680EE7" w:rsidRPr="00E67579" w:rsidRDefault="00680EE7" w:rsidP="0062714B">
            <w:pPr>
              <w:spacing w:after="0" w:line="240" w:lineRule="auto"/>
              <w:rPr>
                <w:rFonts w:ascii="Times New Roman" w:eastAsia="Calibri" w:hAnsi="Times New Roman" w:cs="Times New Roman"/>
                <w:bCs/>
                <w:sz w:val="24"/>
                <w:szCs w:val="24"/>
              </w:rPr>
            </w:pPr>
            <w:bookmarkStart w:id="2" w:name="_Hlk74478752"/>
            <w:r w:rsidRPr="00E67579">
              <w:rPr>
                <w:rFonts w:ascii="Times New Roman" w:eastAsia="Calibri" w:hAnsi="Times New Roman" w:cs="Times New Roman"/>
                <w:color w:val="212121"/>
                <w:sz w:val="24"/>
                <w:szCs w:val="24"/>
                <w:shd w:val="clear" w:color="auto" w:fill="FFFFFF"/>
              </w:rPr>
              <w:t>C</w:t>
            </w:r>
            <w:r w:rsidRPr="00E67579">
              <w:rPr>
                <w:rFonts w:ascii="Times New Roman" w:eastAsia="Calibri" w:hAnsi="Times New Roman" w:cs="Times New Roman"/>
                <w:color w:val="212121"/>
                <w:sz w:val="24"/>
                <w:szCs w:val="24"/>
                <w:shd w:val="clear" w:color="auto" w:fill="FFFFFF"/>
                <w:vertAlign w:val="subscript"/>
              </w:rPr>
              <w:t>13</w:t>
            </w:r>
            <w:r w:rsidRPr="00E67579">
              <w:rPr>
                <w:rFonts w:ascii="Times New Roman" w:eastAsia="Calibri" w:hAnsi="Times New Roman" w:cs="Times New Roman"/>
                <w:color w:val="212121"/>
                <w:sz w:val="24"/>
                <w:szCs w:val="24"/>
                <w:shd w:val="clear" w:color="auto" w:fill="FFFFFF"/>
              </w:rPr>
              <w:t>H</w:t>
            </w:r>
            <w:r w:rsidRPr="00E67579">
              <w:rPr>
                <w:rFonts w:ascii="Times New Roman" w:eastAsia="Calibri" w:hAnsi="Times New Roman" w:cs="Times New Roman"/>
                <w:color w:val="212121"/>
                <w:sz w:val="24"/>
                <w:szCs w:val="24"/>
                <w:shd w:val="clear" w:color="auto" w:fill="FFFFFF"/>
                <w:vertAlign w:val="subscript"/>
              </w:rPr>
              <w:t>18</w:t>
            </w:r>
            <w:r w:rsidRPr="00E67579">
              <w:rPr>
                <w:rFonts w:ascii="Times New Roman" w:eastAsia="Calibri" w:hAnsi="Times New Roman" w:cs="Times New Roman"/>
                <w:color w:val="212121"/>
                <w:sz w:val="24"/>
                <w:szCs w:val="24"/>
                <w:shd w:val="clear" w:color="auto" w:fill="FFFFFF"/>
              </w:rPr>
              <w:t>O</w:t>
            </w:r>
            <w:r w:rsidRPr="00E67579">
              <w:rPr>
                <w:rFonts w:ascii="Times New Roman" w:eastAsia="Calibri" w:hAnsi="Times New Roman" w:cs="Times New Roman"/>
                <w:color w:val="212121"/>
                <w:sz w:val="24"/>
                <w:szCs w:val="24"/>
                <w:shd w:val="clear" w:color="auto" w:fill="FFFFFF"/>
                <w:vertAlign w:val="subscript"/>
              </w:rPr>
              <w:t>2</w:t>
            </w:r>
            <w:bookmarkEnd w:id="2"/>
          </w:p>
        </w:tc>
        <w:tc>
          <w:tcPr>
            <w:tcW w:w="1482" w:type="dxa"/>
            <w:tcBorders>
              <w:top w:val="single" w:sz="4" w:space="0" w:color="auto"/>
            </w:tcBorders>
            <w:shd w:val="clear" w:color="auto" w:fill="auto"/>
            <w:vAlign w:val="center"/>
          </w:tcPr>
          <w:p w14:paraId="25A4C797"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sz w:val="24"/>
                <w:szCs w:val="24"/>
              </w:rPr>
              <w:t>15687-27-1</w:t>
            </w:r>
          </w:p>
        </w:tc>
        <w:tc>
          <w:tcPr>
            <w:tcW w:w="1359" w:type="dxa"/>
            <w:tcBorders>
              <w:top w:val="single" w:sz="4" w:space="0" w:color="auto"/>
            </w:tcBorders>
            <w:shd w:val="clear" w:color="auto" w:fill="auto"/>
            <w:vAlign w:val="center"/>
          </w:tcPr>
          <w:p w14:paraId="3D89B656"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sz w:val="24"/>
                <w:szCs w:val="24"/>
              </w:rPr>
              <w:t>206.28</w:t>
            </w:r>
          </w:p>
        </w:tc>
        <w:tc>
          <w:tcPr>
            <w:tcW w:w="1201" w:type="dxa"/>
            <w:tcBorders>
              <w:top w:val="single" w:sz="4" w:space="0" w:color="auto"/>
            </w:tcBorders>
            <w:vAlign w:val="center"/>
          </w:tcPr>
          <w:p w14:paraId="3BAA83AA" w14:textId="6067C312" w:rsidR="00680EE7" w:rsidRPr="00E67579" w:rsidRDefault="00680EE7" w:rsidP="0062714B">
            <w:pPr>
              <w:spacing w:after="0" w:line="240" w:lineRule="auto"/>
              <w:rPr>
                <w:rFonts w:ascii="Times New Roman" w:eastAsia="Calibri" w:hAnsi="Times New Roman" w:cs="Times New Roman"/>
                <w:sz w:val="24"/>
                <w:szCs w:val="24"/>
              </w:rPr>
            </w:pPr>
            <w:r w:rsidRPr="00E67579">
              <w:rPr>
                <w:rFonts w:ascii="Times New Roman" w:eastAsia="Calibri" w:hAnsi="Times New Roman" w:cs="Times New Roman"/>
                <w:sz w:val="24"/>
                <w:szCs w:val="24"/>
              </w:rPr>
              <w:t>3.97</w:t>
            </w:r>
          </w:p>
        </w:tc>
      </w:tr>
      <w:tr w:rsidR="00E85783" w:rsidRPr="00E67579" w14:paraId="26FC44D1" w14:textId="1789F77D" w:rsidTr="002412ED">
        <w:trPr>
          <w:trHeight w:val="2577"/>
          <w:jc w:val="center"/>
        </w:trPr>
        <w:tc>
          <w:tcPr>
            <w:tcW w:w="1653" w:type="dxa"/>
            <w:shd w:val="clear" w:color="auto" w:fill="auto"/>
            <w:vAlign w:val="center"/>
          </w:tcPr>
          <w:p w14:paraId="0960640D"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Naproxen (NAP)</w:t>
            </w:r>
          </w:p>
          <w:p w14:paraId="51EAEE82" w14:textId="77777777" w:rsidR="00680EE7" w:rsidRPr="00E67579" w:rsidRDefault="00680EE7" w:rsidP="0062714B">
            <w:pPr>
              <w:spacing w:after="0" w:line="240" w:lineRule="auto"/>
              <w:rPr>
                <w:rFonts w:ascii="Times New Roman" w:eastAsia="Calibri" w:hAnsi="Times New Roman" w:cs="Times New Roman"/>
                <w:bCs/>
                <w:sz w:val="24"/>
                <w:szCs w:val="24"/>
              </w:rPr>
            </w:pPr>
          </w:p>
        </w:tc>
        <w:tc>
          <w:tcPr>
            <w:tcW w:w="3559" w:type="dxa"/>
            <w:shd w:val="clear" w:color="auto" w:fill="auto"/>
            <w:vAlign w:val="center"/>
          </w:tcPr>
          <w:p w14:paraId="3CCCDC60" w14:textId="2787AB9E" w:rsidR="00680EE7" w:rsidRPr="00E67579" w:rsidRDefault="0062714B" w:rsidP="004808B0">
            <w:pPr>
              <w:spacing w:after="0" w:line="240" w:lineRule="auto"/>
              <w:jc w:val="center"/>
              <w:rPr>
                <w:rFonts w:ascii="Times New Roman" w:eastAsia="Calibri" w:hAnsi="Times New Roman" w:cs="Times New Roman"/>
                <w:bCs/>
                <w:sz w:val="24"/>
                <w:szCs w:val="24"/>
              </w:rPr>
            </w:pPr>
            <w:r>
              <w:rPr>
                <w:noProof/>
              </w:rPr>
              <w:drawing>
                <wp:inline distT="0" distB="0" distL="0" distR="0" wp14:anchorId="1ACF8FC3" wp14:editId="30D87F0C">
                  <wp:extent cx="2123359" cy="8431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5719" cy="855998"/>
                          </a:xfrm>
                          <a:prstGeom prst="rect">
                            <a:avLst/>
                          </a:prstGeom>
                        </pic:spPr>
                      </pic:pic>
                    </a:graphicData>
                  </a:graphic>
                </wp:inline>
              </w:drawing>
            </w:r>
          </w:p>
        </w:tc>
        <w:tc>
          <w:tcPr>
            <w:tcW w:w="1713" w:type="dxa"/>
            <w:shd w:val="clear" w:color="auto" w:fill="auto"/>
            <w:vAlign w:val="center"/>
          </w:tcPr>
          <w:p w14:paraId="1A2F1EFA" w14:textId="77777777" w:rsidR="00680EE7" w:rsidRPr="00E67579" w:rsidRDefault="00680EE7" w:rsidP="0062714B">
            <w:pPr>
              <w:spacing w:after="0" w:line="240" w:lineRule="auto"/>
              <w:rPr>
                <w:rFonts w:ascii="Times New Roman" w:eastAsia="Calibri" w:hAnsi="Times New Roman" w:cs="Times New Roman"/>
                <w:bCs/>
                <w:sz w:val="24"/>
                <w:szCs w:val="24"/>
              </w:rPr>
            </w:pPr>
            <w:bookmarkStart w:id="3" w:name="_Hlk74478777"/>
            <w:r w:rsidRPr="00E67579">
              <w:rPr>
                <w:rFonts w:ascii="Times New Roman" w:eastAsia="Calibri" w:hAnsi="Times New Roman" w:cs="Times New Roman"/>
                <w:sz w:val="24"/>
                <w:szCs w:val="24"/>
                <w:shd w:val="clear" w:color="auto" w:fill="FFFFFF"/>
              </w:rPr>
              <w:t>C</w:t>
            </w:r>
            <w:r w:rsidRPr="00E67579">
              <w:rPr>
                <w:rFonts w:ascii="Times New Roman" w:eastAsia="Calibri" w:hAnsi="Times New Roman" w:cs="Times New Roman"/>
                <w:sz w:val="24"/>
                <w:szCs w:val="24"/>
                <w:shd w:val="clear" w:color="auto" w:fill="FFFFFF"/>
                <w:vertAlign w:val="subscript"/>
              </w:rPr>
              <w:t>14</w:t>
            </w:r>
            <w:r w:rsidRPr="00E67579">
              <w:rPr>
                <w:rFonts w:ascii="Times New Roman" w:eastAsia="Calibri" w:hAnsi="Times New Roman" w:cs="Times New Roman"/>
                <w:sz w:val="24"/>
                <w:szCs w:val="24"/>
                <w:shd w:val="clear" w:color="auto" w:fill="FFFFFF"/>
              </w:rPr>
              <w:t>H</w:t>
            </w:r>
            <w:r w:rsidRPr="00E67579">
              <w:rPr>
                <w:rFonts w:ascii="Times New Roman" w:eastAsia="Calibri" w:hAnsi="Times New Roman" w:cs="Times New Roman"/>
                <w:sz w:val="24"/>
                <w:szCs w:val="24"/>
                <w:shd w:val="clear" w:color="auto" w:fill="FFFFFF"/>
                <w:vertAlign w:val="subscript"/>
              </w:rPr>
              <w:t>14</w:t>
            </w:r>
            <w:r w:rsidRPr="00E67579">
              <w:rPr>
                <w:rFonts w:ascii="Times New Roman" w:eastAsia="Calibri" w:hAnsi="Times New Roman" w:cs="Times New Roman"/>
                <w:sz w:val="24"/>
                <w:szCs w:val="24"/>
                <w:shd w:val="clear" w:color="auto" w:fill="FFFFFF"/>
              </w:rPr>
              <w:t>O</w:t>
            </w:r>
            <w:r w:rsidRPr="00E67579">
              <w:rPr>
                <w:rFonts w:ascii="Times New Roman" w:eastAsia="Calibri" w:hAnsi="Times New Roman" w:cs="Times New Roman"/>
                <w:sz w:val="24"/>
                <w:szCs w:val="24"/>
                <w:shd w:val="clear" w:color="auto" w:fill="FFFFFF"/>
                <w:vertAlign w:val="subscript"/>
              </w:rPr>
              <w:t>3</w:t>
            </w:r>
            <w:bookmarkEnd w:id="3"/>
          </w:p>
        </w:tc>
        <w:tc>
          <w:tcPr>
            <w:tcW w:w="1482" w:type="dxa"/>
            <w:shd w:val="clear" w:color="auto" w:fill="auto"/>
            <w:vAlign w:val="center"/>
          </w:tcPr>
          <w:p w14:paraId="1CC416F8"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color w:val="212121"/>
                <w:sz w:val="24"/>
                <w:szCs w:val="24"/>
                <w:shd w:val="clear" w:color="auto" w:fill="FFFFFF"/>
              </w:rPr>
              <w:t>22204-53-1</w:t>
            </w:r>
          </w:p>
        </w:tc>
        <w:tc>
          <w:tcPr>
            <w:tcW w:w="1359" w:type="dxa"/>
            <w:shd w:val="clear" w:color="auto" w:fill="auto"/>
            <w:vAlign w:val="center"/>
          </w:tcPr>
          <w:p w14:paraId="29B1D9C6"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color w:val="212121"/>
                <w:sz w:val="24"/>
                <w:szCs w:val="24"/>
                <w:shd w:val="clear" w:color="auto" w:fill="FFFFFF"/>
              </w:rPr>
              <w:t>230.26</w:t>
            </w:r>
          </w:p>
        </w:tc>
        <w:tc>
          <w:tcPr>
            <w:tcW w:w="1201" w:type="dxa"/>
            <w:vAlign w:val="center"/>
          </w:tcPr>
          <w:p w14:paraId="22E82B03" w14:textId="674300F3" w:rsidR="00680EE7" w:rsidRPr="00E67579" w:rsidRDefault="00680EE7" w:rsidP="0062714B">
            <w:pPr>
              <w:spacing w:after="0" w:line="240" w:lineRule="auto"/>
              <w:rPr>
                <w:rFonts w:ascii="Times New Roman" w:eastAsia="Calibri" w:hAnsi="Times New Roman" w:cs="Times New Roman"/>
                <w:color w:val="212121"/>
                <w:sz w:val="24"/>
                <w:szCs w:val="24"/>
                <w:shd w:val="clear" w:color="auto" w:fill="FFFFFF"/>
              </w:rPr>
            </w:pPr>
            <w:r w:rsidRPr="00E67579">
              <w:rPr>
                <w:rFonts w:ascii="Times New Roman" w:eastAsia="Calibri" w:hAnsi="Times New Roman" w:cs="Times New Roman"/>
                <w:color w:val="212121"/>
                <w:sz w:val="24"/>
                <w:szCs w:val="24"/>
                <w:shd w:val="clear" w:color="auto" w:fill="FFFFFF"/>
              </w:rPr>
              <w:t>3.18</w:t>
            </w:r>
          </w:p>
        </w:tc>
      </w:tr>
      <w:tr w:rsidR="00E85783" w:rsidRPr="00E67579" w14:paraId="73358018" w14:textId="3FC6D932" w:rsidTr="002412ED">
        <w:trPr>
          <w:trHeight w:val="2366"/>
          <w:jc w:val="center"/>
        </w:trPr>
        <w:tc>
          <w:tcPr>
            <w:tcW w:w="1653" w:type="dxa"/>
            <w:shd w:val="clear" w:color="auto" w:fill="auto"/>
            <w:vAlign w:val="center"/>
          </w:tcPr>
          <w:p w14:paraId="36E8CF22"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Ketoprofen (KET)</w:t>
            </w:r>
          </w:p>
          <w:p w14:paraId="1C5F1096" w14:textId="77777777" w:rsidR="00680EE7" w:rsidRPr="00E67579" w:rsidRDefault="00680EE7" w:rsidP="0062714B">
            <w:pPr>
              <w:spacing w:after="0" w:line="240" w:lineRule="auto"/>
              <w:rPr>
                <w:rFonts w:ascii="Times New Roman" w:eastAsia="Calibri" w:hAnsi="Times New Roman" w:cs="Times New Roman"/>
                <w:bCs/>
                <w:sz w:val="24"/>
                <w:szCs w:val="24"/>
              </w:rPr>
            </w:pPr>
          </w:p>
        </w:tc>
        <w:tc>
          <w:tcPr>
            <w:tcW w:w="3559" w:type="dxa"/>
            <w:shd w:val="clear" w:color="auto" w:fill="auto"/>
            <w:vAlign w:val="center"/>
          </w:tcPr>
          <w:p w14:paraId="060C1E0B" w14:textId="47961C80" w:rsidR="00680EE7" w:rsidRPr="00E67579" w:rsidRDefault="00A220FF" w:rsidP="004808B0">
            <w:pPr>
              <w:spacing w:after="0" w:line="240" w:lineRule="auto"/>
              <w:jc w:val="center"/>
              <w:rPr>
                <w:rFonts w:ascii="Times New Roman" w:eastAsia="Calibri" w:hAnsi="Times New Roman" w:cs="Times New Roman"/>
                <w:noProof/>
                <w:sz w:val="24"/>
                <w:szCs w:val="24"/>
              </w:rPr>
            </w:pPr>
            <w:r>
              <w:rPr>
                <w:noProof/>
              </w:rPr>
              <w:drawing>
                <wp:inline distT="0" distB="0" distL="0" distR="0" wp14:anchorId="64D03097" wp14:editId="3EFF667A">
                  <wp:extent cx="1935678" cy="835365"/>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4652" cy="843553"/>
                          </a:xfrm>
                          <a:prstGeom prst="rect">
                            <a:avLst/>
                          </a:prstGeom>
                        </pic:spPr>
                      </pic:pic>
                    </a:graphicData>
                  </a:graphic>
                </wp:inline>
              </w:drawing>
            </w:r>
          </w:p>
        </w:tc>
        <w:tc>
          <w:tcPr>
            <w:tcW w:w="1713" w:type="dxa"/>
            <w:shd w:val="clear" w:color="auto" w:fill="auto"/>
            <w:vAlign w:val="center"/>
          </w:tcPr>
          <w:p w14:paraId="19E92D6B"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color w:val="212121"/>
                <w:sz w:val="24"/>
                <w:szCs w:val="24"/>
                <w:shd w:val="clear" w:color="auto" w:fill="FFFFFF"/>
              </w:rPr>
              <w:t>C</w:t>
            </w:r>
            <w:r w:rsidRPr="00E67579">
              <w:rPr>
                <w:rFonts w:ascii="Times New Roman" w:eastAsia="Calibri" w:hAnsi="Times New Roman" w:cs="Times New Roman"/>
                <w:color w:val="212121"/>
                <w:sz w:val="24"/>
                <w:szCs w:val="24"/>
                <w:shd w:val="clear" w:color="auto" w:fill="FFFFFF"/>
                <w:vertAlign w:val="subscript"/>
              </w:rPr>
              <w:t>16</w:t>
            </w:r>
            <w:r w:rsidRPr="00E67579">
              <w:rPr>
                <w:rFonts w:ascii="Times New Roman" w:eastAsia="Calibri" w:hAnsi="Times New Roman" w:cs="Times New Roman"/>
                <w:color w:val="212121"/>
                <w:sz w:val="24"/>
                <w:szCs w:val="24"/>
                <w:shd w:val="clear" w:color="auto" w:fill="FFFFFF"/>
              </w:rPr>
              <w:t>H</w:t>
            </w:r>
            <w:r w:rsidRPr="00E67579">
              <w:rPr>
                <w:rFonts w:ascii="Times New Roman" w:eastAsia="Calibri" w:hAnsi="Times New Roman" w:cs="Times New Roman"/>
                <w:color w:val="212121"/>
                <w:sz w:val="24"/>
                <w:szCs w:val="24"/>
                <w:shd w:val="clear" w:color="auto" w:fill="FFFFFF"/>
                <w:vertAlign w:val="subscript"/>
              </w:rPr>
              <w:t>14</w:t>
            </w:r>
            <w:r w:rsidRPr="00E67579">
              <w:rPr>
                <w:rFonts w:ascii="Times New Roman" w:eastAsia="Calibri" w:hAnsi="Times New Roman" w:cs="Times New Roman"/>
                <w:color w:val="212121"/>
                <w:sz w:val="24"/>
                <w:szCs w:val="24"/>
                <w:shd w:val="clear" w:color="auto" w:fill="FFFFFF"/>
              </w:rPr>
              <w:t>O</w:t>
            </w:r>
            <w:r w:rsidRPr="00E67579">
              <w:rPr>
                <w:rFonts w:ascii="Times New Roman" w:eastAsia="Calibri" w:hAnsi="Times New Roman" w:cs="Times New Roman"/>
                <w:color w:val="212121"/>
                <w:sz w:val="24"/>
                <w:szCs w:val="24"/>
                <w:shd w:val="clear" w:color="auto" w:fill="FFFFFF"/>
                <w:vertAlign w:val="subscript"/>
              </w:rPr>
              <w:t>3</w:t>
            </w:r>
          </w:p>
        </w:tc>
        <w:tc>
          <w:tcPr>
            <w:tcW w:w="1482" w:type="dxa"/>
            <w:shd w:val="clear" w:color="auto" w:fill="auto"/>
            <w:vAlign w:val="center"/>
          </w:tcPr>
          <w:p w14:paraId="218015CC" w14:textId="77777777" w:rsidR="00680EE7" w:rsidRPr="00E67579" w:rsidRDefault="00680EE7"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22071-15-4</w:t>
            </w:r>
          </w:p>
        </w:tc>
        <w:tc>
          <w:tcPr>
            <w:tcW w:w="1359" w:type="dxa"/>
            <w:shd w:val="clear" w:color="auto" w:fill="auto"/>
            <w:vAlign w:val="center"/>
          </w:tcPr>
          <w:p w14:paraId="49D1083A" w14:textId="77777777" w:rsidR="00680EE7" w:rsidRPr="00E67579" w:rsidRDefault="00680EE7" w:rsidP="0062714B">
            <w:pPr>
              <w:spacing w:after="0" w:line="240" w:lineRule="auto"/>
              <w:rPr>
                <w:rFonts w:ascii="Times New Roman" w:eastAsia="Calibri" w:hAnsi="Times New Roman" w:cs="Times New Roman"/>
                <w:color w:val="363636"/>
                <w:sz w:val="24"/>
                <w:szCs w:val="24"/>
                <w:shd w:val="clear" w:color="auto" w:fill="FFFFFF"/>
              </w:rPr>
            </w:pPr>
            <w:r w:rsidRPr="00E67579">
              <w:rPr>
                <w:rFonts w:ascii="Times New Roman" w:eastAsia="Calibri" w:hAnsi="Times New Roman" w:cs="Times New Roman"/>
                <w:color w:val="212121"/>
                <w:sz w:val="24"/>
                <w:szCs w:val="24"/>
                <w:shd w:val="clear" w:color="auto" w:fill="FFFFFF"/>
              </w:rPr>
              <w:t>254.28</w:t>
            </w:r>
          </w:p>
        </w:tc>
        <w:tc>
          <w:tcPr>
            <w:tcW w:w="1201" w:type="dxa"/>
            <w:vAlign w:val="center"/>
          </w:tcPr>
          <w:p w14:paraId="4A873B77" w14:textId="22DDB2AD" w:rsidR="00680EE7" w:rsidRPr="00E67579" w:rsidRDefault="00680EE7" w:rsidP="0062714B">
            <w:pPr>
              <w:spacing w:after="0" w:line="240" w:lineRule="auto"/>
              <w:rPr>
                <w:rFonts w:ascii="Times New Roman" w:eastAsia="Calibri" w:hAnsi="Times New Roman" w:cs="Times New Roman"/>
                <w:color w:val="212121"/>
                <w:sz w:val="24"/>
                <w:szCs w:val="24"/>
                <w:shd w:val="clear" w:color="auto" w:fill="FFFFFF"/>
              </w:rPr>
            </w:pPr>
            <w:r w:rsidRPr="00E67579">
              <w:rPr>
                <w:rFonts w:ascii="Times New Roman" w:eastAsia="Calibri" w:hAnsi="Times New Roman" w:cs="Times New Roman"/>
                <w:color w:val="212121"/>
                <w:sz w:val="24"/>
                <w:szCs w:val="24"/>
                <w:shd w:val="clear" w:color="auto" w:fill="FFFFFF"/>
              </w:rPr>
              <w:t>2.66</w:t>
            </w:r>
          </w:p>
        </w:tc>
      </w:tr>
      <w:tr w:rsidR="00E85783" w:rsidRPr="00E67579" w14:paraId="5BA51DAF" w14:textId="41011813" w:rsidTr="002412ED">
        <w:trPr>
          <w:trHeight w:val="2230"/>
          <w:jc w:val="center"/>
        </w:trPr>
        <w:tc>
          <w:tcPr>
            <w:tcW w:w="1653" w:type="dxa"/>
            <w:shd w:val="clear" w:color="auto" w:fill="auto"/>
            <w:vAlign w:val="center"/>
          </w:tcPr>
          <w:p w14:paraId="59E197B8" w14:textId="53274CC3" w:rsidR="00680EE7" w:rsidRPr="00E67579" w:rsidRDefault="00285F82"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Diazepam</w:t>
            </w:r>
            <w:r w:rsidR="00E67579" w:rsidRPr="00E67579">
              <w:rPr>
                <w:rFonts w:ascii="Times New Roman" w:eastAsia="Calibri" w:hAnsi="Times New Roman" w:cs="Times New Roman"/>
                <w:bCs/>
                <w:sz w:val="24"/>
                <w:szCs w:val="24"/>
              </w:rPr>
              <w:t xml:space="preserve"> (DIA)</w:t>
            </w:r>
          </w:p>
        </w:tc>
        <w:tc>
          <w:tcPr>
            <w:tcW w:w="3559" w:type="dxa"/>
            <w:shd w:val="clear" w:color="auto" w:fill="auto"/>
            <w:vAlign w:val="center"/>
          </w:tcPr>
          <w:p w14:paraId="44F3C2A5" w14:textId="6810A2AB" w:rsidR="00680EE7" w:rsidRPr="00E67579" w:rsidRDefault="00E85783" w:rsidP="004808B0">
            <w:pPr>
              <w:spacing w:after="0" w:line="240" w:lineRule="auto"/>
              <w:jc w:val="center"/>
              <w:rPr>
                <w:rFonts w:ascii="Times New Roman" w:eastAsia="Calibri" w:hAnsi="Times New Roman" w:cs="Times New Roman"/>
                <w:bCs/>
                <w:sz w:val="24"/>
                <w:szCs w:val="24"/>
              </w:rPr>
            </w:pPr>
            <w:r>
              <w:rPr>
                <w:noProof/>
              </w:rPr>
              <w:drawing>
                <wp:inline distT="0" distB="0" distL="0" distR="0" wp14:anchorId="613D6797" wp14:editId="508DDAB7">
                  <wp:extent cx="1245140" cy="13167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2666" cy="1324695"/>
                          </a:xfrm>
                          <a:prstGeom prst="rect">
                            <a:avLst/>
                          </a:prstGeom>
                        </pic:spPr>
                      </pic:pic>
                    </a:graphicData>
                  </a:graphic>
                </wp:inline>
              </w:drawing>
            </w:r>
          </w:p>
        </w:tc>
        <w:tc>
          <w:tcPr>
            <w:tcW w:w="1713" w:type="dxa"/>
            <w:shd w:val="clear" w:color="auto" w:fill="auto"/>
            <w:vAlign w:val="center"/>
          </w:tcPr>
          <w:p w14:paraId="567F12A6" w14:textId="1767AF1B" w:rsidR="00680EE7" w:rsidRPr="00B27320" w:rsidRDefault="00B27320"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color w:val="212121"/>
                <w:sz w:val="24"/>
                <w:szCs w:val="24"/>
                <w:shd w:val="clear" w:color="auto" w:fill="FFFFFF"/>
              </w:rPr>
              <w:t>C</w:t>
            </w:r>
            <w:r w:rsidRPr="00E67579">
              <w:rPr>
                <w:rFonts w:ascii="Times New Roman" w:eastAsia="Calibri" w:hAnsi="Times New Roman" w:cs="Times New Roman"/>
                <w:color w:val="212121"/>
                <w:sz w:val="24"/>
                <w:szCs w:val="24"/>
                <w:shd w:val="clear" w:color="auto" w:fill="FFFFFF"/>
                <w:vertAlign w:val="subscript"/>
              </w:rPr>
              <w:t>16</w:t>
            </w:r>
            <w:r w:rsidRPr="00E67579">
              <w:rPr>
                <w:rFonts w:ascii="Times New Roman" w:eastAsia="Calibri" w:hAnsi="Times New Roman" w:cs="Times New Roman"/>
                <w:color w:val="212121"/>
                <w:sz w:val="24"/>
                <w:szCs w:val="24"/>
                <w:shd w:val="clear" w:color="auto" w:fill="FFFFFF"/>
              </w:rPr>
              <w:t>H</w:t>
            </w:r>
            <w:r w:rsidRPr="00E67579">
              <w:rPr>
                <w:rFonts w:ascii="Times New Roman" w:eastAsia="Calibri" w:hAnsi="Times New Roman" w:cs="Times New Roman"/>
                <w:color w:val="212121"/>
                <w:sz w:val="24"/>
                <w:szCs w:val="24"/>
                <w:shd w:val="clear" w:color="auto" w:fill="FFFFFF"/>
                <w:vertAlign w:val="subscript"/>
              </w:rPr>
              <w:t>1</w:t>
            </w:r>
            <w:r>
              <w:rPr>
                <w:rFonts w:ascii="Times New Roman" w:eastAsia="Calibri" w:hAnsi="Times New Roman" w:cs="Times New Roman"/>
                <w:color w:val="212121"/>
                <w:sz w:val="24"/>
                <w:szCs w:val="24"/>
                <w:shd w:val="clear" w:color="auto" w:fill="FFFFFF"/>
                <w:vertAlign w:val="subscript"/>
              </w:rPr>
              <w:t>3</w:t>
            </w:r>
            <w:r>
              <w:rPr>
                <w:rFonts w:ascii="Times New Roman" w:eastAsia="Calibri" w:hAnsi="Times New Roman" w:cs="Times New Roman"/>
                <w:color w:val="212121"/>
                <w:sz w:val="24"/>
                <w:szCs w:val="24"/>
                <w:shd w:val="clear" w:color="auto" w:fill="FFFFFF"/>
              </w:rPr>
              <w:t>ClN</w:t>
            </w:r>
            <w:r>
              <w:rPr>
                <w:rFonts w:ascii="Times New Roman" w:eastAsia="Calibri" w:hAnsi="Times New Roman" w:cs="Times New Roman"/>
                <w:color w:val="212121"/>
                <w:sz w:val="24"/>
                <w:szCs w:val="24"/>
                <w:shd w:val="clear" w:color="auto" w:fill="FFFFFF"/>
                <w:vertAlign w:val="subscript"/>
              </w:rPr>
              <w:t>2</w:t>
            </w:r>
            <w:r>
              <w:rPr>
                <w:rFonts w:ascii="Times New Roman" w:eastAsia="Calibri" w:hAnsi="Times New Roman" w:cs="Times New Roman"/>
                <w:color w:val="212121"/>
                <w:sz w:val="24"/>
                <w:szCs w:val="24"/>
                <w:shd w:val="clear" w:color="auto" w:fill="FFFFFF"/>
              </w:rPr>
              <w:t>O</w:t>
            </w:r>
          </w:p>
        </w:tc>
        <w:tc>
          <w:tcPr>
            <w:tcW w:w="1482" w:type="dxa"/>
            <w:shd w:val="clear" w:color="auto" w:fill="auto"/>
            <w:vAlign w:val="center"/>
          </w:tcPr>
          <w:p w14:paraId="63FB5AEC" w14:textId="4F303B4B" w:rsidR="00680EE7" w:rsidRPr="00E67579" w:rsidRDefault="00B27320" w:rsidP="0062714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439-14-5</w:t>
            </w:r>
          </w:p>
        </w:tc>
        <w:tc>
          <w:tcPr>
            <w:tcW w:w="1359" w:type="dxa"/>
            <w:shd w:val="clear" w:color="auto" w:fill="auto"/>
            <w:vAlign w:val="center"/>
          </w:tcPr>
          <w:p w14:paraId="3CDBE9CC" w14:textId="2727BDEF" w:rsidR="00680EE7" w:rsidRPr="00E67579" w:rsidRDefault="00286163" w:rsidP="0062714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284.7</w:t>
            </w:r>
            <w:r w:rsidR="00B27320">
              <w:rPr>
                <w:rFonts w:ascii="Times New Roman" w:eastAsia="Calibri" w:hAnsi="Times New Roman" w:cs="Times New Roman"/>
                <w:bCs/>
                <w:sz w:val="24"/>
                <w:szCs w:val="24"/>
              </w:rPr>
              <w:t>4</w:t>
            </w:r>
          </w:p>
        </w:tc>
        <w:tc>
          <w:tcPr>
            <w:tcW w:w="1201" w:type="dxa"/>
            <w:vAlign w:val="center"/>
          </w:tcPr>
          <w:p w14:paraId="6205748E" w14:textId="04F8FE8C" w:rsidR="00680EE7" w:rsidRPr="00E67579" w:rsidRDefault="00E67579" w:rsidP="0062714B">
            <w:pPr>
              <w:spacing w:after="0" w:line="240" w:lineRule="auto"/>
              <w:rPr>
                <w:rFonts w:ascii="Times New Roman" w:eastAsia="Calibri" w:hAnsi="Times New Roman" w:cs="Times New Roman"/>
                <w:color w:val="363636"/>
                <w:sz w:val="24"/>
                <w:szCs w:val="24"/>
                <w:shd w:val="clear" w:color="auto" w:fill="FFFFFF"/>
              </w:rPr>
            </w:pPr>
            <w:r w:rsidRPr="00E67579">
              <w:rPr>
                <w:rFonts w:ascii="Times New Roman" w:eastAsia="Calibri" w:hAnsi="Times New Roman" w:cs="Times New Roman"/>
                <w:color w:val="363636"/>
                <w:sz w:val="24"/>
                <w:szCs w:val="24"/>
                <w:shd w:val="clear" w:color="auto" w:fill="FFFFFF"/>
              </w:rPr>
              <w:t>2.85</w:t>
            </w:r>
          </w:p>
        </w:tc>
      </w:tr>
      <w:tr w:rsidR="00E85783" w:rsidRPr="00E67579" w14:paraId="427A2A88" w14:textId="77777777" w:rsidTr="002412ED">
        <w:trPr>
          <w:trHeight w:val="2662"/>
          <w:jc w:val="center"/>
        </w:trPr>
        <w:tc>
          <w:tcPr>
            <w:tcW w:w="1653" w:type="dxa"/>
            <w:shd w:val="clear" w:color="auto" w:fill="auto"/>
            <w:vAlign w:val="center"/>
          </w:tcPr>
          <w:p w14:paraId="502F6FF0" w14:textId="77777777" w:rsidR="009A2333" w:rsidRPr="00E67579" w:rsidRDefault="009A2333" w:rsidP="0062714B">
            <w:pPr>
              <w:spacing w:after="0" w:line="240" w:lineRule="auto"/>
              <w:rPr>
                <w:rFonts w:ascii="Times New Roman" w:eastAsia="Calibri" w:hAnsi="Times New Roman" w:cs="Times New Roman"/>
                <w:bCs/>
                <w:sz w:val="24"/>
                <w:szCs w:val="24"/>
              </w:rPr>
            </w:pPr>
            <w:r w:rsidRPr="00E67579">
              <w:rPr>
                <w:rFonts w:ascii="Times New Roman" w:eastAsia="Calibri" w:hAnsi="Times New Roman" w:cs="Times New Roman"/>
                <w:bCs/>
                <w:sz w:val="24"/>
                <w:szCs w:val="24"/>
              </w:rPr>
              <w:t>Diclofenac (DIC)</w:t>
            </w:r>
          </w:p>
          <w:p w14:paraId="1E006F58" w14:textId="77777777" w:rsidR="009A2333" w:rsidRPr="00E67579" w:rsidRDefault="009A2333" w:rsidP="0062714B">
            <w:pPr>
              <w:spacing w:after="0" w:line="240" w:lineRule="auto"/>
              <w:rPr>
                <w:rFonts w:ascii="Times New Roman" w:eastAsia="Calibri" w:hAnsi="Times New Roman" w:cs="Times New Roman"/>
                <w:bCs/>
                <w:sz w:val="24"/>
                <w:szCs w:val="24"/>
              </w:rPr>
            </w:pPr>
          </w:p>
        </w:tc>
        <w:tc>
          <w:tcPr>
            <w:tcW w:w="3559" w:type="dxa"/>
            <w:shd w:val="clear" w:color="auto" w:fill="auto"/>
            <w:vAlign w:val="center"/>
          </w:tcPr>
          <w:p w14:paraId="11BC4A4E" w14:textId="0525A941" w:rsidR="009A2333" w:rsidRPr="00286163" w:rsidRDefault="004808B0" w:rsidP="00286163">
            <w:pPr>
              <w:spacing w:after="0" w:line="240" w:lineRule="auto"/>
              <w:jc w:val="center"/>
              <w:rPr>
                <w:rFonts w:ascii="Times New Roman" w:eastAsia="Calibri" w:hAnsi="Times New Roman" w:cs="Times New Roman"/>
                <w:bCs/>
                <w:sz w:val="24"/>
                <w:szCs w:val="24"/>
              </w:rPr>
            </w:pPr>
            <w:r>
              <w:rPr>
                <w:noProof/>
              </w:rPr>
              <w:drawing>
                <wp:inline distT="0" distB="0" distL="0" distR="0" wp14:anchorId="37B8820E" wp14:editId="3FDA975B">
                  <wp:extent cx="1864360" cy="107597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2196" cy="1103583"/>
                          </a:xfrm>
                          <a:prstGeom prst="rect">
                            <a:avLst/>
                          </a:prstGeom>
                        </pic:spPr>
                      </pic:pic>
                    </a:graphicData>
                  </a:graphic>
                </wp:inline>
              </w:drawing>
            </w:r>
          </w:p>
        </w:tc>
        <w:tc>
          <w:tcPr>
            <w:tcW w:w="1713" w:type="dxa"/>
            <w:shd w:val="clear" w:color="auto" w:fill="auto"/>
            <w:vAlign w:val="center"/>
          </w:tcPr>
          <w:p w14:paraId="7F7B42D0" w14:textId="415D2352" w:rsidR="009A2333" w:rsidRPr="00E67579" w:rsidRDefault="009A2333" w:rsidP="0062714B">
            <w:pPr>
              <w:spacing w:after="0" w:line="240" w:lineRule="auto"/>
              <w:rPr>
                <w:rFonts w:ascii="Times New Roman" w:eastAsia="Calibri" w:hAnsi="Times New Roman" w:cs="Times New Roman"/>
                <w:color w:val="363636"/>
                <w:sz w:val="24"/>
                <w:szCs w:val="24"/>
                <w:shd w:val="clear" w:color="auto" w:fill="FFFFFF"/>
              </w:rPr>
            </w:pPr>
            <w:r w:rsidRPr="00E67579">
              <w:rPr>
                <w:rFonts w:ascii="Times New Roman" w:eastAsia="Calibri" w:hAnsi="Times New Roman" w:cs="Times New Roman"/>
                <w:color w:val="363636"/>
                <w:sz w:val="24"/>
                <w:szCs w:val="24"/>
                <w:shd w:val="clear" w:color="auto" w:fill="FFFFFF"/>
              </w:rPr>
              <w:t>C</w:t>
            </w:r>
            <w:r w:rsidRPr="00E67579">
              <w:rPr>
                <w:rFonts w:ascii="Times New Roman" w:eastAsia="Calibri" w:hAnsi="Times New Roman" w:cs="Times New Roman"/>
                <w:color w:val="363636"/>
                <w:sz w:val="24"/>
                <w:szCs w:val="24"/>
                <w:shd w:val="clear" w:color="auto" w:fill="FFFFFF"/>
                <w:vertAlign w:val="subscript"/>
              </w:rPr>
              <w:t>14</w:t>
            </w:r>
            <w:r w:rsidRPr="00E67579">
              <w:rPr>
                <w:rFonts w:ascii="Times New Roman" w:eastAsia="Calibri" w:hAnsi="Times New Roman" w:cs="Times New Roman"/>
                <w:color w:val="363636"/>
                <w:sz w:val="24"/>
                <w:szCs w:val="24"/>
                <w:shd w:val="clear" w:color="auto" w:fill="FFFFFF"/>
              </w:rPr>
              <w:t>H</w:t>
            </w:r>
            <w:r w:rsidRPr="00E67579">
              <w:rPr>
                <w:rFonts w:ascii="Times New Roman" w:eastAsia="Calibri" w:hAnsi="Times New Roman" w:cs="Times New Roman"/>
                <w:color w:val="363636"/>
                <w:sz w:val="24"/>
                <w:szCs w:val="24"/>
                <w:shd w:val="clear" w:color="auto" w:fill="FFFFFF"/>
                <w:vertAlign w:val="subscript"/>
              </w:rPr>
              <w:t>1</w:t>
            </w:r>
            <w:r w:rsidR="004808B0">
              <w:rPr>
                <w:rFonts w:ascii="Times New Roman" w:eastAsia="Calibri" w:hAnsi="Times New Roman" w:cs="Times New Roman"/>
                <w:color w:val="363636"/>
                <w:sz w:val="24"/>
                <w:szCs w:val="24"/>
                <w:shd w:val="clear" w:color="auto" w:fill="FFFFFF"/>
                <w:vertAlign w:val="subscript"/>
              </w:rPr>
              <w:t>1</w:t>
            </w:r>
            <w:r w:rsidRPr="00E67579">
              <w:rPr>
                <w:rFonts w:ascii="Times New Roman" w:eastAsia="Calibri" w:hAnsi="Times New Roman" w:cs="Times New Roman"/>
                <w:color w:val="363636"/>
                <w:sz w:val="24"/>
                <w:szCs w:val="24"/>
                <w:shd w:val="clear" w:color="auto" w:fill="FFFFFF"/>
              </w:rPr>
              <w:t>Cl</w:t>
            </w:r>
            <w:r w:rsidRPr="00E67579">
              <w:rPr>
                <w:rFonts w:ascii="Times New Roman" w:eastAsia="Calibri" w:hAnsi="Times New Roman" w:cs="Times New Roman"/>
                <w:color w:val="363636"/>
                <w:sz w:val="24"/>
                <w:szCs w:val="24"/>
                <w:shd w:val="clear" w:color="auto" w:fill="FFFFFF"/>
                <w:vertAlign w:val="subscript"/>
              </w:rPr>
              <w:t>2</w:t>
            </w:r>
            <w:r w:rsidRPr="00E67579">
              <w:rPr>
                <w:rFonts w:ascii="Times New Roman" w:eastAsia="Calibri" w:hAnsi="Times New Roman" w:cs="Times New Roman"/>
                <w:color w:val="363636"/>
                <w:sz w:val="24"/>
                <w:szCs w:val="24"/>
                <w:shd w:val="clear" w:color="auto" w:fill="FFFFFF"/>
              </w:rPr>
              <w:t>NO</w:t>
            </w:r>
            <w:r w:rsidRPr="00E67579">
              <w:rPr>
                <w:rFonts w:ascii="Times New Roman" w:eastAsia="Calibri" w:hAnsi="Times New Roman" w:cs="Times New Roman"/>
                <w:color w:val="363636"/>
                <w:sz w:val="24"/>
                <w:szCs w:val="24"/>
                <w:shd w:val="clear" w:color="auto" w:fill="FFFFFF"/>
                <w:vertAlign w:val="subscript"/>
              </w:rPr>
              <w:t>2</w:t>
            </w:r>
          </w:p>
        </w:tc>
        <w:tc>
          <w:tcPr>
            <w:tcW w:w="1482" w:type="dxa"/>
            <w:shd w:val="clear" w:color="auto" w:fill="auto"/>
            <w:vAlign w:val="center"/>
          </w:tcPr>
          <w:p w14:paraId="36BF1369" w14:textId="2521EF38" w:rsidR="0053625C" w:rsidRPr="00E67579" w:rsidRDefault="0053625C" w:rsidP="0062714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15307-86-5</w:t>
            </w:r>
          </w:p>
        </w:tc>
        <w:tc>
          <w:tcPr>
            <w:tcW w:w="1359" w:type="dxa"/>
            <w:shd w:val="clear" w:color="auto" w:fill="auto"/>
            <w:vAlign w:val="center"/>
          </w:tcPr>
          <w:p w14:paraId="5B5861B5" w14:textId="48C22591" w:rsidR="009A2333" w:rsidRPr="00E67579" w:rsidRDefault="0053625C" w:rsidP="0062714B">
            <w:pPr>
              <w:spacing w:after="0" w:line="240" w:lineRule="auto"/>
              <w:rPr>
                <w:rFonts w:ascii="Times New Roman" w:eastAsia="Calibri" w:hAnsi="Times New Roman" w:cs="Times New Roman"/>
                <w:color w:val="363636"/>
                <w:sz w:val="24"/>
                <w:szCs w:val="24"/>
                <w:shd w:val="clear" w:color="auto" w:fill="FFFFFF"/>
              </w:rPr>
            </w:pPr>
            <w:r>
              <w:rPr>
                <w:rFonts w:ascii="Times New Roman" w:eastAsia="Calibri" w:hAnsi="Times New Roman" w:cs="Times New Roman"/>
                <w:color w:val="363636"/>
                <w:sz w:val="24"/>
                <w:szCs w:val="24"/>
                <w:shd w:val="clear" w:color="auto" w:fill="FFFFFF"/>
              </w:rPr>
              <w:t>296.15</w:t>
            </w:r>
          </w:p>
        </w:tc>
        <w:tc>
          <w:tcPr>
            <w:tcW w:w="1201" w:type="dxa"/>
            <w:vAlign w:val="center"/>
          </w:tcPr>
          <w:p w14:paraId="68A9504B" w14:textId="7F42503A" w:rsidR="009A2333" w:rsidRPr="00E67579" w:rsidRDefault="009A2333" w:rsidP="0062714B">
            <w:pPr>
              <w:spacing w:after="0" w:line="240" w:lineRule="auto"/>
              <w:rPr>
                <w:rFonts w:ascii="Times New Roman" w:eastAsia="Calibri" w:hAnsi="Times New Roman" w:cs="Times New Roman"/>
                <w:color w:val="363636"/>
                <w:sz w:val="24"/>
                <w:szCs w:val="24"/>
                <w:shd w:val="clear" w:color="auto" w:fill="FFFFFF"/>
              </w:rPr>
            </w:pPr>
            <w:r w:rsidRPr="00E67579">
              <w:rPr>
                <w:rFonts w:ascii="Times New Roman" w:eastAsia="Calibri" w:hAnsi="Times New Roman" w:cs="Times New Roman"/>
                <w:color w:val="363636"/>
                <w:sz w:val="24"/>
                <w:szCs w:val="24"/>
                <w:shd w:val="clear" w:color="auto" w:fill="FFFFFF"/>
              </w:rPr>
              <w:t>1.90</w:t>
            </w:r>
          </w:p>
        </w:tc>
      </w:tr>
    </w:tbl>
    <w:p w14:paraId="084B2550" w14:textId="77777777" w:rsidR="00680EE7" w:rsidRDefault="00680EE7" w:rsidP="00466C00">
      <w:pPr>
        <w:spacing w:after="200" w:line="276" w:lineRule="auto"/>
        <w:rPr>
          <w:rFonts w:ascii="Times New Roman" w:eastAsia="Calibri" w:hAnsi="Times New Roman" w:cs="Times New Roman"/>
          <w:b/>
          <w:sz w:val="24"/>
          <w:szCs w:val="24"/>
          <w:lang w:val="en-US"/>
        </w:rPr>
        <w:sectPr w:rsidR="00680EE7" w:rsidSect="0002016D">
          <w:pgSz w:w="11906" w:h="16838"/>
          <w:pgMar w:top="1440" w:right="1440" w:bottom="1440" w:left="1440" w:header="709" w:footer="709" w:gutter="0"/>
          <w:lnNumType w:countBy="1" w:restart="continuous"/>
          <w:cols w:space="708"/>
          <w:docGrid w:linePitch="360"/>
        </w:sectPr>
      </w:pPr>
    </w:p>
    <w:p w14:paraId="231BF6FD" w14:textId="54B0168E" w:rsidR="009B6305" w:rsidRDefault="009B6305" w:rsidP="00A413CA">
      <w:pPr>
        <w:spacing w:after="0" w:line="240" w:lineRule="auto"/>
        <w:contextualSpacing/>
        <w:jc w:val="center"/>
        <w:rPr>
          <w:rFonts w:ascii="Times New Roman" w:eastAsia="Calibri" w:hAnsi="Times New Roman" w:cs="Times New Roman"/>
          <w:b/>
          <w:bCs/>
          <w:sz w:val="24"/>
          <w:szCs w:val="24"/>
          <w:lang w:val="en-US"/>
        </w:rPr>
      </w:pPr>
    </w:p>
    <w:p w14:paraId="7E668B1F" w14:textId="339451A8" w:rsidR="009A2333" w:rsidRPr="003F78B1" w:rsidRDefault="0012604C" w:rsidP="003F78B1">
      <w:pPr>
        <w:spacing w:after="0" w:line="240" w:lineRule="auto"/>
        <w:contextualSpacing/>
        <w:jc w:val="center"/>
        <w:rPr>
          <w:rFonts w:ascii="Times New Roman" w:eastAsia="Calibri" w:hAnsi="Times New Roman" w:cs="Times New Roman"/>
          <w:b/>
          <w:bCs/>
          <w:sz w:val="24"/>
          <w:szCs w:val="24"/>
          <w:lang w:val="en-US"/>
        </w:rPr>
      </w:pPr>
      <w:r w:rsidRPr="002412ED">
        <w:rPr>
          <w:rFonts w:ascii="Times New Roman" w:eastAsia="Calibri" w:hAnsi="Times New Roman" w:cs="Times New Roman"/>
          <w:b/>
          <w:bCs/>
          <w:sz w:val="24"/>
          <w:szCs w:val="24"/>
          <w:lang w:val="en-US"/>
        </w:rPr>
        <w:t>Table S</w:t>
      </w:r>
      <w:r w:rsidR="00E001A9" w:rsidRPr="002412ED">
        <w:rPr>
          <w:rFonts w:ascii="Times New Roman" w:eastAsia="Calibri" w:hAnsi="Times New Roman" w:cs="Times New Roman"/>
          <w:b/>
          <w:bCs/>
          <w:sz w:val="24"/>
          <w:szCs w:val="24"/>
          <w:lang w:val="en-US"/>
        </w:rPr>
        <w:t>-</w:t>
      </w:r>
      <w:r w:rsidR="009A2333" w:rsidRPr="002412ED">
        <w:rPr>
          <w:rFonts w:ascii="Times New Roman" w:eastAsia="Calibri" w:hAnsi="Times New Roman" w:cs="Times New Roman"/>
          <w:b/>
          <w:bCs/>
          <w:sz w:val="24"/>
          <w:szCs w:val="24"/>
          <w:lang w:val="en-US"/>
        </w:rPr>
        <w:t>2</w:t>
      </w:r>
      <w:r w:rsidRPr="002412ED">
        <w:rPr>
          <w:rFonts w:ascii="Times New Roman" w:eastAsia="Calibri" w:hAnsi="Times New Roman" w:cs="Times New Roman"/>
          <w:b/>
          <w:bCs/>
          <w:sz w:val="24"/>
          <w:szCs w:val="24"/>
          <w:lang w:val="en-US"/>
        </w:rPr>
        <w:t xml:space="preserve"> </w:t>
      </w:r>
      <w:r w:rsidR="009A2333" w:rsidRPr="002412ED">
        <w:rPr>
          <w:rFonts w:ascii="Times New Roman" w:eastAsia="Calibri" w:hAnsi="Times New Roman" w:cs="Times New Roman"/>
          <w:b/>
          <w:bCs/>
          <w:sz w:val="24"/>
          <w:szCs w:val="24"/>
          <w:lang w:val="en-US"/>
        </w:rPr>
        <w:t>Recovery and quality standard for targeted analyte</w:t>
      </w:r>
    </w:p>
    <w:tbl>
      <w:tblPr>
        <w:tblStyle w:val="TableGrid"/>
        <w:tblpPr w:leftFromText="180" w:rightFromText="180" w:vertAnchor="text" w:horzAnchor="margin" w:tblpXSpec="center" w:tblpY="137"/>
        <w:tblW w:w="152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1292"/>
        <w:gridCol w:w="1136"/>
        <w:gridCol w:w="2325"/>
        <w:gridCol w:w="1723"/>
        <w:gridCol w:w="1618"/>
        <w:gridCol w:w="1480"/>
        <w:gridCol w:w="1398"/>
        <w:gridCol w:w="1522"/>
        <w:gridCol w:w="1620"/>
      </w:tblGrid>
      <w:tr w:rsidR="009A2333" w:rsidRPr="009A2333" w14:paraId="50EE2534" w14:textId="77777777" w:rsidTr="000028C5">
        <w:trPr>
          <w:trHeight w:val="1428"/>
        </w:trPr>
        <w:tc>
          <w:tcPr>
            <w:tcW w:w="1096" w:type="dxa"/>
            <w:tcBorders>
              <w:top w:val="single" w:sz="4" w:space="0" w:color="auto"/>
              <w:bottom w:val="single" w:sz="4" w:space="0" w:color="auto"/>
            </w:tcBorders>
          </w:tcPr>
          <w:p w14:paraId="0726268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Analyte</w:t>
            </w:r>
          </w:p>
        </w:tc>
        <w:tc>
          <w:tcPr>
            <w:tcW w:w="1292" w:type="dxa"/>
            <w:tcBorders>
              <w:top w:val="single" w:sz="4" w:space="0" w:color="auto"/>
              <w:bottom w:val="single" w:sz="4" w:space="0" w:color="auto"/>
            </w:tcBorders>
          </w:tcPr>
          <w:p w14:paraId="5DA15419"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Retention</w:t>
            </w:r>
          </w:p>
          <w:p w14:paraId="1124265D"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time (min)</w:t>
            </w:r>
          </w:p>
        </w:tc>
        <w:tc>
          <w:tcPr>
            <w:tcW w:w="1136" w:type="dxa"/>
            <w:tcBorders>
              <w:top w:val="single" w:sz="4" w:space="0" w:color="auto"/>
              <w:bottom w:val="single" w:sz="4" w:space="0" w:color="auto"/>
            </w:tcBorders>
          </w:tcPr>
          <w:p w14:paraId="32E08B1D"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Recovery (%)</w:t>
            </w:r>
          </w:p>
        </w:tc>
        <w:tc>
          <w:tcPr>
            <w:tcW w:w="2325" w:type="dxa"/>
            <w:tcBorders>
              <w:top w:val="single" w:sz="4" w:space="0" w:color="auto"/>
              <w:bottom w:val="single" w:sz="4" w:space="0" w:color="auto"/>
            </w:tcBorders>
          </w:tcPr>
          <w:p w14:paraId="6B459C6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Linearity from response</w:t>
            </w:r>
          </w:p>
        </w:tc>
        <w:tc>
          <w:tcPr>
            <w:tcW w:w="1723" w:type="dxa"/>
            <w:tcBorders>
              <w:top w:val="single" w:sz="4" w:space="0" w:color="auto"/>
              <w:bottom w:val="single" w:sz="4" w:space="0" w:color="auto"/>
            </w:tcBorders>
          </w:tcPr>
          <w:p w14:paraId="688DA5C2"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Coefficient of determination (</w:t>
            </w:r>
            <w:r w:rsidRPr="009A2333">
              <w:rPr>
                <w:rFonts w:ascii="Times New Roman" w:hAnsi="Times New Roman"/>
                <w:bCs/>
                <w:i/>
                <w:iCs/>
                <w:sz w:val="24"/>
                <w:szCs w:val="24"/>
              </w:rPr>
              <w:t>R</w:t>
            </w:r>
            <w:r w:rsidRPr="009A2333">
              <w:rPr>
                <w:rFonts w:ascii="Times New Roman" w:hAnsi="Times New Roman"/>
                <w:bCs/>
                <w:i/>
                <w:iCs/>
                <w:sz w:val="24"/>
                <w:szCs w:val="24"/>
                <w:vertAlign w:val="superscript"/>
              </w:rPr>
              <w:t>2</w:t>
            </w:r>
            <w:r w:rsidRPr="009A2333">
              <w:rPr>
                <w:rFonts w:ascii="Times New Roman" w:hAnsi="Times New Roman"/>
                <w:bCs/>
                <w:sz w:val="24"/>
                <w:szCs w:val="24"/>
              </w:rPr>
              <w:t>) from a response</w:t>
            </w:r>
          </w:p>
        </w:tc>
        <w:tc>
          <w:tcPr>
            <w:tcW w:w="1618" w:type="dxa"/>
            <w:tcBorders>
              <w:top w:val="single" w:sz="4" w:space="0" w:color="auto"/>
              <w:bottom w:val="single" w:sz="4" w:space="0" w:color="auto"/>
            </w:tcBorders>
          </w:tcPr>
          <w:p w14:paraId="1D1CE00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Coefficient of variation (σ/mean)</w:t>
            </w:r>
          </w:p>
          <w:p w14:paraId="77CAB97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w:t>
            </w:r>
          </w:p>
        </w:tc>
        <w:tc>
          <w:tcPr>
            <w:tcW w:w="1480" w:type="dxa"/>
            <w:tcBorders>
              <w:top w:val="single" w:sz="4" w:space="0" w:color="auto"/>
              <w:bottom w:val="single" w:sz="4" w:space="0" w:color="auto"/>
            </w:tcBorders>
          </w:tcPr>
          <w:p w14:paraId="37390289"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Standard deviation of response (σ)</w:t>
            </w:r>
          </w:p>
        </w:tc>
        <w:tc>
          <w:tcPr>
            <w:tcW w:w="1398" w:type="dxa"/>
            <w:tcBorders>
              <w:top w:val="single" w:sz="4" w:space="0" w:color="auto"/>
              <w:bottom w:val="single" w:sz="4" w:space="0" w:color="auto"/>
            </w:tcBorders>
          </w:tcPr>
          <w:p w14:paraId="21231D8F"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Slope of the calibration curve</w:t>
            </w:r>
          </w:p>
          <w:p w14:paraId="5B31BDF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(s)</w:t>
            </w:r>
          </w:p>
        </w:tc>
        <w:tc>
          <w:tcPr>
            <w:tcW w:w="1522" w:type="dxa"/>
            <w:tcBorders>
              <w:top w:val="single" w:sz="4" w:space="0" w:color="auto"/>
              <w:bottom w:val="single" w:sz="4" w:space="0" w:color="auto"/>
            </w:tcBorders>
          </w:tcPr>
          <w:p w14:paraId="00AB673C" w14:textId="77777777" w:rsidR="000028C5"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 xml:space="preserve">LOD </w:t>
            </w:r>
          </w:p>
          <w:p w14:paraId="1E522785" w14:textId="2D14591D"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(x10</w:t>
            </w:r>
            <w:r w:rsidRPr="009A2333">
              <w:rPr>
                <w:rFonts w:ascii="Times New Roman" w:hAnsi="Times New Roman"/>
                <w:bCs/>
                <w:sz w:val="24"/>
                <w:szCs w:val="24"/>
                <w:vertAlign w:val="superscript"/>
              </w:rPr>
              <w:t>5</w:t>
            </w:r>
            <w:r w:rsidR="000028C5">
              <w:rPr>
                <w:rFonts w:ascii="Times New Roman" w:hAnsi="Times New Roman"/>
                <w:bCs/>
                <w:sz w:val="24"/>
                <w:szCs w:val="24"/>
                <w:vertAlign w:val="superscript"/>
              </w:rPr>
              <w:t xml:space="preserve"> </w:t>
            </w:r>
            <w:r w:rsidRPr="009A2333">
              <w:rPr>
                <w:rFonts w:ascii="Times New Roman" w:hAnsi="Times New Roman"/>
                <w:bCs/>
                <w:sz w:val="24"/>
                <w:szCs w:val="24"/>
              </w:rPr>
              <w:t>ng/L)</w:t>
            </w:r>
          </w:p>
          <w:p w14:paraId="50C2CAE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3.3*(σ/s)</w:t>
            </w:r>
          </w:p>
        </w:tc>
        <w:tc>
          <w:tcPr>
            <w:tcW w:w="1620" w:type="dxa"/>
            <w:tcBorders>
              <w:top w:val="single" w:sz="4" w:space="0" w:color="auto"/>
              <w:bottom w:val="single" w:sz="4" w:space="0" w:color="auto"/>
            </w:tcBorders>
          </w:tcPr>
          <w:p w14:paraId="5BEF7CA6"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LOQ</w:t>
            </w:r>
          </w:p>
          <w:p w14:paraId="0D8DDFFF" w14:textId="09828662"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(x10</w:t>
            </w:r>
            <w:r w:rsidRPr="009A2333">
              <w:rPr>
                <w:rFonts w:ascii="Times New Roman" w:hAnsi="Times New Roman"/>
                <w:bCs/>
                <w:sz w:val="24"/>
                <w:szCs w:val="24"/>
                <w:vertAlign w:val="superscript"/>
              </w:rPr>
              <w:t>6</w:t>
            </w:r>
            <w:r w:rsidR="000028C5">
              <w:rPr>
                <w:rFonts w:ascii="Times New Roman" w:hAnsi="Times New Roman"/>
                <w:bCs/>
                <w:sz w:val="24"/>
                <w:szCs w:val="24"/>
                <w:vertAlign w:val="superscript"/>
              </w:rPr>
              <w:t xml:space="preserve"> </w:t>
            </w:r>
            <w:r w:rsidRPr="009A2333">
              <w:rPr>
                <w:rFonts w:ascii="Times New Roman" w:hAnsi="Times New Roman"/>
                <w:bCs/>
                <w:sz w:val="24"/>
                <w:szCs w:val="24"/>
              </w:rPr>
              <w:t>ng/L)</w:t>
            </w:r>
          </w:p>
          <w:p w14:paraId="16D6FE8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10*(σ/s)</w:t>
            </w:r>
          </w:p>
        </w:tc>
      </w:tr>
      <w:tr w:rsidR="009A2333" w:rsidRPr="009A2333" w14:paraId="5408BA7B" w14:textId="77777777" w:rsidTr="000028C5">
        <w:trPr>
          <w:trHeight w:val="280"/>
        </w:trPr>
        <w:tc>
          <w:tcPr>
            <w:tcW w:w="1096" w:type="dxa"/>
            <w:tcBorders>
              <w:top w:val="single" w:sz="4" w:space="0" w:color="auto"/>
            </w:tcBorders>
          </w:tcPr>
          <w:p w14:paraId="5B161847"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IBU</w:t>
            </w:r>
          </w:p>
        </w:tc>
        <w:tc>
          <w:tcPr>
            <w:tcW w:w="1292" w:type="dxa"/>
            <w:tcBorders>
              <w:top w:val="single" w:sz="4" w:space="0" w:color="auto"/>
            </w:tcBorders>
          </w:tcPr>
          <w:p w14:paraId="79AE3435"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9.05</w:t>
            </w:r>
          </w:p>
        </w:tc>
        <w:tc>
          <w:tcPr>
            <w:tcW w:w="1136" w:type="dxa"/>
            <w:tcBorders>
              <w:top w:val="single" w:sz="4" w:space="0" w:color="auto"/>
            </w:tcBorders>
          </w:tcPr>
          <w:p w14:paraId="2B15BBF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99.1</w:t>
            </w:r>
          </w:p>
        </w:tc>
        <w:tc>
          <w:tcPr>
            <w:tcW w:w="2325" w:type="dxa"/>
            <w:tcBorders>
              <w:top w:val="single" w:sz="4" w:space="0" w:color="auto"/>
            </w:tcBorders>
          </w:tcPr>
          <w:p w14:paraId="7BD9673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y=53977x-21811</w:t>
            </w:r>
          </w:p>
        </w:tc>
        <w:tc>
          <w:tcPr>
            <w:tcW w:w="1723" w:type="dxa"/>
            <w:tcBorders>
              <w:top w:val="single" w:sz="4" w:space="0" w:color="auto"/>
            </w:tcBorders>
          </w:tcPr>
          <w:p w14:paraId="5E59C3C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0.9844</w:t>
            </w:r>
          </w:p>
        </w:tc>
        <w:tc>
          <w:tcPr>
            <w:tcW w:w="1618" w:type="dxa"/>
            <w:tcBorders>
              <w:top w:val="single" w:sz="4" w:space="0" w:color="auto"/>
            </w:tcBorders>
          </w:tcPr>
          <w:p w14:paraId="34B8B3FC"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15.14</w:t>
            </w:r>
          </w:p>
        </w:tc>
        <w:tc>
          <w:tcPr>
            <w:tcW w:w="1480" w:type="dxa"/>
            <w:tcBorders>
              <w:top w:val="single" w:sz="4" w:space="0" w:color="auto"/>
            </w:tcBorders>
          </w:tcPr>
          <w:p w14:paraId="2CDDACB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7093.08</w:t>
            </w:r>
          </w:p>
        </w:tc>
        <w:tc>
          <w:tcPr>
            <w:tcW w:w="1398" w:type="dxa"/>
            <w:tcBorders>
              <w:top w:val="single" w:sz="4" w:space="0" w:color="auto"/>
            </w:tcBorders>
          </w:tcPr>
          <w:p w14:paraId="4F374D4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53977</w:t>
            </w:r>
          </w:p>
        </w:tc>
        <w:tc>
          <w:tcPr>
            <w:tcW w:w="1522" w:type="dxa"/>
            <w:tcBorders>
              <w:top w:val="single" w:sz="4" w:space="0" w:color="auto"/>
            </w:tcBorders>
          </w:tcPr>
          <w:p w14:paraId="179C9F7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4.337</w:t>
            </w:r>
          </w:p>
        </w:tc>
        <w:tc>
          <w:tcPr>
            <w:tcW w:w="1620" w:type="dxa"/>
            <w:tcBorders>
              <w:top w:val="single" w:sz="4" w:space="0" w:color="auto"/>
            </w:tcBorders>
          </w:tcPr>
          <w:p w14:paraId="6E9E900A"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1.314</w:t>
            </w:r>
          </w:p>
        </w:tc>
      </w:tr>
      <w:tr w:rsidR="009A2333" w:rsidRPr="009A2333" w14:paraId="22721578" w14:textId="77777777" w:rsidTr="000028C5">
        <w:trPr>
          <w:trHeight w:val="280"/>
        </w:trPr>
        <w:tc>
          <w:tcPr>
            <w:tcW w:w="1096" w:type="dxa"/>
          </w:tcPr>
          <w:p w14:paraId="6DE6DB6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NAP</w:t>
            </w:r>
          </w:p>
        </w:tc>
        <w:tc>
          <w:tcPr>
            <w:tcW w:w="1292" w:type="dxa"/>
          </w:tcPr>
          <w:p w14:paraId="4C7C96CD"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12.0</w:t>
            </w:r>
          </w:p>
        </w:tc>
        <w:tc>
          <w:tcPr>
            <w:tcW w:w="1136" w:type="dxa"/>
          </w:tcPr>
          <w:p w14:paraId="62B204EC"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97.7</w:t>
            </w:r>
          </w:p>
        </w:tc>
        <w:tc>
          <w:tcPr>
            <w:tcW w:w="2325" w:type="dxa"/>
          </w:tcPr>
          <w:p w14:paraId="6273B26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y=4331.4x+6382.8</w:t>
            </w:r>
          </w:p>
        </w:tc>
        <w:tc>
          <w:tcPr>
            <w:tcW w:w="1723" w:type="dxa"/>
          </w:tcPr>
          <w:p w14:paraId="0B8F8C4F"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0.9607</w:t>
            </w:r>
          </w:p>
        </w:tc>
        <w:tc>
          <w:tcPr>
            <w:tcW w:w="1618" w:type="dxa"/>
          </w:tcPr>
          <w:p w14:paraId="1D066E5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5.32</w:t>
            </w:r>
          </w:p>
        </w:tc>
        <w:tc>
          <w:tcPr>
            <w:tcW w:w="1480" w:type="dxa"/>
          </w:tcPr>
          <w:p w14:paraId="1AC3EFED"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505.919</w:t>
            </w:r>
          </w:p>
        </w:tc>
        <w:tc>
          <w:tcPr>
            <w:tcW w:w="1398" w:type="dxa"/>
          </w:tcPr>
          <w:p w14:paraId="69D81549"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4331.4</w:t>
            </w:r>
          </w:p>
        </w:tc>
        <w:tc>
          <w:tcPr>
            <w:tcW w:w="1522" w:type="dxa"/>
          </w:tcPr>
          <w:p w14:paraId="21B58895"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3.854</w:t>
            </w:r>
          </w:p>
        </w:tc>
        <w:tc>
          <w:tcPr>
            <w:tcW w:w="1620" w:type="dxa"/>
          </w:tcPr>
          <w:p w14:paraId="4C4587A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1.168</w:t>
            </w:r>
          </w:p>
        </w:tc>
      </w:tr>
      <w:tr w:rsidR="009A2333" w:rsidRPr="009A2333" w14:paraId="444147DF" w14:textId="77777777" w:rsidTr="000028C5">
        <w:trPr>
          <w:trHeight w:val="280"/>
        </w:trPr>
        <w:tc>
          <w:tcPr>
            <w:tcW w:w="1096" w:type="dxa"/>
          </w:tcPr>
          <w:p w14:paraId="0DAE637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KET</w:t>
            </w:r>
          </w:p>
        </w:tc>
        <w:tc>
          <w:tcPr>
            <w:tcW w:w="1292" w:type="dxa"/>
          </w:tcPr>
          <w:p w14:paraId="762B12B6"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12.8</w:t>
            </w:r>
          </w:p>
        </w:tc>
        <w:tc>
          <w:tcPr>
            <w:tcW w:w="1136" w:type="dxa"/>
          </w:tcPr>
          <w:p w14:paraId="6D79D6B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111.7</w:t>
            </w:r>
          </w:p>
        </w:tc>
        <w:tc>
          <w:tcPr>
            <w:tcW w:w="2325" w:type="dxa"/>
          </w:tcPr>
          <w:p w14:paraId="762E0077"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y=106608x+65246</w:t>
            </w:r>
          </w:p>
        </w:tc>
        <w:tc>
          <w:tcPr>
            <w:tcW w:w="1723" w:type="dxa"/>
          </w:tcPr>
          <w:p w14:paraId="5DD4D009"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0.9889</w:t>
            </w:r>
          </w:p>
        </w:tc>
        <w:tc>
          <w:tcPr>
            <w:tcW w:w="1618" w:type="dxa"/>
          </w:tcPr>
          <w:p w14:paraId="483DDE62"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16.30</w:t>
            </w:r>
          </w:p>
        </w:tc>
        <w:tc>
          <w:tcPr>
            <w:tcW w:w="1480" w:type="dxa"/>
          </w:tcPr>
          <w:p w14:paraId="08892BC6"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21820.06</w:t>
            </w:r>
          </w:p>
        </w:tc>
        <w:tc>
          <w:tcPr>
            <w:tcW w:w="1398" w:type="dxa"/>
          </w:tcPr>
          <w:p w14:paraId="1160FA1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106608</w:t>
            </w:r>
          </w:p>
        </w:tc>
        <w:tc>
          <w:tcPr>
            <w:tcW w:w="1522" w:type="dxa"/>
          </w:tcPr>
          <w:p w14:paraId="5065F4F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6.754</w:t>
            </w:r>
          </w:p>
        </w:tc>
        <w:tc>
          <w:tcPr>
            <w:tcW w:w="1620" w:type="dxa"/>
          </w:tcPr>
          <w:p w14:paraId="727316DE"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2.046</w:t>
            </w:r>
          </w:p>
        </w:tc>
      </w:tr>
      <w:tr w:rsidR="009A2333" w:rsidRPr="009A2333" w14:paraId="14A9C521" w14:textId="77777777" w:rsidTr="000028C5">
        <w:trPr>
          <w:trHeight w:val="280"/>
        </w:trPr>
        <w:tc>
          <w:tcPr>
            <w:tcW w:w="1096" w:type="dxa"/>
          </w:tcPr>
          <w:p w14:paraId="176F0E5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DIA</w:t>
            </w:r>
          </w:p>
        </w:tc>
        <w:tc>
          <w:tcPr>
            <w:tcW w:w="1292" w:type="dxa"/>
          </w:tcPr>
          <w:p w14:paraId="1A867275"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14.9</w:t>
            </w:r>
          </w:p>
        </w:tc>
        <w:tc>
          <w:tcPr>
            <w:tcW w:w="1136" w:type="dxa"/>
          </w:tcPr>
          <w:p w14:paraId="32E1AB3A"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74.86</w:t>
            </w:r>
          </w:p>
        </w:tc>
        <w:tc>
          <w:tcPr>
            <w:tcW w:w="2325" w:type="dxa"/>
          </w:tcPr>
          <w:p w14:paraId="167296CE"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y=144164x+162864</w:t>
            </w:r>
          </w:p>
        </w:tc>
        <w:tc>
          <w:tcPr>
            <w:tcW w:w="1723" w:type="dxa"/>
          </w:tcPr>
          <w:p w14:paraId="4510224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0.9755</w:t>
            </w:r>
          </w:p>
        </w:tc>
        <w:tc>
          <w:tcPr>
            <w:tcW w:w="1618" w:type="dxa"/>
          </w:tcPr>
          <w:p w14:paraId="17007FB3"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17.59</w:t>
            </w:r>
          </w:p>
        </w:tc>
        <w:tc>
          <w:tcPr>
            <w:tcW w:w="1480" w:type="dxa"/>
          </w:tcPr>
          <w:p w14:paraId="092FB173"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29990.55</w:t>
            </w:r>
          </w:p>
        </w:tc>
        <w:tc>
          <w:tcPr>
            <w:tcW w:w="1398" w:type="dxa"/>
          </w:tcPr>
          <w:p w14:paraId="05B73DD5"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144164</w:t>
            </w:r>
          </w:p>
        </w:tc>
        <w:tc>
          <w:tcPr>
            <w:tcW w:w="1522" w:type="dxa"/>
          </w:tcPr>
          <w:p w14:paraId="61CBB891"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6.865</w:t>
            </w:r>
          </w:p>
        </w:tc>
        <w:tc>
          <w:tcPr>
            <w:tcW w:w="1620" w:type="dxa"/>
          </w:tcPr>
          <w:p w14:paraId="5F74889C"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2.080</w:t>
            </w:r>
          </w:p>
        </w:tc>
      </w:tr>
      <w:tr w:rsidR="009A2333" w:rsidRPr="009A2333" w14:paraId="4BC6416F" w14:textId="77777777" w:rsidTr="000028C5">
        <w:trPr>
          <w:trHeight w:val="280"/>
        </w:trPr>
        <w:tc>
          <w:tcPr>
            <w:tcW w:w="1096" w:type="dxa"/>
          </w:tcPr>
          <w:p w14:paraId="4FFC5183"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DIC</w:t>
            </w:r>
          </w:p>
        </w:tc>
        <w:tc>
          <w:tcPr>
            <w:tcW w:w="1292" w:type="dxa"/>
          </w:tcPr>
          <w:p w14:paraId="1DCFF638"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13.0</w:t>
            </w:r>
          </w:p>
        </w:tc>
        <w:tc>
          <w:tcPr>
            <w:tcW w:w="1136" w:type="dxa"/>
          </w:tcPr>
          <w:p w14:paraId="4E257DD6"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69.1</w:t>
            </w:r>
          </w:p>
        </w:tc>
        <w:tc>
          <w:tcPr>
            <w:tcW w:w="2325" w:type="dxa"/>
          </w:tcPr>
          <w:p w14:paraId="0F595D2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y=48855x+6961.8</w:t>
            </w:r>
          </w:p>
        </w:tc>
        <w:tc>
          <w:tcPr>
            <w:tcW w:w="1723" w:type="dxa"/>
          </w:tcPr>
          <w:p w14:paraId="72565B0E"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0.9992</w:t>
            </w:r>
          </w:p>
        </w:tc>
        <w:tc>
          <w:tcPr>
            <w:tcW w:w="1618" w:type="dxa"/>
          </w:tcPr>
          <w:p w14:paraId="75F01E65"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9.36</w:t>
            </w:r>
          </w:p>
        </w:tc>
        <w:tc>
          <w:tcPr>
            <w:tcW w:w="1480" w:type="dxa"/>
          </w:tcPr>
          <w:p w14:paraId="17CB01B4"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5241.51</w:t>
            </w:r>
          </w:p>
        </w:tc>
        <w:tc>
          <w:tcPr>
            <w:tcW w:w="1398" w:type="dxa"/>
          </w:tcPr>
          <w:p w14:paraId="620D175A"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48855</w:t>
            </w:r>
          </w:p>
        </w:tc>
        <w:tc>
          <w:tcPr>
            <w:tcW w:w="1522" w:type="dxa"/>
          </w:tcPr>
          <w:p w14:paraId="2B45C40B"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3.540</w:t>
            </w:r>
          </w:p>
        </w:tc>
        <w:tc>
          <w:tcPr>
            <w:tcW w:w="1620" w:type="dxa"/>
          </w:tcPr>
          <w:p w14:paraId="2E7EA680" w14:textId="77777777" w:rsidR="009A2333" w:rsidRPr="009A2333" w:rsidRDefault="009A2333" w:rsidP="003F78B1">
            <w:pPr>
              <w:pStyle w:val="ListParagraph"/>
              <w:spacing w:after="0" w:line="240" w:lineRule="auto"/>
              <w:ind w:left="0"/>
              <w:jc w:val="center"/>
              <w:rPr>
                <w:rFonts w:ascii="Times New Roman" w:hAnsi="Times New Roman"/>
                <w:bCs/>
                <w:sz w:val="24"/>
                <w:szCs w:val="24"/>
              </w:rPr>
            </w:pPr>
            <w:r w:rsidRPr="009A2333">
              <w:rPr>
                <w:rFonts w:ascii="Times New Roman" w:hAnsi="Times New Roman"/>
                <w:bCs/>
                <w:sz w:val="24"/>
                <w:szCs w:val="24"/>
              </w:rPr>
              <w:t>1.072</w:t>
            </w:r>
          </w:p>
        </w:tc>
      </w:tr>
    </w:tbl>
    <w:p w14:paraId="0DB1C08F" w14:textId="77777777" w:rsidR="00285F82" w:rsidRDefault="00285F82">
      <w:pPr>
        <w:sectPr w:rsidR="00285F82" w:rsidSect="0002016D">
          <w:pgSz w:w="16838" w:h="11906" w:orient="landscape"/>
          <w:pgMar w:top="1440" w:right="1440" w:bottom="1440" w:left="1440" w:header="709" w:footer="709" w:gutter="0"/>
          <w:lnNumType w:countBy="1" w:restart="continuous"/>
          <w:cols w:space="708"/>
          <w:docGrid w:linePitch="360"/>
        </w:sectPr>
      </w:pPr>
    </w:p>
    <w:p w14:paraId="17CDCB3B" w14:textId="7E2556E8" w:rsidR="001622F5" w:rsidRDefault="001622F5" w:rsidP="001622F5">
      <w:pPr>
        <w:spacing w:after="0" w:line="240" w:lineRule="auto"/>
        <w:jc w:val="center"/>
        <w:rPr>
          <w:rFonts w:ascii="Times New Roman" w:hAnsi="Times New Roman"/>
          <w:b/>
          <w:sz w:val="24"/>
          <w:szCs w:val="24"/>
        </w:rPr>
      </w:pPr>
      <w:r w:rsidRPr="002412ED">
        <w:rPr>
          <w:rFonts w:ascii="Times New Roman" w:hAnsi="Times New Roman"/>
          <w:b/>
          <w:sz w:val="24"/>
          <w:szCs w:val="24"/>
        </w:rPr>
        <w:lastRenderedPageBreak/>
        <w:t>Table S-</w:t>
      </w:r>
      <w:r>
        <w:rPr>
          <w:rFonts w:ascii="Times New Roman" w:hAnsi="Times New Roman"/>
          <w:b/>
          <w:sz w:val="24"/>
          <w:szCs w:val="24"/>
        </w:rPr>
        <w:t>3</w:t>
      </w:r>
      <w:r w:rsidRPr="002412ED">
        <w:rPr>
          <w:rFonts w:ascii="Times New Roman" w:hAnsi="Times New Roman"/>
          <w:b/>
          <w:sz w:val="24"/>
          <w:szCs w:val="24"/>
        </w:rPr>
        <w:t xml:space="preserve"> </w:t>
      </w:r>
      <w:r w:rsidRPr="001F239D">
        <w:rPr>
          <w:rFonts w:ascii="Times New Roman" w:hAnsi="Times New Roman"/>
          <w:b/>
          <w:sz w:val="24"/>
          <w:szCs w:val="24"/>
        </w:rPr>
        <w:t xml:space="preserve">The pharmaceutical residue (IBU, NAP, KET, DIA, DIC) in the urban water </w:t>
      </w:r>
    </w:p>
    <w:tbl>
      <w:tblPr>
        <w:tblStyle w:val="TableGrid"/>
        <w:tblpPr w:leftFromText="180" w:rightFromText="180" w:vertAnchor="text" w:horzAnchor="margin" w:tblpXSpec="center" w:tblpY="39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1865"/>
        <w:gridCol w:w="2331"/>
        <w:gridCol w:w="2924"/>
      </w:tblGrid>
      <w:tr w:rsidR="001622F5" w:rsidRPr="00F23D3A" w14:paraId="3F4D00B3" w14:textId="77777777" w:rsidTr="0043252A">
        <w:trPr>
          <w:trHeight w:val="105"/>
        </w:trPr>
        <w:tc>
          <w:tcPr>
            <w:tcW w:w="1056" w:type="pct"/>
            <w:tcBorders>
              <w:top w:val="single" w:sz="4" w:space="0" w:color="auto"/>
              <w:bottom w:val="single" w:sz="4" w:space="0" w:color="auto"/>
            </w:tcBorders>
            <w:vAlign w:val="center"/>
          </w:tcPr>
          <w:p w14:paraId="4CFA640F" w14:textId="77777777" w:rsidR="001622F5" w:rsidRPr="00F23D3A" w:rsidRDefault="001622F5" w:rsidP="0043252A">
            <w:pPr>
              <w:rPr>
                <w:rFonts w:ascii="Times New Roman" w:eastAsia="Times New Roman" w:hAnsi="Times New Roman"/>
                <w:b/>
                <w:bCs/>
                <w:color w:val="000000"/>
                <w:sz w:val="24"/>
                <w:szCs w:val="24"/>
              </w:rPr>
            </w:pPr>
            <w:r w:rsidRPr="00F23D3A">
              <w:rPr>
                <w:rFonts w:ascii="Times New Roman" w:eastAsia="Times New Roman" w:hAnsi="Times New Roman"/>
                <w:b/>
                <w:bCs/>
                <w:color w:val="000000"/>
                <w:sz w:val="24"/>
                <w:szCs w:val="24"/>
              </w:rPr>
              <w:t>Country</w:t>
            </w:r>
          </w:p>
        </w:tc>
        <w:tc>
          <w:tcPr>
            <w:tcW w:w="1033" w:type="pct"/>
            <w:tcBorders>
              <w:top w:val="single" w:sz="4" w:space="0" w:color="auto"/>
              <w:bottom w:val="single" w:sz="4" w:space="0" w:color="auto"/>
            </w:tcBorders>
            <w:vAlign w:val="center"/>
          </w:tcPr>
          <w:p w14:paraId="3CDD742F" w14:textId="77777777" w:rsidR="001622F5" w:rsidRPr="00F23D3A" w:rsidRDefault="001622F5" w:rsidP="0043252A">
            <w:pPr>
              <w:rPr>
                <w:rFonts w:ascii="Times New Roman" w:eastAsia="Times New Roman" w:hAnsi="Times New Roman"/>
                <w:b/>
                <w:bCs/>
                <w:color w:val="000000"/>
                <w:sz w:val="24"/>
                <w:szCs w:val="24"/>
              </w:rPr>
            </w:pPr>
            <w:r w:rsidRPr="00F23D3A">
              <w:rPr>
                <w:rFonts w:ascii="Times New Roman" w:eastAsia="Times New Roman" w:hAnsi="Times New Roman"/>
                <w:b/>
                <w:bCs/>
                <w:color w:val="000000"/>
                <w:sz w:val="24"/>
                <w:szCs w:val="24"/>
              </w:rPr>
              <w:t>Water cycle</w:t>
            </w:r>
          </w:p>
        </w:tc>
        <w:tc>
          <w:tcPr>
            <w:tcW w:w="1291" w:type="pct"/>
            <w:tcBorders>
              <w:top w:val="single" w:sz="4" w:space="0" w:color="auto"/>
              <w:bottom w:val="single" w:sz="4" w:space="0" w:color="auto"/>
            </w:tcBorders>
            <w:vAlign w:val="center"/>
          </w:tcPr>
          <w:p w14:paraId="16BEF5A9" w14:textId="77777777" w:rsidR="001622F5" w:rsidRPr="00F23D3A" w:rsidRDefault="001622F5" w:rsidP="0043252A">
            <w:pPr>
              <w:rPr>
                <w:rFonts w:ascii="Times New Roman" w:eastAsia="Times New Roman" w:hAnsi="Times New Roman"/>
                <w:b/>
                <w:bCs/>
                <w:color w:val="000000"/>
                <w:sz w:val="24"/>
                <w:szCs w:val="24"/>
              </w:rPr>
            </w:pPr>
            <w:r w:rsidRPr="00F23D3A">
              <w:rPr>
                <w:rFonts w:ascii="Times New Roman" w:eastAsia="Times New Roman" w:hAnsi="Times New Roman"/>
                <w:b/>
                <w:bCs/>
                <w:color w:val="000000"/>
                <w:sz w:val="24"/>
                <w:szCs w:val="24"/>
              </w:rPr>
              <w:t>Pharmaceuticals</w:t>
            </w:r>
          </w:p>
        </w:tc>
        <w:tc>
          <w:tcPr>
            <w:tcW w:w="1620" w:type="pct"/>
            <w:tcBorders>
              <w:top w:val="single" w:sz="4" w:space="0" w:color="auto"/>
              <w:bottom w:val="single" w:sz="4" w:space="0" w:color="auto"/>
            </w:tcBorders>
            <w:vAlign w:val="center"/>
          </w:tcPr>
          <w:p w14:paraId="36E30BEB" w14:textId="77777777" w:rsidR="001622F5" w:rsidRPr="00F23D3A" w:rsidRDefault="001622F5" w:rsidP="0043252A">
            <w:pPr>
              <w:rPr>
                <w:rFonts w:ascii="Times New Roman" w:eastAsia="Times New Roman" w:hAnsi="Times New Roman"/>
                <w:b/>
                <w:bCs/>
                <w:color w:val="000000"/>
                <w:sz w:val="24"/>
                <w:szCs w:val="24"/>
              </w:rPr>
            </w:pPr>
            <w:r w:rsidRPr="00F23D3A">
              <w:rPr>
                <w:rFonts w:ascii="Times New Roman" w:eastAsia="Times New Roman" w:hAnsi="Times New Roman"/>
                <w:b/>
                <w:bCs/>
                <w:color w:val="000000"/>
                <w:sz w:val="24"/>
                <w:szCs w:val="24"/>
              </w:rPr>
              <w:t>Ref.</w:t>
            </w:r>
          </w:p>
        </w:tc>
      </w:tr>
      <w:tr w:rsidR="001622F5" w:rsidRPr="00F23D3A" w14:paraId="3F9F855D" w14:textId="77777777" w:rsidTr="0043252A">
        <w:trPr>
          <w:trHeight w:val="206"/>
        </w:trPr>
        <w:tc>
          <w:tcPr>
            <w:tcW w:w="1056" w:type="pct"/>
            <w:tcBorders>
              <w:top w:val="single" w:sz="4" w:space="0" w:color="auto"/>
            </w:tcBorders>
            <w:vAlign w:val="center"/>
          </w:tcPr>
          <w:p w14:paraId="0820B41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Sweden</w:t>
            </w:r>
          </w:p>
        </w:tc>
        <w:tc>
          <w:tcPr>
            <w:tcW w:w="1033" w:type="pct"/>
            <w:tcBorders>
              <w:top w:val="single" w:sz="4" w:space="0" w:color="auto"/>
            </w:tcBorders>
            <w:vAlign w:val="center"/>
          </w:tcPr>
          <w:p w14:paraId="69A885E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tcBorders>
              <w:top w:val="single" w:sz="4" w:space="0" w:color="auto"/>
            </w:tcBorders>
            <w:vAlign w:val="center"/>
          </w:tcPr>
          <w:p w14:paraId="0125E2B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KET, DIC</w:t>
            </w:r>
          </w:p>
        </w:tc>
        <w:tc>
          <w:tcPr>
            <w:tcW w:w="1620" w:type="pct"/>
            <w:tcBorders>
              <w:top w:val="single" w:sz="4" w:space="0" w:color="auto"/>
            </w:tcBorders>
            <w:vAlign w:val="center"/>
          </w:tcPr>
          <w:p w14:paraId="25761F6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{"citationItems":[{"id":"ITEM-1","itemData":{"DOI":"10.1016/J.SCITOTENV.2014.03.055","ISSN":"1879-1026","PMID":"24727048","abstract":"In this work hollow fibre liquid phase microextraction combined with liquid chromatography mass spectrometry was applied for the determination of the nonsteroidal anti-inflammatory drugs (NSAIDs) ketoprofen, naproxen, diclofenac and ibuprofen as well as eight of their known human metabolites in wastewater samples. Extraction time and addition of tri-. n-octylphosphine oxide (TOPO) to the liquid membrane were evaluated resulting in a method with an optimal extraction time of 5. h and 5% (w/V) TOPO addition to the membrane liquid (di-. n-hexyl ether). With the optimized method, enrichment factors ranged between 778 and 4830. The method was applied for analysis of samples collected from Källby wastewater treatment plant in the city of Lund, Sweden. Samples were collected from the influent, water entering as well as exiting the conventional activated sludge treatment and the effluent to study the behaviour of these compounds during the treatment process. All twelve substances were found in the influent and for all four drugs, higher concentrations were detected of the metabolites than the parent compounds. Highest concentrations were detected of o-desmethylnaproxen, 2-hydroxyibuprofen and carboxyibuprofen (average influent concentrations of 45, 35 and 63. μg/L respectively). The study showed only partial removal during the primary treatment whereas both parent compounds and metabolites were efficiently removed during the activated sludge process. In the effluent all analytes were detected in concentrations below 1. μg/L thus showing that either the investigated metabolites do not belong to the NSAID transformation products formed during the activated sludge treatment or they are also quickly further transformed within the treatment. © 2014 Elsevier B.V.","author":[{"dropping-particle":"","family":"Larsson","given":"Estelle","non-dropping-particle":"","parse-names":false,"suffix":""},{"dropping-particle":"","family":"Al-Hamimi","given":"Said","non-dropping-particle":"","parse-names":false,"suffix":""},{"dropping-particle":"","family":"Jönsson","given":"Jan Åke","non-dropping-particle":"","parse-names":false,"suffix":""}],"container-title":"The Science of the total environment","id":"ITEM-1","issue":"1","issued":{"date-parts":[["2014","7","1"]]},"page":"300-308","publisher":"Sci Total Environ","title":"Behaviour of nonsteroidal anti-inflammatory drugs and eight of their metabolites during wastewater treatment studied by hollow fibre liquid phase microextraction and liquid chromatography mass spectrometry","type":"article-journal","volume":"485-486"},"uris":["http://www.mendeley.com/documents/?uuid=7928db16-7ad5-3acb-995b-3b8044d99259"]}],"mendeley":{"formattedCitation":"(Larsson et al., 2014)","plainTextFormattedCitation":"(Larsson et al., 2014)","previouslyFormattedCitation":"(Larsson et al., 2014)"},"properties":{"noteIndex":0},"schema":"https://github.com/citation-style-language/schema/raw/master/csl-citation.json"}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(Larsson et al., 2014)</w:t>
            </w:r>
            <w:r w:rsidRPr="00F23D3A">
              <w:rPr>
                <w:rFonts w:ascii="Times New Roman" w:eastAsia="Times New Roman" w:hAnsi="Times New Roman"/>
                <w:color w:val="000000"/>
                <w:sz w:val="24"/>
                <w:szCs w:val="24"/>
              </w:rPr>
              <w:fldChar w:fldCharType="end"/>
            </w:r>
          </w:p>
        </w:tc>
      </w:tr>
      <w:tr w:rsidR="001622F5" w:rsidRPr="00F23D3A" w14:paraId="38F835C1" w14:textId="77777777" w:rsidTr="0043252A">
        <w:trPr>
          <w:trHeight w:val="200"/>
        </w:trPr>
        <w:tc>
          <w:tcPr>
            <w:tcW w:w="1056" w:type="pct"/>
            <w:vAlign w:val="center"/>
          </w:tcPr>
          <w:p w14:paraId="65CC290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Canada</w:t>
            </w:r>
          </w:p>
        </w:tc>
        <w:tc>
          <w:tcPr>
            <w:tcW w:w="1033" w:type="pct"/>
            <w:vAlign w:val="center"/>
          </w:tcPr>
          <w:p w14:paraId="644F94D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5C0EC484"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w:t>
            </w:r>
          </w:p>
        </w:tc>
        <w:tc>
          <w:tcPr>
            <w:tcW w:w="1620" w:type="pct"/>
            <w:vAlign w:val="center"/>
          </w:tcPr>
          <w:p w14:paraId="3D95DAD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{"citationItems":[{"id":"ITEM-1","itemData":{"DOI":"10.1016/J.SCITOTENV.2013.12.008","ISSN":"1879-1026","PMID":"24370698","abstract":"The presence of pharmaceuticals and personal care products (PPCPs) in the aquatic environment as a result of wastewater effluent discharge is a concern in many countries. In order to expand our understanding on the occurrence and fate of PPCPs during wastewater treatment processes, 62 antibiotic, analgesic/anti-inflammatory, and antifungal compounds were analyzed in 72 liquid and 24 biosolid samples from six wastewater treatment plants (WWTPs) during the summer and winter seasons of 2010-2012. This is the first scientific study to compare five different wastewater treatment processes: facultative and aerated lagoons, chemically-enhanced primary treatment, secondary activated sludge, and advanced biological nutrient removal. PPCPs were detected in all WWTP influents at median concentrations of 1.5 to 92,000. ng/L, with no seasonal differences. PPCPs were also found in all final effluents at median levels ranging from 3.6 to 4200. ng/L with higher values during winter (p. &lt;. 0.05). Removal efficiencies ranged between -450% and 120%, depending on the compound, WWTP type, and season. Mass balance showed that the fate of analgesic/anti-inflammatory compounds was predominantly biodegradation during biological treatment, while antibiotics and antifungal compounds were more likely to sorb to sludge. However, some PPCPs remained soluble and were detected in effluent samples. Overall, this study highlighted the occurrence and behavior of a large set of PPCPs and determined how their removal is affected by environmental/operational factors in different WWTPs. © 2013.","author":[{"dropping-particle":"","family":"Guerra","given":"P.","non-dropping-particle":"","parse-names":false,"suffix":""},{"dropping-particle":"","family":"Kim","given":"M.","non-dropping-particle":"","parse-names":false,"suffix":""},{"dropping-particle":"","family":"Shah","given":"A.","non-dropping-particle":"","parse-names":false,"suffix":""},{"dropping-particle":"","family":"Alaee","given":"M.","non-dropping-particle":"","parse-names":false,"suffix":""},{"dropping-particle":"","family":"Smyth","given":"S. A.","non-dropping-particle":"","parse-names":false,"suffix":""}],"container-title":"The Science of the total environment","id":"ITEM-1","issued":{"date-parts":[["2014","3","1"]]},"page":"235-243","publisher":"Sci Total Environ","title":"Occurrence and fate of antibiotic, analgesic/anti-inflammatory, and antifungal compounds in five wastewater treatment processes","type":"article-journal","volume":"473-474"},"uris":["http://www.mendeley.com/documents/?uuid=49d80b94-402d-3ba4-a1ee-5dbbe7f9616e"]}],"mendeley":{"formattedCitation":"(Guerra et al., 2014)","plainTextFormattedCitation":"(Guerra et al., 2014)","previouslyFormattedCitation":"(Guerra et al., 2014)"},"properties":{"noteIndex":0},"schema":"https://github.com/citation-style-language/schema/raw/master/csl-citation.json"}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(Guerra et al., 2014)</w:t>
            </w:r>
            <w:r w:rsidRPr="00F23D3A">
              <w:rPr>
                <w:rFonts w:ascii="Times New Roman" w:eastAsia="Times New Roman" w:hAnsi="Times New Roman"/>
                <w:color w:val="000000"/>
                <w:sz w:val="24"/>
                <w:szCs w:val="24"/>
              </w:rPr>
              <w:fldChar w:fldCharType="end"/>
            </w:r>
          </w:p>
        </w:tc>
      </w:tr>
      <w:tr w:rsidR="001622F5" w:rsidRPr="00F23D3A" w14:paraId="7A0F236A" w14:textId="77777777" w:rsidTr="0043252A">
        <w:trPr>
          <w:trHeight w:val="415"/>
        </w:trPr>
        <w:tc>
          <w:tcPr>
            <w:tcW w:w="1056" w:type="pct"/>
            <w:vAlign w:val="center"/>
          </w:tcPr>
          <w:p w14:paraId="2532FEF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South Africa</w:t>
            </w:r>
          </w:p>
        </w:tc>
        <w:tc>
          <w:tcPr>
            <w:tcW w:w="1033" w:type="pct"/>
            <w:vAlign w:val="center"/>
          </w:tcPr>
          <w:p w14:paraId="306AFE2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13A4E42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DIC</w:t>
            </w:r>
          </w:p>
        </w:tc>
        <w:tc>
          <w:tcPr>
            <w:tcW w:w="1620" w:type="pct"/>
            <w:vAlign w:val="center"/>
          </w:tcPr>
          <w:p w14:paraId="37D178A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{"citationItems":[{"id":"ITEM-1","itemData":{"DOI":"10.4314/wsa.v43i2.10","ISSN":"0378-4738","abstract":"The occurrence and removal efficiency for naproxen, ibuprofen and diclofenac in two of eThekwini Municipality’s wastewater treatment plants (WWTPs), Kingsburgh and Umbilo, were investigated. This paper describes a simple method that can be used routinely for the simultaneous determination of such compounds in the influent and effluent of the WWTPs. Target compounds were extracted from wastewater and pre-concentrated using the optimized Oasis MAX solid-phase extraction (SPE) method. During SPE, the pH of wastewater samples was adjusted to 2.5; then 100 mL of each sample was loaded onto a pre-conditioned cartridge. The SPE cartridge was rinsed with methanol:water (10:90%, v:v) prior to sequential elution of retained analytes with 2 mL methanol, followed by 2 mL methanol and acetic acid (90:10, v:v) and 2 mL of 2% (v:v) formic acid diluted using a mixture of methanol and acetic acid (40:60, v:v). The eluted analytes from the SPE cartridge were quantified using high performance liquid chromatography (HPLC) equipped with photo diode array detection. The analytical method was validated by spiking deionized water with 5 and 50 μg·L-1 of target compounds, for which the recovery range of 76 to 98% was achieved with good precision. The instrument quantification limits obtained were 0.1 μg·L-1, for naproxen and 0.4 μg·L-1 for both ibuprofen and diclofenac. The detected concentrations for naproxen, ibuprofen and diclofenac in the influent of both WWTPs were in the ranges of 15–20 μg·L-1, 55–69 μg·L-1 and 6.4–16 μg·L-1, respectively. In effluent, the detected concentrations for naproxen, ibuprofen and diclofenac were in the ranges of 0.6–1.1, 2.1–4.2 and 1.4–2.0 μg·L-1, respectively. Overall, the employed SPE-HPLC method led to rapid pre-concentration of target compounds prior to their trace quantification in wastewater samples.Keywords: solid-phase extraction, wastewater treatment plants, ibuprofen, naproxen, diclofenac","author":[{"dropping-particle":"","family":"Madikizela","given":"Lawrence Mzukisi","non-dropping-particle":"","parse-names":false,"suffix":""},{"dropping-particle":"","family":"Chimuka","given":"Luke","non-dropping-particle":"","parse-names":false,"suffix":""}],"container-title":"Water SA","id":"ITEM-1","issue":"2","issued":{"date-parts":[["2017","4","21"]]},"page":"264-274","publisher":"South African Water Research Commission","title":"Simultaneous determination of naproxen, ibuprofen and diclofenac in wastewater using solid-phase extraction with high performance liquid chromatography","type":"article-journal","volume":"43"},"uris":["http://www.mendeley.com/documents/?uuid=e873d1d3-1204-349f-b2eb-93e7e0c041ae"]}],"mendeley":{"formattedCitation":"(Madikizela and Chimuka, 2017)","plainTextFormattedCitation":"(Madikizela and Chimuka, 2017)","previouslyFormattedCitation":"(Madikizela and Chimuka, 2017)"},"properties":{"noteIndex":0},"schema":"https://github.com/citation-style-language/schema/raw/master/csl-citation.json"}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(Madikizela and Chimuka, 2017)</w:t>
            </w:r>
            <w:r w:rsidRPr="00F23D3A">
              <w:rPr>
                <w:rFonts w:ascii="Times New Roman" w:eastAsia="Times New Roman" w:hAnsi="Times New Roman"/>
                <w:color w:val="000000"/>
                <w:sz w:val="24"/>
                <w:szCs w:val="24"/>
              </w:rPr>
              <w:fldChar w:fldCharType="end"/>
            </w:r>
          </w:p>
        </w:tc>
      </w:tr>
      <w:tr w:rsidR="001622F5" w:rsidRPr="00F23D3A" w14:paraId="02137328" w14:textId="77777777" w:rsidTr="0043252A">
        <w:trPr>
          <w:trHeight w:val="200"/>
        </w:trPr>
        <w:tc>
          <w:tcPr>
            <w:tcW w:w="1056" w:type="pct"/>
            <w:vAlign w:val="center"/>
          </w:tcPr>
          <w:p w14:paraId="31CE9DE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Spain</w:t>
            </w:r>
          </w:p>
        </w:tc>
        <w:tc>
          <w:tcPr>
            <w:tcW w:w="1033" w:type="pct"/>
            <w:vAlign w:val="center"/>
          </w:tcPr>
          <w:p w14:paraId="5E8CA59F"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54BAA485"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KET, DIC</w:t>
            </w:r>
          </w:p>
        </w:tc>
        <w:tc>
          <w:tcPr>
            <w:tcW w:w="1620" w:type="pct"/>
            <w:vAlign w:val="center"/>
          </w:tcPr>
          <w:p w14:paraId="1746616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https://doi.org/10.1016/j.envint.2016.12.016","author":[{"dropping-particle":"","family":"Gracia-Lor","given":"Emma","non-dropping-particle":"","parse-names":false,"suffix":""},{"dropping-particle":"","family":"Castiglioni","given":"Sara","non-dropping-particle":"","parse-names":false,"suffix":""},{"dropping-particle":"","family":"Bade","given":"Richard","non-dropping-particle":"","parse-names":false,"suffix":""},{"dropping-particle":"","family":"Been","given":"Frederic","non-dropping-particle":"","parse-names":false,"suffix":""},{"dropping-particle":"","family":"Castrignanò","given":"Erika","non-dropping-particle":"","parse-names":false,"suffix":""},{"dropping-particle":"","family":"González-Mariño","given":"Iria","non-dropping-particle":"","parse-names":false,"suffix":""},{"dropping-particle":"","family":"Hapeshi","given":"Evroula","non-dropping-particle":"","parse-names":false,"suffix":""},{"dropping-particle":"","family":"Kasprzyk-Hordern","given":"Barbara","non-dropping-particle":"","parse-names":false,"suffix":""},{"dropping-particle":"","family":"Kinyua","given":"Juliet","non-dropping-particle":"","parse-names":false,"suffix":""},{"dropping-particle":"","family":"Yin Lai","given":"Foon","non-dropping-particle":"","parse-names":false,"suffix":""},{"dropping-particle":"","family":"Letzel","given":"Thomas","non-dropping-particle":"","parse-names":false,"suffix":""},{"dropping-particle":"","family":"Lopardo","given":"Luigi","non-dropping-particle":"","parse-names":false,"suffix":""},{"dropping-particle":"","family":"Meyer","given":"Markus R","non-dropping-particle":"","parse-names":false,"suffix":""},{"dropping-particle":"","family":"Ramin","given":"Pedram","non-dropping-particle":"","parse-names":false,"suffix":""},{"dropping-particle":"","family":"Rousis","given":"Nikolaos I","non-dropping-particle":"","parse-names":false,"suffix":""},{"dropping-particle":"","family":"Rydevik","given":"Axel","non-dropping-particle":"","parse-names":false,"suffix":""},{"dropping-particle":"","family":"Ryu","given":"Yeonsuk","non-dropping-particle":"","parse-names":false,"suffix":""},{"dropping-particle":"","family":"Santos","given":"Miguel M","non-dropping-particle":"","parse-names":false,"suffix":""},{"dropping-particle":"","family":"Senta","given":"Ivan","non-dropping-particle":"","parse-names":false,"suffix":""},{"dropping-particle":"","family":"Veloutsou","given":"Sofia","non-dropping-particle":"","parse-names":false,"suffix":""},{"dropping-particle":"","family":"Yang","given":"Zhugen","non-dropping-particle":"","parse-names":false,"suffix":""},{"dropping-particle":"","family":"Zuccato","given":"Ettore","non-dropping-particle":"","parse-names":false,"suffix":""},{"dropping-particle":"","family":"Bijlsma","given":"Lubertus","non-dropping-particle":"","parse-names":false,"suffix":""}],"container-title":"Environment International","id":"ITEM-1","issued":{"date-parts":[["2017"]]},"page":"131-150","title":"Measuring biomarkers in wastewater as a new source of epidemiological information: current state and future perspectives AUTHORS: 4","type":"article-journal","volume":"99"},"uris":["http://www.mendeley.com/documents/?uuid=e3edcee6-406b-3152-abaf-4ccfc2181194"]}],"mendeley":{"formattedCitation":"(Gracia-Lor et al., 2017)","plainTextFormattedCitation":"(Gracia-Lor et al., 2017)","previouslyFormattedCitation":"(Gracia-Lor et al., 2017)"},"properties":{"noteIndex":0},"schema":"https://github.com/citation-style-language/schema/raw/master/csl-citation.json"}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(Gracia-Lor et al., 2017)</w:t>
            </w:r>
            <w:r w:rsidRPr="00F23D3A">
              <w:rPr>
                <w:rFonts w:ascii="Times New Roman" w:eastAsia="Times New Roman" w:hAnsi="Times New Roman"/>
                <w:color w:val="000000"/>
                <w:sz w:val="24"/>
                <w:szCs w:val="24"/>
              </w:rPr>
              <w:fldChar w:fldCharType="end"/>
            </w:r>
          </w:p>
        </w:tc>
      </w:tr>
      <w:tr w:rsidR="001622F5" w:rsidRPr="00F23D3A" w14:paraId="43780F66" w14:textId="77777777" w:rsidTr="0043252A">
        <w:trPr>
          <w:trHeight w:val="200"/>
        </w:trPr>
        <w:tc>
          <w:tcPr>
            <w:tcW w:w="1056" w:type="pct"/>
            <w:vAlign w:val="center"/>
          </w:tcPr>
          <w:p w14:paraId="3F3564A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Spain</w:t>
            </w:r>
          </w:p>
        </w:tc>
        <w:tc>
          <w:tcPr>
            <w:tcW w:w="1033" w:type="pct"/>
            <w:vAlign w:val="center"/>
          </w:tcPr>
          <w:p w14:paraId="7E62369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Surface water</w:t>
            </w:r>
          </w:p>
        </w:tc>
        <w:tc>
          <w:tcPr>
            <w:tcW w:w="1291" w:type="pct"/>
            <w:vAlign w:val="center"/>
          </w:tcPr>
          <w:p w14:paraId="18D49E31"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KET, DIC</w:t>
            </w:r>
          </w:p>
        </w:tc>
        <w:tc>
          <w:tcPr>
            <w:tcW w:w="1620" w:type="pct"/>
            <w:vAlign w:val="center"/>
          </w:tcPr>
          <w:p w14:paraId="2FC569C9"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{"citationItems":[{"id":"ITEM-1","itemData":{"DOI":"10.3390/W13050720","ISSN":"2073-4441","abstract":"Pharmaceuticals, such as non-steroidal anti-inflammatory drugs (NSAIDs) and their metabolites, have become a major concern due to their increasing consumption and their widespread occurrence in the environment. In this paper, we investigate the occurrence of NSAIDs and their metabolites in an urban aquifer, which may serve as a potential resource for drinking water, and propose a methodology to assess the removal of these substances in the river–groundwater interface. Then, risk quotients (RQs) are computed, in order to determine the risk posed by the single NSAIDs and their mixture to human health. To this end, six NSAIDs and two metabolites were collected from an urban aquifer located in the metropolitan area of Barcelona (NE, Spain), in which the major pollution source is a contaminated river. All of the target NSAIDs were detected in groundwater samples, where the concentrations in the aquifer were higher than those found in the river water (except for ibuprofen). Diclofenac, ketoprofen, propyphenazone and salicylic acid were detected at high mean concentrations (ranging from 91.8 ng/L to 225.2 ng/L) in the aquifer. In contrast, phenazone and mefenamic acid were found at low mean concentrations (i.e., lower than 25 ng/L) in the aquifer. According to the proposed approach, the mixing of river water recharge into the aquifer seemed to some extent to promote the removal of the NSAIDs under the sub-oxic to denitrifying conditions found in the groundwater. The NSAIDs that presented higher mean removal values were 4OH diclofenac (0.8), ibuprofen (0.78), salicylic acid (0.35) and diclofenac (0.28), which are likely to be naturally attenuated under the aforementioned redox conditions. Concerning human health risk assessment, the NSAIDs detected in groundwater and their mixture do not pose any risk for all age intervals considered, as the associated RQs were all less than 0.05. Nevertheless, this value must be taken with caution, as many pharmaceuticals might occur simultaneously in the groundwater.","author":[{"dropping-particle":"","family":"Jurado","given":"Anna","non-dropping-particle":"","parse-names":false,"suffix":""},{"dropping-particle":"","family":"Vázquez-Suñé","given":"Enric","non-dropping-particle":"","parse-names":false,"suffix":""},{"dropping-particle":"","family":"Pujades","given":"Estanislao","non-dropping-particle":"","parse-names":false,"suffix":""}],"container-title":"Water 2021, Vol. 13, Page 720","id":"ITEM-1","issue":"5","issued":{"date-parts":[["2021","3","6"]]},"page":"720","publisher":"Multidisciplinary Digital Publishing Institute","title":"Urban Groundwater Contamination by Non-Steroidal Anti-Inflammatory Drugs","type":"article-journal","volume":"13"},"uris":["http://www.mendeley.com/documents/?uuid=39cddff9-d776-382b-8935-f38e8959e191"]}],"mendeley":{"formattedCitation":"(Jurado et al., 2021)","plainTextFormattedCitation":"(Jurado et al., 2021)","previouslyFormattedCitation":"(Jurado et al., 2021)"},"properties":{"noteIndex":0},"schema":"https://github.com/citation-style-language/schema/raw/master/csl-citation.json"}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(Jurado et al., 2021)</w:t>
            </w:r>
            <w:r w:rsidRPr="00F23D3A">
              <w:rPr>
                <w:rFonts w:ascii="Times New Roman" w:eastAsia="Times New Roman" w:hAnsi="Times New Roman"/>
                <w:color w:val="000000"/>
                <w:sz w:val="24"/>
                <w:szCs w:val="24"/>
              </w:rPr>
              <w:fldChar w:fldCharType="end"/>
            </w:r>
            <w:r w:rsidRPr="00F23D3A">
              <w:rPr>
                <w:rFonts w:ascii="Times New Roman" w:eastAsia="Times New Roman" w:hAnsi="Times New Roman"/>
                <w:color w:val="000000"/>
                <w:sz w:val="24"/>
                <w:szCs w:val="24"/>
              </w:rPr>
              <w:t xml:space="preserve"> *Groundwater</w:t>
            </w:r>
          </w:p>
        </w:tc>
      </w:tr>
      <w:tr w:rsidR="001622F5" w:rsidRPr="00F23D3A" w14:paraId="1BEF98AE" w14:textId="77777777" w:rsidTr="0043252A">
        <w:trPr>
          <w:trHeight w:val="105"/>
        </w:trPr>
        <w:tc>
          <w:tcPr>
            <w:tcW w:w="1056" w:type="pct"/>
            <w:vAlign w:val="center"/>
          </w:tcPr>
          <w:p w14:paraId="6FF38B8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Spain</w:t>
            </w:r>
          </w:p>
        </w:tc>
        <w:tc>
          <w:tcPr>
            <w:tcW w:w="1033" w:type="pct"/>
            <w:vAlign w:val="center"/>
          </w:tcPr>
          <w:p w14:paraId="6D3D95B5"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Treated water</w:t>
            </w:r>
          </w:p>
        </w:tc>
        <w:tc>
          <w:tcPr>
            <w:tcW w:w="1291" w:type="pct"/>
            <w:vAlign w:val="center"/>
          </w:tcPr>
          <w:p w14:paraId="6EA539C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DIC</w:t>
            </w:r>
          </w:p>
        </w:tc>
        <w:tc>
          <w:tcPr>
            <w:tcW w:w="1620" w:type="pct"/>
            <w:vAlign w:val="center"/>
          </w:tcPr>
          <w:p w14:paraId="53A5D52A"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(Carmona et al., 2014)</w:t>
            </w:r>
          </w:p>
        </w:tc>
      </w:tr>
      <w:tr w:rsidR="001622F5" w:rsidRPr="00F23D3A" w14:paraId="41A446F2" w14:textId="77777777" w:rsidTr="0043252A">
        <w:trPr>
          <w:trHeight w:val="200"/>
        </w:trPr>
        <w:tc>
          <w:tcPr>
            <w:tcW w:w="1056" w:type="pct"/>
            <w:vAlign w:val="center"/>
          </w:tcPr>
          <w:p w14:paraId="51C11EAE"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India</w:t>
            </w:r>
          </w:p>
        </w:tc>
        <w:tc>
          <w:tcPr>
            <w:tcW w:w="1033" w:type="pct"/>
            <w:vAlign w:val="center"/>
          </w:tcPr>
          <w:p w14:paraId="78C2E062"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6727145F"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DIA</w:t>
            </w:r>
          </w:p>
        </w:tc>
        <w:tc>
          <w:tcPr>
            <w:tcW w:w="1620" w:type="pct"/>
            <w:vAlign w:val="center"/>
          </w:tcPr>
          <w:p w14:paraId="61457B9E"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 xml:space="preserve">ADDIN CSL_CITATION {"citationItems":[{"id":"ITEM-1","itemData":{"DOI":"10.1016/J.CHEMOSPHERE.2016.10.026","ISSN":"1879-1298","PMID":"27750166","abstract":"Environmental contamination by pharmaceuticals and personal care products (PPCPs) is barely studied in India despite being one of the largest global producers and consumers of pharmaceuticals. In this study, 29 pharmaceuticals and six metabolites were determined in sewage treatment plants (STPs) in Udupi (STPU: population served </w:instrText>
            </w:r>
            <w:r w:rsidRPr="00F23D3A">
              <w:rPr>
                <w:rFonts w:ascii="Cambria Math" w:eastAsia="Times New Roman" w:hAnsi="Cambria Math" w:cs="Cambria Math"/>
                <w:color w:val="000000"/>
                <w:sz w:val="24"/>
                <w:szCs w:val="24"/>
              </w:rPr>
              <w:instrText>∼</w:instrText>
            </w:r>
            <w:r w:rsidRPr="00F23D3A">
              <w:rPr>
                <w:rFonts w:ascii="Times New Roman" w:eastAsia="Times New Roman" w:hAnsi="Times New Roman"/>
                <w:color w:val="000000"/>
                <w:sz w:val="24"/>
                <w:szCs w:val="24"/>
              </w:rPr>
              <w:instrText xml:space="preserve">150,000) and Mangalore (STPM: population served </w:instrText>
            </w:r>
            <w:r w:rsidRPr="00F23D3A">
              <w:rPr>
                <w:rFonts w:ascii="Cambria Math" w:eastAsia="Times New Roman" w:hAnsi="Cambria Math" w:cs="Cambria Math"/>
                <w:color w:val="000000"/>
                <w:sz w:val="24"/>
                <w:szCs w:val="24"/>
              </w:rPr>
              <w:instrText>∼</w:instrText>
            </w:r>
            <w:r w:rsidRPr="00F23D3A">
              <w:rPr>
                <w:rFonts w:ascii="Times New Roman" w:eastAsia="Times New Roman" w:hAnsi="Times New Roman"/>
                <w:color w:val="000000"/>
                <w:sz w:val="24"/>
                <w:szCs w:val="24"/>
              </w:rPr>
              <w:instrText>450,000); the measured mean concentrations ranged from 12 to 61,000 ng/L and 5.0 to 31,000 ng/L, respectively. Atorvastatin (the most prescribed antihypercholesterolemic in India), mefenamic acid, and paraxanthine were found for the first time in wastewater in India at the mean concentrations of 395 ng/L, 1100 ng/L, and 13,000 ng/L, respectively. Select pharmaceutical metabolites (norverapamil and clopidogrel carboxylic acid) were found at concentrations of upto 7 times higher than their parent drugs in wastewater influent and effluent. This is the first study in India to report mass loading and emission of PPCPs and their select metabolites in STPs. The total mass load of all PPCPs analyzed in this study at STPU (4.97 g/d/1000 inhabitants) was 3.6 times higher than calculated for STPM. Select recalcitrant PPCPs (carbamazepine, diazepam, and clopidogrel) were found to have negative or no removal from STPU while additional treatment with upflow anaerobic sludge blanket reactor at STPM removed (up to 95%) these PPCPs from STPM. Overall, 5.1 kg of caffeine, 4.1 kg of atenolol, 2.7 kg of ibuprofen, and 1.9 kg of triclocarban were discharged annually from STPU. The PPCP contamination profile in the Indian STP was compared with a similar study in the USA.","author":[{"dropping-particle":"","family":"Subedi","given":"Bikram","non-dropping-particle":"","parse-names":false,"suffix":""},{"dropping-particle":"","family":"Balakrishna","given":"Keshava","non-dropping-particle":"","parse-names":false,"suffix":""},{"dropping-particle":"","family":"Joshua","given":"Derrick Ian","non-dropping-particle":"","parse-names":false,"suffix":""},{"dropping-particle":"","family":"Kannan","given":"Kurunthachalam","non-dropping-particle":"","parse-names":false,"suffix":""}],"container-title":"Chemosphere","id":"ITEM-1","issued":{"date-parts":[["2017","1","1"]]},"page":"429-437","publisher":"Chemosphere","title":"Mass loading and removal of pharmaceuticals and personal care products including psychoactives, antihypertensives, and antibiotics in two sewage treatment plants in southern India","type":"article-journal","volume":"167"},"uris":["http://www.mendeley.com/documents/?uuid=5cf5412e-66b8-3448-a09c-489ebf59f3cf"]}],"mendeley":{"formattedCitation":"(Subedi et al., 2017)","plainTextFormattedCitation":"(Subedi et al., 2017)","previouslyFormattedCitation":"(Subedi et al., 2017)"},"properties":{"noteIndex":0},"schema":"https://github.com/citation-style-language/schema/raw/master/csl-citation.json"}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(Subedi et al., 2017)</w:t>
            </w:r>
            <w:r w:rsidRPr="00F23D3A">
              <w:rPr>
                <w:rFonts w:ascii="Times New Roman" w:eastAsia="Times New Roman" w:hAnsi="Times New Roman"/>
                <w:color w:val="000000"/>
                <w:sz w:val="24"/>
                <w:szCs w:val="24"/>
              </w:rPr>
              <w:fldChar w:fldCharType="end"/>
            </w:r>
          </w:p>
        </w:tc>
      </w:tr>
      <w:tr w:rsidR="001622F5" w:rsidRPr="00F23D3A" w14:paraId="25C13F9E" w14:textId="77777777" w:rsidTr="0043252A">
        <w:trPr>
          <w:trHeight w:val="200"/>
        </w:trPr>
        <w:tc>
          <w:tcPr>
            <w:tcW w:w="1056" w:type="pct"/>
            <w:vAlign w:val="center"/>
          </w:tcPr>
          <w:p w14:paraId="564296FE"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Beijing, China</w:t>
            </w:r>
          </w:p>
        </w:tc>
        <w:tc>
          <w:tcPr>
            <w:tcW w:w="1033" w:type="pct"/>
            <w:vAlign w:val="center"/>
          </w:tcPr>
          <w:p w14:paraId="53A7696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5882D002"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DIA</w:t>
            </w:r>
          </w:p>
        </w:tc>
        <w:tc>
          <w:tcPr>
            <w:tcW w:w="1620" w:type="pct"/>
            <w:vAlign w:val="center"/>
          </w:tcPr>
          <w:p w14:paraId="2D72BCC9"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{"citationItems":[{"id":"ITEM-1","itemData":{"DOI":"10.1007/S11356-017-8922-8","ISSN":"1614-7499","PMID":"28508332","abstract":"Occurrence of diazepam and its metabolites, nordiazepam, temazepam, and oxazepam in the water environment in Beijing was investigated. Samples were collected from four rivers flowing through the city and from all the thirteen sewage treatment plants in the urban area. Average influent concentrations of diazepman, temazepam, and oxazepam in 2013 summer ranged from 0.9 to 7.1, 1.5 to 3.4, and 2.9 to 12.4 ng L−1, respectively, whereas nordiazepam concentrations were below quantification limit on the majority of sampling dates. No significant seasonal variation in influent concentrations was observed. Removal during treatment was low for diazepman (&lt;50%), temazepam (&lt;20%), and oxazepam (&lt;20%), consistent with previous findings reported in the literature. Wastewater-based epidemiology approach was applied to back-calculate population size-normalized diazepam consumption (using temazepam as biomarker) in Beijing, which was found to be at least 3.8 times more of the national average. Diazepam, temazepam, and oxazepam were widely detected in surface waters, with concentrations greater than concentrations in sewage influents at many sampling points, strongly indicating direct discharge of wastewater of high diazepam concentrations into the surface waters in the city.","author":[{"dropping-particle":"","family":"Wang","given":"Congcong","non-dropping-particle":"","parse-names":false,"suffix":""},{"dropping-particle":"","family":"Hou","given":"Linlin","non-dropping-particle":"","parse-names":false,"suffix":""},{"dropping-particle":"","family":"Li","given":"Jing","non-dropping-particle":"","parse-names":false,"suffix":""},{"dropping-particle":"","family":"Xu","given":"Zeqiong","non-dropping-particle":"","parse-names":false,"suffix":""},{"dropping-particle":"","family":"Gao","given":"Tingting","non-dropping-particle":"","parse-names":false,"suffix":""},{"dropping-particle":"","family":"Yang","given":"Jun","non-dropping-particle":"","parse-names":false,"suffix":""},{"dropping-particle":"","family":"Zhang","given":"Huafang","non-dropping-particle":"","parse-names":false,"suffix":""},{"dropping-particle":"","family":"Li","given":"Xiqing","non-dropping-particle":"","parse-names":false,"suffix":""},{"dropping-particle":"","family":"Du","given":"Peng","non-dropping-particle":"","parse-names":false,"suffix":""}],"container-title":"Environmental science and pollution research international","id":"ITEM-1","issue":"18","issued":{"date-parts":[["2017","6","1"]]},"page":"15379-15389","publisher":"Environ Sci Pollut Res Int","title":"Occurrence of diazepam and its metabolites in wastewater and surface waters in Beijing","type":"article-journal","volume":"24"},"uris":["http://www.mendeley.com/documents/?uuid=a69c42d2-85cd-3a9b-9846-e9d45761067b"]}],"mendeley":{"formattedCitation":"(Wang et al., 2017)","plainTextFormattedCitation":"(Wang et al., 2017)","previouslyFormattedCitation":"(Wang et al., 2017)"},"properties":{"noteIndex":0},"schema":"https://github.com/citation-style-language/schema/raw/master/csl-citation.json"}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(Wang et al., 2017)</w:t>
            </w:r>
            <w:r w:rsidRPr="00F23D3A">
              <w:rPr>
                <w:rFonts w:ascii="Times New Roman" w:eastAsia="Times New Roman" w:hAnsi="Times New Roman"/>
                <w:color w:val="000000"/>
                <w:sz w:val="24"/>
                <w:szCs w:val="24"/>
              </w:rPr>
              <w:fldChar w:fldCharType="end"/>
            </w:r>
          </w:p>
        </w:tc>
      </w:tr>
      <w:tr w:rsidR="001622F5" w:rsidRPr="00F23D3A" w14:paraId="20DE7186" w14:textId="77777777" w:rsidTr="0043252A">
        <w:trPr>
          <w:trHeight w:val="415"/>
        </w:trPr>
        <w:tc>
          <w:tcPr>
            <w:tcW w:w="1056" w:type="pct"/>
            <w:vAlign w:val="center"/>
          </w:tcPr>
          <w:p w14:paraId="01B246A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United Kingdom</w:t>
            </w:r>
          </w:p>
        </w:tc>
        <w:tc>
          <w:tcPr>
            <w:tcW w:w="1033" w:type="pct"/>
            <w:vAlign w:val="center"/>
          </w:tcPr>
          <w:p w14:paraId="2F4D154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3B3585B5"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DIA</w:t>
            </w:r>
          </w:p>
        </w:tc>
        <w:tc>
          <w:tcPr>
            <w:tcW w:w="1620" w:type="pct"/>
            <w:vAlign w:val="center"/>
          </w:tcPr>
          <w:p w14:paraId="0F573D7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{"citationItems":[{"id":"ITEM-1","itemData":{"DOI":"10.1016/J.SCITOTENV.2013.03.043","ISSN":"1879-1026","PMID":"23563258","abstract":"This paper presents, for the first time, spatial and temporal occurrence of a comprehensive set of &gt;. 60 pharmaceuticals, illicit drugs and their metabolites in wastewater (7 wastewater treatment plants utilising different treatment technologies) and a major river in the UK over a 12. month period. This paper also undertakes a comparison of the efficiency of processes utilised during wastewater treatment and it discusses under-researched aspects of pharmaceuticals and illicit drugs in the environment including sorption to solids and stereoselectivity in the fate of chiral drugs during wastewater treatment and in receiving waters.The removal efficiency of analytes strongly depended on the type of wastewater treatment technology employed and denoted &lt;50% or &gt;60% in the case of tricking filter and activated sludge respectively. It should be stressed, however, that the removal rate was highly variable for different groups of compounds. A clear increase in the cumulative concentration of all monitored compounds was observed in receiving waters; thus highlighting the impact of WWTP discharge on water quality and the importance of the removal efficiency of WWTPs. No seasonal variation was observed with regard to the total load of targeted compounds in the river each month. The concentration of each analyte was largely dependent on rainfall and the dilution factor of WWTP discharge. These results indicate that although the drugs of abuse are not present at very high concentrations in river water (typically low ngL-1 levels), their occurrence and possible synergic action is of concern, and the study of multiple groups of drugs of abuse is of significant importance. © 2013 Elsevier B.V.","author":[{"dropping-particle":"","family":"Baker","given":"David R.","non-dropping-particle":"","parse-names":false,"suffix":""},{"dropping-particle":"","family":"Kasprzyk-Hordern","given":"Barbara","non-dropping-particle":"","parse-names":false,"suffix":""}],"container-title":"The Science of the total environment","id":"ITEM-1","issued":{"date-parts":[["2013","6","1"]]},"page":"442-456","publisher":"Sci Total Environ","title":"Spatial and temporal occurrence of pharmaceuticals and illicit drugs in the aqueous environment and during wastewater treatment: new developments","type":"article-journal","volume":"454-455"},"uris":["http://www.mendeley.com/documents/?uuid=8ffdc6a4-c507-31e4-a602-f1faf400917e"]}],"mendeley":{"formattedCitation":"(Baker and Kasprzyk-Hordern, 2013)","plainTextFormattedCitation":"(Baker and Kasprzyk-Hordern, 2013)","previouslyFormattedCitation":"(Baker and Kasprzyk-Hordern, 2013)"},"properties":{"noteIndex":0},"schema":"https://github.com/citation-style-language/schema/raw/master/csl-citation.json"}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(Baker and Kasprzyk-Hordern, 2013)</w:t>
            </w:r>
            <w:r w:rsidRPr="00F23D3A">
              <w:rPr>
                <w:rFonts w:ascii="Times New Roman" w:eastAsia="Times New Roman" w:hAnsi="Times New Roman"/>
                <w:color w:val="000000"/>
                <w:sz w:val="24"/>
                <w:szCs w:val="24"/>
              </w:rPr>
              <w:fldChar w:fldCharType="end"/>
            </w:r>
          </w:p>
        </w:tc>
      </w:tr>
      <w:tr w:rsidR="001622F5" w:rsidRPr="00F23D3A" w14:paraId="55BD760F" w14:textId="77777777" w:rsidTr="0043252A">
        <w:trPr>
          <w:trHeight w:val="200"/>
        </w:trPr>
        <w:tc>
          <w:tcPr>
            <w:tcW w:w="1056" w:type="pct"/>
            <w:vAlign w:val="center"/>
          </w:tcPr>
          <w:p w14:paraId="10B5F35B"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Thailand</w:t>
            </w:r>
          </w:p>
        </w:tc>
        <w:tc>
          <w:tcPr>
            <w:tcW w:w="1033" w:type="pct"/>
            <w:vAlign w:val="center"/>
          </w:tcPr>
          <w:p w14:paraId="2F459D16"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Surface water</w:t>
            </w:r>
          </w:p>
        </w:tc>
        <w:tc>
          <w:tcPr>
            <w:tcW w:w="1291" w:type="pct"/>
            <w:vAlign w:val="center"/>
          </w:tcPr>
          <w:p w14:paraId="1CA8233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DIC</w:t>
            </w:r>
          </w:p>
        </w:tc>
        <w:tc>
          <w:tcPr>
            <w:tcW w:w="1620" w:type="pct"/>
            <w:vAlign w:val="center"/>
          </w:tcPr>
          <w:p w14:paraId="795BE71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(Tewari et al., 2013)</w:t>
            </w:r>
          </w:p>
        </w:tc>
      </w:tr>
      <w:tr w:rsidR="001622F5" w:rsidRPr="00F23D3A" w14:paraId="3C73BB89" w14:textId="77777777" w:rsidTr="0043252A">
        <w:trPr>
          <w:trHeight w:val="14"/>
        </w:trPr>
        <w:tc>
          <w:tcPr>
            <w:tcW w:w="1056" w:type="pct"/>
            <w:vAlign w:val="center"/>
          </w:tcPr>
          <w:p w14:paraId="6066FE7B"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Italy</w:t>
            </w:r>
          </w:p>
        </w:tc>
        <w:tc>
          <w:tcPr>
            <w:tcW w:w="1033" w:type="pct"/>
            <w:vAlign w:val="center"/>
          </w:tcPr>
          <w:p w14:paraId="6A3D972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Surface water</w:t>
            </w:r>
          </w:p>
        </w:tc>
        <w:tc>
          <w:tcPr>
            <w:tcW w:w="1291" w:type="pct"/>
            <w:vAlign w:val="center"/>
          </w:tcPr>
          <w:p w14:paraId="57DC0D7A"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KET, DIC</w:t>
            </w:r>
          </w:p>
        </w:tc>
        <w:tc>
          <w:tcPr>
            <w:tcW w:w="1620" w:type="pct"/>
            <w:vAlign w:val="center"/>
          </w:tcPr>
          <w:p w14:paraId="2FFDF38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(Marchese et al., 2003)</w:t>
            </w:r>
          </w:p>
        </w:tc>
      </w:tr>
      <w:tr w:rsidR="001622F5" w:rsidRPr="00F23D3A" w14:paraId="6753B172" w14:textId="77777777" w:rsidTr="0043252A">
        <w:trPr>
          <w:trHeight w:val="14"/>
        </w:trPr>
        <w:tc>
          <w:tcPr>
            <w:tcW w:w="1056" w:type="pct"/>
            <w:vAlign w:val="center"/>
          </w:tcPr>
          <w:p w14:paraId="3EEE538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Italy</w:t>
            </w:r>
          </w:p>
        </w:tc>
        <w:tc>
          <w:tcPr>
            <w:tcW w:w="1033" w:type="pct"/>
            <w:vAlign w:val="center"/>
          </w:tcPr>
          <w:p w14:paraId="58075D4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Surface water</w:t>
            </w:r>
          </w:p>
        </w:tc>
        <w:tc>
          <w:tcPr>
            <w:tcW w:w="1291" w:type="pct"/>
            <w:vAlign w:val="center"/>
          </w:tcPr>
          <w:p w14:paraId="2D93251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DIA</w:t>
            </w:r>
          </w:p>
        </w:tc>
        <w:tc>
          <w:tcPr>
            <w:tcW w:w="1620" w:type="pct"/>
            <w:vAlign w:val="center"/>
          </w:tcPr>
          <w:p w14:paraId="0102E68F"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(Zuccato et al., 2000)</w:t>
            </w:r>
          </w:p>
        </w:tc>
      </w:tr>
      <w:tr w:rsidR="001622F5" w:rsidRPr="00F23D3A" w14:paraId="7F246669" w14:textId="77777777" w:rsidTr="0043252A">
        <w:trPr>
          <w:trHeight w:val="206"/>
        </w:trPr>
        <w:tc>
          <w:tcPr>
            <w:tcW w:w="1056" w:type="pct"/>
            <w:vAlign w:val="center"/>
          </w:tcPr>
          <w:p w14:paraId="10CB56C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Serbia</w:t>
            </w:r>
          </w:p>
        </w:tc>
        <w:tc>
          <w:tcPr>
            <w:tcW w:w="1033" w:type="pct"/>
            <w:vAlign w:val="center"/>
          </w:tcPr>
          <w:p w14:paraId="63CCF8F7"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Treated water</w:t>
            </w:r>
          </w:p>
        </w:tc>
        <w:tc>
          <w:tcPr>
            <w:tcW w:w="1291" w:type="pct"/>
            <w:vAlign w:val="center"/>
          </w:tcPr>
          <w:p w14:paraId="4978126B"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KET</w:t>
            </w:r>
          </w:p>
        </w:tc>
        <w:tc>
          <w:tcPr>
            <w:tcW w:w="1620" w:type="pct"/>
          </w:tcPr>
          <w:p w14:paraId="1E6761E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{"citationItems":[{"id":"ITEM-1","itemData":{"DOI":"10.1016/J.SCITOTENV.2013.08.079","ISSN":"1879-1026","PMID":"24055661","abstract":"The aim of the work was to study the occurrence of pharmaceuticals in waste, surface, underground, and drinking water samples collected in Serbia. A multi-residue method for the analysis of 81 pharmaceutical drugs from different therapeutic classes in the various types of water was applied. Twenty-five composite water samples were prepared using solid-phase extraction and the presence of 81 pharmaceutical compounds in the extracts was analyzed by ultra-high performance liquid chromatography coupled to mass spectrometry with hybrid triple quadrupole-linear ion trap (UPLC-QqLIT-MS/MS). Forty seven compounds of 81 drugs were found in four different types of analyzed water. The highest concentrations of ibuprofen of 20.1μgL-1, 10,11-epoxycarbamazepine of 16.2μgL-1, 2-hydroxycarbamazepine of 15.9μgL-1 and acetaminophen of 15.7μgL-1 were found in municipal waste water sample. Results revealed the presence of salicylic acid in 41.67% of water samples, carbamazepine in 36.11%, propranolol and irbesartan in 30.56%. The obtained results were discussed in relation to the relevant data available in literature. This is the first attempt to assess the occurrence of these 81 pharmaceutical residues in water samples in Serbia. © 2013 Elsevier B.V.","author":[{"dropping-particle":"","family":"Petrović","given":"Mira","non-dropping-particle":"","parse-names":false,"suffix":""},{"dropping-particle":"","family":"Škrbić","given":"Biljana","non-dropping-particle":"","parse-names":false,"suffix":""},{"dropping-particle":"","family":"Živančev","given":"Jelena","non-dropping-particle":"","parse-names":false,"suffix":""},{"dropping-particle":"","family":"Ferrando-Climent","given":"Laura","non-dropping-particle":"","parse-names":false,"suffix":""},{"dropping-particle":"","family":"Barcelo","given":"Damia","non-dropping-particle":"","parse-names":false,"suffix":""}],"container-title":"The Science of the total environment","id":"ITEM-1","issued":{"date-parts":[["2014","1","15"]]},"page":"415-428","publisher":"Sci Total Environ","title":"Determination of 81 pharmaceutical drugs by high performance liquid chromatography coupled to mass spectrometry with hybrid triple quadrupole-linear ion trap in different types of water in Serbia","type":"article-journal","volume":"468-469"},"uris":["http://www.mendeley.com/documents/?uuid=57922872-61e5-3284-8c1a-7109be656fbf"]}],"mendeley":{"formattedCitation":"(Petrović et al., 2014)","plainTextFormattedCitation":"(Petrović et al., 2014)","previouslyFormattedCitation":"(Petrović et al., 2014)"},"properties":{"noteIndex":0},"schema":"https://github.com/citation-style-language/schema/raw/master/csl-citation.json"}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(Petrović et al., 2014)</w:t>
            </w:r>
            <w:r w:rsidRPr="00F23D3A">
              <w:rPr>
                <w:rFonts w:ascii="Times New Roman" w:eastAsia="Times New Roman" w:hAnsi="Times New Roman"/>
                <w:color w:val="000000"/>
                <w:sz w:val="24"/>
                <w:szCs w:val="24"/>
              </w:rPr>
              <w:fldChar w:fldCharType="end"/>
            </w:r>
          </w:p>
        </w:tc>
      </w:tr>
      <w:tr w:rsidR="001622F5" w:rsidRPr="00F23D3A" w14:paraId="766ED6FB" w14:textId="77777777" w:rsidTr="0043252A">
        <w:trPr>
          <w:trHeight w:val="200"/>
        </w:trPr>
        <w:tc>
          <w:tcPr>
            <w:tcW w:w="1056" w:type="pct"/>
            <w:vAlign w:val="center"/>
          </w:tcPr>
          <w:p w14:paraId="3279B585"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France</w:t>
            </w:r>
          </w:p>
        </w:tc>
        <w:tc>
          <w:tcPr>
            <w:tcW w:w="1033" w:type="pct"/>
            <w:vAlign w:val="center"/>
          </w:tcPr>
          <w:p w14:paraId="02356E09"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Treated water</w:t>
            </w:r>
          </w:p>
        </w:tc>
        <w:tc>
          <w:tcPr>
            <w:tcW w:w="1291" w:type="pct"/>
            <w:vAlign w:val="center"/>
          </w:tcPr>
          <w:p w14:paraId="56CB0405"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DIC</w:t>
            </w:r>
          </w:p>
        </w:tc>
        <w:tc>
          <w:tcPr>
            <w:tcW w:w="1620" w:type="pct"/>
          </w:tcPr>
          <w:p w14:paraId="456608D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{"citationItems":[{"id":"ITEM-1","itemData":{"DOI":"10.1016/J.CHROMA.2007.10.105","ISSN":"0021-9673","PMID":"18054788","abstract":"Pharmaceutical compounds are nowadays an emerging group of organic pollutants in aquatic systems. Several methodologies have already been published to measure these pollutants in the environment, showing the difficulties to take into account the various compounds belonging to numerous therapeutical and chemical groups. In order to develop environmental monitoring, there is a need for a less costly and time-consuming multi-component procedure. The work presented here deals with the development of an extraction procedure which enables the measurement of a wide spectrum of pharmaceuticals at trace levels (ng l-1) with quite simple equipment (i.e. GC-MS with single quadruple as analyzer). The analyzed compounds comprise anti-inflammatories, antidepressants and hypolipidic drugs. The reliability and sensitivity have been tested on 18 different compounds (7 basic compounds and 11 acidic drugs) extracted simultaneously and analyzed by GC-MS. The optimized procedure has been successfully applied to the analysis of wastewaters, surface waters and drinking waters from the following areas: first the Cortiou rocky inlet, in the Mediterranean Sea (South coast of France), highly impacted by the Marseilles wastewater treatment plant effluent and secondly the Hérault watershed by studying drinking water, surface water and wastewater. In both cases, the level of pharmaceuticals was totally unknown. Results obtained have demonstrated the suitability of the method for multi-residue analysis of different types of water matrices. © 2007 Elsevier B.V. All rights reserved.","author":[{"dropping-particle":"","family":"Togola","given":"Anne","non-dropping-particle":"","parse-names":false,"suffix":""},{"dropping-particle":"","family":"Budzinski","given":"Hélène","non-dropping-particle":"","parse-names":false,"suffix":""}],"container-title":"Journal of Chromatography A","id":"ITEM-1","issue":"1","issued":{"date-parts":[["2008","1","4"]]},"page":"150-158","publisher":"Elsevier","title":"Multi-residue analysis of pharmaceutical compounds in aqueous samples","type":"article-journal","volume":"1177"},"uris":["http://www.mendeley.com/documents/?uuid=2a4e5d8b-4a2e-3454-b093-86f21959aa05"]}],"mendeley":{"formattedCitation":"(Togola and Budzinski, 2008)","plainTextFormattedCitation":"(Togola and Budzinski, 2008)","previouslyFormattedCitation":"(Togola and Budzinski, 2008)"},"properties":{"noteIndex":0},"schema":"https://github.com/citation-style-language/schema/raw/master/csl-citation.json"}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(Togola and Budzinski, 2008)</w:t>
            </w:r>
            <w:r w:rsidRPr="00F23D3A">
              <w:rPr>
                <w:rFonts w:ascii="Times New Roman" w:eastAsia="Times New Roman" w:hAnsi="Times New Roman"/>
                <w:color w:val="000000"/>
                <w:sz w:val="24"/>
                <w:szCs w:val="24"/>
              </w:rPr>
              <w:fldChar w:fldCharType="end"/>
            </w:r>
          </w:p>
        </w:tc>
      </w:tr>
      <w:tr w:rsidR="001622F5" w:rsidRPr="00F23D3A" w14:paraId="63A2CFDC" w14:textId="77777777" w:rsidTr="0043252A">
        <w:trPr>
          <w:trHeight w:val="206"/>
        </w:trPr>
        <w:tc>
          <w:tcPr>
            <w:tcW w:w="1056" w:type="pct"/>
            <w:vAlign w:val="center"/>
          </w:tcPr>
          <w:p w14:paraId="153A4D14"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Algeria</w:t>
            </w:r>
          </w:p>
        </w:tc>
        <w:tc>
          <w:tcPr>
            <w:tcW w:w="1033" w:type="pct"/>
            <w:vAlign w:val="center"/>
          </w:tcPr>
          <w:p w14:paraId="78ABAF56"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Treated water</w:t>
            </w:r>
          </w:p>
        </w:tc>
        <w:tc>
          <w:tcPr>
            <w:tcW w:w="1291" w:type="pct"/>
            <w:vAlign w:val="center"/>
          </w:tcPr>
          <w:p w14:paraId="6D72637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KET</w:t>
            </w:r>
          </w:p>
        </w:tc>
        <w:tc>
          <w:tcPr>
            <w:tcW w:w="1620" w:type="pct"/>
          </w:tcPr>
          <w:p w14:paraId="585F85F4"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{"citationItems":[{"id":"ITEM-1","itemData":{"DOI":"10.1016/j.crci.2016.05.005","ISSN":"16310748","abstract":"In the last few decades, the presence of pharmaceutical products in the environment is known under the name of emerging contaminants. These substances can enter the aquatic environment via different sources, as parent compounds, metabolites or a combination of both. In this work, we have investigated the presence of four pharmaceutical active compounds belonging to the group of Non-Steroidal Anti-Inflammatory Drugs (NSAIDs), in wastewater, surface water and drinking water of Algiers, which have a direct impact on the Mediterranean Sea. The target analytes (ibuprofen (IBU), naproxen (NAP), ketoprofen (KET), and diclofenac (DIC)), were extracted from the water samples by using Solid Phase Extraction Oasis® HLB Cartridges; the identification and quantification were realized by Gas Chromatography–Mass Spectrometry (GC–MS). To obtain the best resolution and precision, N-methyl-N-(trimethylsilyl) trifluoroacetamide (MSTFA) was used as the derivatization reagent and ibuprofen-d3 was used as the internal standard. The obtained recoveries were good, ranging from 82% for ketoprofen to 120% for naproxen with relatively small standard deviations (≤20%). The target compounds were detected in wastewater, influent/effluent with concentrations ranging from 155.5 to 6554 ng/L, implicating removal efficiencies of wastewater treatment plants (WWTPs), between 30.3 and 95%. The surface water was also contaminated with pharmaceuticals from 72.9 ng/L for diclofenac to 228.3 ng/L for naproxen. In addition, the occurrence of ibuprofen and ketoprofen in drinking water, at concentrations of 142.1 and 110.9 ng/L, respectively, attracts concerns about possible impacts on human health.","author":[{"dropping-particle":"","family":"Kermia","given":"Amine Elmouatezz Bellah","non-dropping-particle":"","parse-names":false,"suffix":""},{"dropping-particle":"","family":"Fouial-Djebbar","given":"Djamila","non-dropping-particle":"","parse-names":false,"suffix":""},{"dropping-particle":"","family":"Trari","given":"Mohamed","non-dropping-particle":"","parse-names":false,"suffix":""}],"container-title":"Comptes Rendus Chimie","id":"ITEM-1","issue":"8","issued":{"date-parts":[["2016","8","1"]]},"page":"963-970","publisher":"Elsevier Masson SAS","title":"Occurrence, fate and removal efficiencies of pharmaceuticals in wastewater treatment plants (WWTPs) discharging in the coastal environment of Algiers","type":"article-journal","volume":"19"},"uris":["http://www.mendeley.com/documents/?uuid=9ea4f399-8bd9-3455-ac6d-239952db317c"]}],"mendeley":{"formattedCitation":"(Kermia et al., 2016)","plainTextFormattedCitation":"(Kermia et al., 2016)","previouslyFormattedCitation":"(Kermia et al., 2016)"},"properties":{"noteIndex":0},"schema":"https://github.com/citation-style-language/schema/raw/master/csl-citation.json"}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(Kermia et al., 2016)</w:t>
            </w:r>
            <w:r w:rsidRPr="00F23D3A">
              <w:rPr>
                <w:rFonts w:ascii="Times New Roman" w:eastAsia="Times New Roman" w:hAnsi="Times New Roman"/>
                <w:color w:val="000000"/>
                <w:sz w:val="24"/>
                <w:szCs w:val="24"/>
              </w:rPr>
              <w:fldChar w:fldCharType="end"/>
            </w:r>
          </w:p>
        </w:tc>
      </w:tr>
      <w:tr w:rsidR="001622F5" w:rsidRPr="00F23D3A" w14:paraId="20395A52" w14:textId="77777777" w:rsidTr="0043252A">
        <w:trPr>
          <w:trHeight w:val="200"/>
        </w:trPr>
        <w:tc>
          <w:tcPr>
            <w:tcW w:w="1056" w:type="pct"/>
            <w:vAlign w:val="center"/>
          </w:tcPr>
          <w:p w14:paraId="780D0C2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Johor, Malaysia</w:t>
            </w:r>
          </w:p>
        </w:tc>
        <w:tc>
          <w:tcPr>
            <w:tcW w:w="1033" w:type="pct"/>
            <w:vAlign w:val="center"/>
          </w:tcPr>
          <w:p w14:paraId="279911B6"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w:t>
            </w:r>
          </w:p>
        </w:tc>
        <w:tc>
          <w:tcPr>
            <w:tcW w:w="1291" w:type="pct"/>
            <w:vAlign w:val="center"/>
          </w:tcPr>
          <w:p w14:paraId="3649343B"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w:t>
            </w:r>
          </w:p>
        </w:tc>
        <w:tc>
          <w:tcPr>
            <w:tcW w:w="1620" w:type="pct"/>
            <w:vAlign w:val="center"/>
          </w:tcPr>
          <w:p w14:paraId="31658F5B"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{"citationItems":[{"id":"ITEM-1","itemData":{"abstract":"The introduction of pharmaceutical residues into aquatic environment has threatened the livelihood of aquatic organisms worldwide. The entrance of these residues into the environment originates from sewage effluents discharged from domestic wastewater treatment plants. Up to date, their presence in the sewage effluent is not monitored in Malaysia. Therefore, this study aims to identify the presence of pharmaceutical residues in the effluent domestic sewage treatment plants employed in Johor Bahru, Malaysia. Briefly, ten pharmaceutical compounds, including acetaminophen, sulfathiazole, sulfamethazine, sulfamethoxazole, clarithromycin, trimethoprim, lincomycin, carbamazepine, naproxen and ibuprofen, were selected based on their worldwide consumption. Sewage samples from five different types of sewage treatment system were collected. The samples were filtered prior to solid-phase extraction. Finally, the extracted samples were analysed with LC-MS/MS. The analyses showed that only sulfathiazole was not present in all effluent samples. Acetaminophen recorded the highest concentration of 9299 ng/L in an Imhoff Tank. Meanwhile, the lowest concentration of pharmaceutical residue detected was sulfamethazine, i.e. 0.843 ng/L, in a sequencing batch reactor. Overall, six out from ten pharmaceutical residues were found in all sewage samples denoting the inefficiency of current biological treatment systems in removing trace pharmaceutical compounds from sewage.","author":[{"dropping-particle":"","family":"Yacob","given":"Halim","non-dropping-particle":"","parse-names":false,"suffix":""},{"dropping-particle":"","family":"Ling","given":"Yong Ee","non-dropping-particle":"","parse-names":false,"suffix":""},{"dropping-particle":"","family":"Hee-Young","given":"Kim","non-dropping-particle":"","parse-names":false,"suffix":""},{"dropping-particle":"","family":"Oh","given":"Jeong-Eun","non-dropping-particle":"","parse-names":false,"suffix":""},{"dropping-particle":"","family":"Noor","given":"Zainura Zainon","non-dropping-particle":"","parse-names":false,"suffix":""},{"dropping-particle":"","family":"Fadhil","given":"Mohd","non-dropping-particle":"","parse-names":false,"suffix":""},{"dropping-particle":"","family":"Din","given":"Mohd","non-dropping-particle":"","parse-names":false,"suffix":""},{"dropping-particle":"","family":"Mat Taib","given":"Shazwin","non-dropping-particle":"","parse-names":false,"suffix":""},{"dropping-particle":"","family":"Lee","given":"&amp;","non-dropping-particle":"","parse-names":false,"suffix":""},{"dropping-particle":"","family":"Hun","given":"Ting","non-dropping-particle":"","parse-names":false,"suffix":""}],"container-title":"Malaysian Journal of Civil Engineering","id":"ITEM-1","issue":"2","issued":{"date-parts":[["2017"]]},"page":"165-173","title":"IDENTIFICATION OF PHARMACEUTICAL RESIDUES IN TREATED SEWAGE EFFLUENTS IN JOHOR, MALAYSIA","type":"article-journal","volume":"29"},"uris":["http://www.mendeley.com/documents/?uuid=49fcd00f-9534-361d-a48d-7e10c72db13f"]}],"mendeley":{"formattedCitation":"(Yacob et al., 2017)","plainTextFormattedCitation":"(Yacob et al., 2017)","previouslyFormattedCitation":"(Yacob et al., 2017)"},"properties":{"noteIndex":0},"schema":"https://github.com/citation-style-language/schema/raw/master/csl-citation.json"}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(Yacob et al., 2017)</w:t>
            </w:r>
            <w:r w:rsidRPr="00F23D3A">
              <w:rPr>
                <w:rFonts w:ascii="Times New Roman" w:eastAsia="Times New Roman" w:hAnsi="Times New Roman"/>
                <w:color w:val="000000"/>
                <w:sz w:val="24"/>
                <w:szCs w:val="24"/>
              </w:rPr>
              <w:fldChar w:fldCharType="end"/>
            </w:r>
          </w:p>
        </w:tc>
      </w:tr>
      <w:tr w:rsidR="001622F5" w:rsidRPr="00F23D3A" w14:paraId="61FE2FE1" w14:textId="77777777" w:rsidTr="0043252A">
        <w:trPr>
          <w:trHeight w:val="200"/>
        </w:trPr>
        <w:tc>
          <w:tcPr>
            <w:tcW w:w="1056" w:type="pct"/>
            <w:vAlign w:val="center"/>
          </w:tcPr>
          <w:p w14:paraId="534AC179"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Selangor, Malaysia</w:t>
            </w:r>
          </w:p>
        </w:tc>
        <w:tc>
          <w:tcPr>
            <w:tcW w:w="1033" w:type="pct"/>
            <w:vAlign w:val="center"/>
          </w:tcPr>
          <w:p w14:paraId="75ED15F2"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Surface water</w:t>
            </w:r>
          </w:p>
        </w:tc>
        <w:tc>
          <w:tcPr>
            <w:tcW w:w="1291" w:type="pct"/>
            <w:vAlign w:val="center"/>
          </w:tcPr>
          <w:p w14:paraId="236FE0B3"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KET</w:t>
            </w:r>
          </w:p>
        </w:tc>
        <w:tc>
          <w:tcPr>
            <w:tcW w:w="1620" w:type="pct"/>
          </w:tcPr>
          <w:p w14:paraId="160BE934"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{"citationItems":[{"id":"ITEM-1","itemData":{"DOI":"10.17576/jsm-2018-4705-08","abstract":"Sewage treatment plants (STPs) particularly in Malaysia are not designed to eliminate pharmaceuticals which belong to the category of emerging contaminants. Considering the levels of these contaminants could be incredibly low which are in the range of parts per billion and trillion in the aquatic environment, very sensitive analytical techniques and extraction methodologies have to be developed. In this present work, an analytical method based on solid phase extraction (SPE) followed by liquid chromatography-time-of-flight mass spectrometry (LC-TOF-MS) in positive electrospray ionisation mode was successfully developed to determine the presence of ten selected pharmaceuticals in aquatic environment. The compounds under study include acetaminophen, theophylline, caffeine, metoprolol, sulfamethoxazole, carbamazepine, prednisolone, ketoprofen, norgestrel and simvastatin. The SPE procedure was successfully achieved with a single extraction step using a low sample volume of 100 mL and minimum volume of eluting solvent. Percentage recovery for all pharmaceuticals in river water samples were in the range of 54-99% while for STP effluent samples were in the range of 57-96%. The total run time inclusive of equilibration in LC-TOF-MS analysis was 25 min with sample injection volume of 20 µL. The application of the optimised SPE procedure together with the instrumental analysis resulted in limit of quantification (LOQ) of 0.031-0.882 µg/L and 0.030-0.926 µg/L in STP and river water samples, respectively.","author":[{"dropping-particle":"","family":"Abu Tahrim","given":"Nurfaizah","non-dropping-particle":"","parse-names":false,"suffix":""},{"dropping-particle":"","family":"Abdullah","given":"Pauzi","non-dropping-particle":"","parse-names":false,"suffix":""},{"dropping-particle":"","family":"Farina Abdul Aziz Abstrak","given":"Yang","non-dropping-particle":"","parse-names":false,"suffix":""}],"container-title":"Sains Malaysiana","id":"ITEM-1","issue":"5","issued":{"date-parts":[["2018"]]},"page":"931-940","title":"Pengoptimuman Kaedah dan Analisis Farmaseutik dalam Air Kumbahan dan Air Sungai (Optimisation of Analytical Method and Analysis of Pharmaceuticals in Sewage and River Water)","type":"article-journal","volume":"47"},"uris":["http://www.mendeley.com/documents/?uuid=e9e4430b-ba71-31ea-86b0-e320db397329"]}],"mendeley":{"formattedCitation":"(Abu Tahrim et al., 2018)","plainTextFormattedCitation":"(Abu Tahrim et al., 2018)","previouslyFormattedCitation":"(Abu Tahrim et al., 2018)"},"properties":{"noteIndex":0},"schema":"https://github.com/citation-style-language/schema/raw/master/csl-citation.json"}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(Abu Tahrim et al., 2018)</w:t>
            </w:r>
            <w:r w:rsidRPr="00F23D3A">
              <w:rPr>
                <w:rFonts w:ascii="Times New Roman" w:eastAsia="Times New Roman" w:hAnsi="Times New Roman"/>
                <w:color w:val="000000"/>
                <w:sz w:val="24"/>
                <w:szCs w:val="24"/>
              </w:rPr>
              <w:fldChar w:fldCharType="end"/>
            </w:r>
          </w:p>
        </w:tc>
      </w:tr>
      <w:tr w:rsidR="001622F5" w:rsidRPr="00F23D3A" w14:paraId="5A356067" w14:textId="77777777" w:rsidTr="0043252A">
        <w:trPr>
          <w:trHeight w:val="206"/>
        </w:trPr>
        <w:tc>
          <w:tcPr>
            <w:tcW w:w="1056" w:type="pct"/>
            <w:vAlign w:val="center"/>
          </w:tcPr>
          <w:p w14:paraId="6F7FA93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Putrajaya, Malaysia</w:t>
            </w:r>
          </w:p>
        </w:tc>
        <w:tc>
          <w:tcPr>
            <w:tcW w:w="1033" w:type="pct"/>
            <w:vAlign w:val="center"/>
          </w:tcPr>
          <w:p w14:paraId="0F8BCB6C"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Treated water</w:t>
            </w:r>
          </w:p>
        </w:tc>
        <w:tc>
          <w:tcPr>
            <w:tcW w:w="1291" w:type="pct"/>
            <w:vAlign w:val="center"/>
          </w:tcPr>
          <w:p w14:paraId="0107AE4D"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DIC</w:t>
            </w:r>
          </w:p>
        </w:tc>
        <w:tc>
          <w:tcPr>
            <w:tcW w:w="1620" w:type="pct"/>
          </w:tcPr>
          <w:p w14:paraId="1EB67F11"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fldChar w:fldCharType="begin" w:fldLock="1"/>
            </w:r>
            <w:r w:rsidRPr="00F23D3A">
              <w:rPr>
                <w:rFonts w:ascii="Times New Roman" w:eastAsia="Times New Roman" w:hAnsi="Times New Roman"/>
                <w:color w:val="000000"/>
                <w:sz w:val="24"/>
                <w:szCs w:val="24"/>
              </w:rPr>
              <w:instrText>ADDIN CSL_CITATION {"citationItems":[{"id":"ITEM-1","itemData":{"DOI":"10.1038/s41598-020-74061-5","ISBN":"0123456789","ISSN":"2045-2322","PMID":"33082440","abstract":"Contamination by endocrine disrupting compounds (EDCs) concerns the security and sustainability of a drinking water supply system and human exposure via water consumption. This study analyzed the selected EDCs in source (river water, n = 10) and supply (tap water, n = 155) points and the associated risks. A total of 14 multiclass EDCs was detected in the drinking water supply system in Malaysia. Triclosan (an antimicrobial agent) and 4-octylphenol (a plasticizer) were only detected in the tap water (up to 9.74 and 0.44&amp;nbsp;ng/L, respectively). Meanwhile, chloramphenicol and 4-nonylphenol in the system were below the method detection limits. Bisphenol A was observed to be highest in tap water at 66.40&amp;nbsp;ng/L (detection: 100%; median concentration: 0.28&amp;nbsp;ng/L). There was a significant difference in triclosan contamination between the river and tap water (p &amp;lt; 0.001). Overall, the life groups were estimated at no possible risk of EDCs (risk quotient &amp;lt; 1). Nonetheless, the results concern the transport and impact of EDCs on the drinking water supply system regarding treatment sustainability and water security. Further exploration of smart monitoring and management using Big Data and Internet of Things and the need to invent rapid, robust, sensitive, and efficient sensors is warranted.","author":[{"dropping-particle":"","family":"Wee","given":"Sze Yee","non-dropping-particle":"","parse-names":false,"suffix":""},{"dropping-particle":"","family":"Aris","given":"Ahmad Zaharin","non-dropping-particle":"","parse-names":false,"suffix":""},{"dropping-particle":"","family":"Yusoff","given":"Fatimah Md","non-dropping-particle":"","parse-names":false,"suffix":""},{"dropping-particle":"","family":"Praveena","given":"Sarva Mangala","non-dropping-particle":"","parse-names":false,"suffix":""}],"container-title":"Scientific Reports 2020 10:1","id":"ITEM-1","issue":"1","issued":{"date-parts":[["2020","10","20"]]},"page":"1-12","publisher":"Nature Publishing Group","title":"Occurrence of multiclass endocrine disrupting compounds in a drinking water supply system and associated risks","type":"article-journal","volume":"10"},"uris":["http://www.mendeley.com/documents/?uuid=c76897a9-3c4b-3f42-8b77-6a373974601e"]}],"mendeley":{"formattedCitation":"(Wee et al., 2020)","plainTextFormattedCitation":"(Wee et al., 2020)","previouslyFormattedCitation":"(Wee et al., 2020)"},"properties":{"noteIndex":0},"schema":"https://github.com/citation-style-language/schema/raw/master/csl-citation.json"}</w:instrText>
            </w:r>
            <w:r w:rsidRPr="00F23D3A">
              <w:rPr>
                <w:rFonts w:ascii="Times New Roman" w:eastAsia="Times New Roman" w:hAnsi="Times New Roman"/>
                <w:color w:val="000000"/>
                <w:sz w:val="24"/>
                <w:szCs w:val="24"/>
              </w:rPr>
              <w:fldChar w:fldCharType="separate"/>
            </w:r>
            <w:r w:rsidRPr="00F23D3A">
              <w:rPr>
                <w:rFonts w:ascii="Times New Roman" w:eastAsia="Times New Roman" w:hAnsi="Times New Roman"/>
                <w:color w:val="000000"/>
                <w:sz w:val="24"/>
                <w:szCs w:val="24"/>
              </w:rPr>
              <w:t>(Wee et al., 2020)</w:t>
            </w:r>
            <w:r w:rsidRPr="00F23D3A">
              <w:rPr>
                <w:rFonts w:ascii="Times New Roman" w:eastAsia="Times New Roman" w:hAnsi="Times New Roman"/>
                <w:color w:val="000000"/>
                <w:sz w:val="24"/>
                <w:szCs w:val="24"/>
              </w:rPr>
              <w:fldChar w:fldCharType="end"/>
            </w:r>
          </w:p>
        </w:tc>
      </w:tr>
      <w:tr w:rsidR="001622F5" w:rsidRPr="00F23D3A" w14:paraId="458C1175" w14:textId="77777777" w:rsidTr="0043252A">
        <w:trPr>
          <w:trHeight w:val="511"/>
        </w:trPr>
        <w:tc>
          <w:tcPr>
            <w:tcW w:w="1056" w:type="pct"/>
            <w:vAlign w:val="center"/>
          </w:tcPr>
          <w:p w14:paraId="4CC041B8"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Selangor, Malaysia</w:t>
            </w:r>
          </w:p>
        </w:tc>
        <w:tc>
          <w:tcPr>
            <w:tcW w:w="1033" w:type="pct"/>
            <w:vAlign w:val="center"/>
          </w:tcPr>
          <w:p w14:paraId="06A62064"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STP, Surface water, Treated water</w:t>
            </w:r>
          </w:p>
        </w:tc>
        <w:tc>
          <w:tcPr>
            <w:tcW w:w="1291" w:type="pct"/>
            <w:vAlign w:val="center"/>
          </w:tcPr>
          <w:p w14:paraId="2E354910"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IBU, NAP, KET, DIA, DIC</w:t>
            </w:r>
          </w:p>
        </w:tc>
        <w:tc>
          <w:tcPr>
            <w:tcW w:w="1620" w:type="pct"/>
            <w:vAlign w:val="center"/>
          </w:tcPr>
          <w:p w14:paraId="4D40AF26" w14:textId="77777777" w:rsidR="001622F5" w:rsidRPr="00F23D3A" w:rsidRDefault="001622F5" w:rsidP="0043252A">
            <w:pPr>
              <w:rPr>
                <w:rFonts w:ascii="Times New Roman" w:eastAsia="Times New Roman" w:hAnsi="Times New Roman"/>
                <w:color w:val="000000"/>
                <w:sz w:val="24"/>
                <w:szCs w:val="24"/>
              </w:rPr>
            </w:pPr>
            <w:r w:rsidRPr="00F23D3A">
              <w:rPr>
                <w:rFonts w:ascii="Times New Roman" w:eastAsia="Times New Roman" w:hAnsi="Times New Roman"/>
                <w:color w:val="000000"/>
                <w:sz w:val="24"/>
                <w:szCs w:val="24"/>
              </w:rPr>
              <w:t>Current Study</w:t>
            </w:r>
          </w:p>
        </w:tc>
      </w:tr>
    </w:tbl>
    <w:p w14:paraId="5F33E762" w14:textId="3C4BA386" w:rsidR="001622F5" w:rsidRDefault="001622F5" w:rsidP="001622F5">
      <w:pPr>
        <w:spacing w:after="0" w:line="240" w:lineRule="auto"/>
        <w:jc w:val="center"/>
        <w:rPr>
          <w:rFonts w:ascii="Times New Roman" w:hAnsi="Times New Roman"/>
          <w:b/>
          <w:sz w:val="24"/>
          <w:szCs w:val="24"/>
        </w:rPr>
      </w:pPr>
      <w:r w:rsidRPr="001F239D">
        <w:rPr>
          <w:rFonts w:ascii="Times New Roman" w:hAnsi="Times New Roman"/>
          <w:b/>
          <w:sz w:val="24"/>
          <w:szCs w:val="24"/>
        </w:rPr>
        <w:t>cycle (STP, surface water, and treated water).</w:t>
      </w:r>
    </w:p>
    <w:p w14:paraId="7DFB194D" w14:textId="77777777" w:rsidR="001622F5" w:rsidRDefault="001622F5" w:rsidP="00D01C39">
      <w:pPr>
        <w:spacing w:after="0" w:line="480" w:lineRule="auto"/>
        <w:jc w:val="center"/>
        <w:rPr>
          <w:rFonts w:ascii="Times New Roman" w:hAnsi="Times New Roman"/>
          <w:b/>
          <w:sz w:val="24"/>
          <w:szCs w:val="24"/>
        </w:rPr>
        <w:sectPr w:rsidR="001622F5" w:rsidSect="0002016D">
          <w:pgSz w:w="11906" w:h="16838"/>
          <w:pgMar w:top="1440" w:right="1440" w:bottom="1440" w:left="1440" w:header="708" w:footer="708" w:gutter="0"/>
          <w:lnNumType w:countBy="1" w:restart="continuous"/>
          <w:cols w:space="708"/>
          <w:docGrid w:linePitch="360"/>
        </w:sectPr>
      </w:pPr>
    </w:p>
    <w:tbl>
      <w:tblPr>
        <w:tblStyle w:val="TableGrid"/>
        <w:tblpPr w:leftFromText="180" w:rightFromText="180" w:vertAnchor="text" w:horzAnchor="margin" w:tblpY="37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1094"/>
        <w:gridCol w:w="1422"/>
        <w:gridCol w:w="1421"/>
        <w:gridCol w:w="655"/>
        <w:gridCol w:w="1466"/>
        <w:gridCol w:w="892"/>
        <w:gridCol w:w="1314"/>
      </w:tblGrid>
      <w:tr w:rsidR="001622F5" w14:paraId="061AB88F" w14:textId="77777777" w:rsidTr="001622F5">
        <w:tc>
          <w:tcPr>
            <w:tcW w:w="422" w:type="pct"/>
            <w:tcBorders>
              <w:top w:val="single" w:sz="4" w:space="0" w:color="auto"/>
              <w:bottom w:val="single" w:sz="4" w:space="0" w:color="auto"/>
            </w:tcBorders>
          </w:tcPr>
          <w:p w14:paraId="60E801BB" w14:textId="77777777" w:rsidR="001622F5" w:rsidRPr="009B3AEF" w:rsidRDefault="001622F5" w:rsidP="001622F5">
            <w:pPr>
              <w:contextualSpacing/>
              <w:jc w:val="center"/>
              <w:rPr>
                <w:rFonts w:ascii="Times New Roman" w:hAnsi="Times New Roman"/>
                <w:b/>
              </w:rPr>
            </w:pPr>
            <w:r>
              <w:rPr>
                <w:rFonts w:ascii="Times New Roman" w:hAnsi="Times New Roman"/>
                <w:b/>
              </w:rPr>
              <w:lastRenderedPageBreak/>
              <w:t xml:space="preserve">Model No. </w:t>
            </w:r>
          </w:p>
        </w:tc>
        <w:tc>
          <w:tcPr>
            <w:tcW w:w="1394" w:type="pct"/>
            <w:gridSpan w:val="2"/>
            <w:tcBorders>
              <w:top w:val="single" w:sz="4" w:space="0" w:color="auto"/>
              <w:bottom w:val="single" w:sz="4" w:space="0" w:color="auto"/>
            </w:tcBorders>
          </w:tcPr>
          <w:p w14:paraId="3F974CBC"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ANOVA Model</w:t>
            </w:r>
          </w:p>
        </w:tc>
        <w:tc>
          <w:tcPr>
            <w:tcW w:w="787" w:type="pct"/>
            <w:tcBorders>
              <w:top w:val="single" w:sz="4" w:space="0" w:color="auto"/>
              <w:bottom w:val="single" w:sz="4" w:space="0" w:color="auto"/>
            </w:tcBorders>
          </w:tcPr>
          <w:p w14:paraId="2A678E0F"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Sum of Squares</w:t>
            </w:r>
          </w:p>
        </w:tc>
        <w:tc>
          <w:tcPr>
            <w:tcW w:w="363" w:type="pct"/>
            <w:tcBorders>
              <w:top w:val="single" w:sz="4" w:space="0" w:color="auto"/>
              <w:bottom w:val="single" w:sz="4" w:space="0" w:color="auto"/>
            </w:tcBorders>
          </w:tcPr>
          <w:p w14:paraId="61C18D0B"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df</w:t>
            </w:r>
          </w:p>
        </w:tc>
        <w:tc>
          <w:tcPr>
            <w:tcW w:w="812" w:type="pct"/>
            <w:tcBorders>
              <w:top w:val="single" w:sz="4" w:space="0" w:color="auto"/>
              <w:bottom w:val="single" w:sz="4" w:space="0" w:color="auto"/>
            </w:tcBorders>
          </w:tcPr>
          <w:p w14:paraId="594CD6A8"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Mean Square</w:t>
            </w:r>
          </w:p>
        </w:tc>
        <w:tc>
          <w:tcPr>
            <w:tcW w:w="494" w:type="pct"/>
            <w:tcBorders>
              <w:top w:val="single" w:sz="4" w:space="0" w:color="auto"/>
              <w:bottom w:val="single" w:sz="4" w:space="0" w:color="auto"/>
            </w:tcBorders>
          </w:tcPr>
          <w:p w14:paraId="73D3C7F1"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F</w:t>
            </w:r>
          </w:p>
        </w:tc>
        <w:tc>
          <w:tcPr>
            <w:tcW w:w="730" w:type="pct"/>
            <w:tcBorders>
              <w:top w:val="single" w:sz="4" w:space="0" w:color="auto"/>
              <w:bottom w:val="single" w:sz="4" w:space="0" w:color="auto"/>
            </w:tcBorders>
          </w:tcPr>
          <w:p w14:paraId="1EAA4B62" w14:textId="77777777" w:rsidR="001622F5" w:rsidRPr="009B3AEF" w:rsidRDefault="001622F5" w:rsidP="001622F5">
            <w:pPr>
              <w:contextualSpacing/>
              <w:jc w:val="center"/>
              <w:rPr>
                <w:rFonts w:ascii="Times New Roman" w:hAnsi="Times New Roman"/>
                <w:b/>
              </w:rPr>
            </w:pPr>
            <w:r w:rsidRPr="009B3AEF">
              <w:rPr>
                <w:rFonts w:ascii="Times New Roman" w:hAnsi="Times New Roman"/>
                <w:b/>
              </w:rPr>
              <w:t>Sig. F Change</w:t>
            </w:r>
          </w:p>
        </w:tc>
      </w:tr>
      <w:tr w:rsidR="001622F5" w14:paraId="78CAF710" w14:textId="77777777" w:rsidTr="001622F5">
        <w:tc>
          <w:tcPr>
            <w:tcW w:w="422" w:type="pct"/>
            <w:vMerge w:val="restart"/>
            <w:tcBorders>
              <w:top w:val="single" w:sz="4" w:space="0" w:color="auto"/>
              <w:bottom w:val="nil"/>
            </w:tcBorders>
          </w:tcPr>
          <w:p w14:paraId="4A270424"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1.</w:t>
            </w:r>
          </w:p>
        </w:tc>
        <w:tc>
          <w:tcPr>
            <w:tcW w:w="606" w:type="pct"/>
            <w:vMerge w:val="restart"/>
            <w:tcBorders>
              <w:top w:val="single" w:sz="4" w:space="0" w:color="auto"/>
              <w:bottom w:val="nil"/>
            </w:tcBorders>
          </w:tcPr>
          <w:p w14:paraId="55D6A9C6" w14:textId="77777777" w:rsidR="001622F5" w:rsidRPr="009B3AEF" w:rsidRDefault="001622F5" w:rsidP="001622F5">
            <w:pPr>
              <w:contextualSpacing/>
              <w:rPr>
                <w:rFonts w:ascii="Times New Roman" w:hAnsi="Times New Roman"/>
                <w:bCs/>
              </w:rPr>
            </w:pPr>
            <w:r w:rsidRPr="009B3AEF">
              <w:rPr>
                <w:rFonts w:ascii="Times New Roman" w:hAnsi="Times New Roman"/>
                <w:bCs/>
              </w:rPr>
              <w:t>Influent Vs. Effluent</w:t>
            </w:r>
          </w:p>
        </w:tc>
        <w:tc>
          <w:tcPr>
            <w:tcW w:w="788" w:type="pct"/>
            <w:tcBorders>
              <w:top w:val="single" w:sz="4" w:space="0" w:color="auto"/>
              <w:bottom w:val="nil"/>
            </w:tcBorders>
          </w:tcPr>
          <w:p w14:paraId="273C02D3"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SSW</w:t>
            </w:r>
          </w:p>
        </w:tc>
        <w:tc>
          <w:tcPr>
            <w:tcW w:w="787" w:type="pct"/>
            <w:tcBorders>
              <w:top w:val="single" w:sz="4" w:space="0" w:color="auto"/>
              <w:bottom w:val="nil"/>
            </w:tcBorders>
          </w:tcPr>
          <w:p w14:paraId="44450FBA"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1888825833</w:t>
            </w:r>
          </w:p>
        </w:tc>
        <w:tc>
          <w:tcPr>
            <w:tcW w:w="363" w:type="pct"/>
            <w:tcBorders>
              <w:top w:val="single" w:sz="4" w:space="0" w:color="auto"/>
              <w:bottom w:val="nil"/>
            </w:tcBorders>
          </w:tcPr>
          <w:p w14:paraId="28791974"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1</w:t>
            </w:r>
          </w:p>
        </w:tc>
        <w:tc>
          <w:tcPr>
            <w:tcW w:w="812" w:type="pct"/>
            <w:tcBorders>
              <w:top w:val="single" w:sz="4" w:space="0" w:color="auto"/>
              <w:bottom w:val="nil"/>
            </w:tcBorders>
          </w:tcPr>
          <w:p w14:paraId="48D24A89"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1888825833</w:t>
            </w:r>
          </w:p>
        </w:tc>
        <w:tc>
          <w:tcPr>
            <w:tcW w:w="494" w:type="pct"/>
            <w:tcBorders>
              <w:top w:val="single" w:sz="4" w:space="0" w:color="auto"/>
              <w:bottom w:val="nil"/>
            </w:tcBorders>
          </w:tcPr>
          <w:p w14:paraId="468249FA"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235.671</w:t>
            </w:r>
          </w:p>
        </w:tc>
        <w:tc>
          <w:tcPr>
            <w:tcW w:w="730" w:type="pct"/>
            <w:tcBorders>
              <w:top w:val="single" w:sz="4" w:space="0" w:color="auto"/>
              <w:bottom w:val="nil"/>
            </w:tcBorders>
          </w:tcPr>
          <w:p w14:paraId="0F5CDE5B"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0.001</w:t>
            </w:r>
          </w:p>
        </w:tc>
      </w:tr>
      <w:tr w:rsidR="001622F5" w14:paraId="023259DE" w14:textId="77777777" w:rsidTr="001622F5">
        <w:tc>
          <w:tcPr>
            <w:tcW w:w="422" w:type="pct"/>
            <w:vMerge/>
            <w:tcBorders>
              <w:top w:val="nil"/>
              <w:bottom w:val="nil"/>
            </w:tcBorders>
          </w:tcPr>
          <w:p w14:paraId="1D750EE2" w14:textId="77777777" w:rsidR="001622F5" w:rsidRPr="009B3AEF" w:rsidRDefault="001622F5" w:rsidP="001622F5">
            <w:pPr>
              <w:contextualSpacing/>
              <w:jc w:val="center"/>
              <w:rPr>
                <w:rFonts w:ascii="Times New Roman" w:hAnsi="Times New Roman"/>
                <w:bCs/>
              </w:rPr>
            </w:pPr>
          </w:p>
        </w:tc>
        <w:tc>
          <w:tcPr>
            <w:tcW w:w="606" w:type="pct"/>
            <w:vMerge/>
            <w:tcBorders>
              <w:top w:val="nil"/>
              <w:bottom w:val="nil"/>
            </w:tcBorders>
          </w:tcPr>
          <w:p w14:paraId="2EC8C780" w14:textId="77777777" w:rsidR="001622F5" w:rsidRPr="009B3AEF" w:rsidRDefault="001622F5" w:rsidP="001622F5">
            <w:pPr>
              <w:contextualSpacing/>
              <w:jc w:val="center"/>
              <w:rPr>
                <w:rFonts w:ascii="Times New Roman" w:hAnsi="Times New Roman"/>
                <w:bCs/>
              </w:rPr>
            </w:pPr>
          </w:p>
        </w:tc>
        <w:tc>
          <w:tcPr>
            <w:tcW w:w="788" w:type="pct"/>
            <w:tcBorders>
              <w:top w:val="nil"/>
              <w:bottom w:val="nil"/>
            </w:tcBorders>
          </w:tcPr>
          <w:p w14:paraId="679A3358"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SSB</w:t>
            </w:r>
          </w:p>
        </w:tc>
        <w:tc>
          <w:tcPr>
            <w:tcW w:w="787" w:type="pct"/>
            <w:tcBorders>
              <w:top w:val="nil"/>
              <w:bottom w:val="nil"/>
            </w:tcBorders>
          </w:tcPr>
          <w:p w14:paraId="21B09980"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24043967.36</w:t>
            </w:r>
          </w:p>
        </w:tc>
        <w:tc>
          <w:tcPr>
            <w:tcW w:w="363" w:type="pct"/>
            <w:tcBorders>
              <w:top w:val="nil"/>
              <w:bottom w:val="nil"/>
            </w:tcBorders>
          </w:tcPr>
          <w:p w14:paraId="0EFD97DF"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3</w:t>
            </w:r>
          </w:p>
        </w:tc>
        <w:tc>
          <w:tcPr>
            <w:tcW w:w="812" w:type="pct"/>
            <w:tcBorders>
              <w:top w:val="nil"/>
              <w:bottom w:val="nil"/>
            </w:tcBorders>
          </w:tcPr>
          <w:p w14:paraId="31B80DB8"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8014655.785</w:t>
            </w:r>
          </w:p>
        </w:tc>
        <w:tc>
          <w:tcPr>
            <w:tcW w:w="494" w:type="pct"/>
            <w:tcBorders>
              <w:top w:val="nil"/>
              <w:bottom w:val="nil"/>
            </w:tcBorders>
          </w:tcPr>
          <w:p w14:paraId="7CF31F29" w14:textId="77777777" w:rsidR="001622F5" w:rsidRPr="009B3AEF" w:rsidRDefault="001622F5" w:rsidP="001622F5">
            <w:pPr>
              <w:contextualSpacing/>
              <w:jc w:val="center"/>
              <w:rPr>
                <w:rFonts w:ascii="Times New Roman" w:hAnsi="Times New Roman"/>
                <w:bCs/>
              </w:rPr>
            </w:pPr>
          </w:p>
        </w:tc>
        <w:tc>
          <w:tcPr>
            <w:tcW w:w="730" w:type="pct"/>
            <w:tcBorders>
              <w:top w:val="nil"/>
              <w:bottom w:val="nil"/>
            </w:tcBorders>
          </w:tcPr>
          <w:p w14:paraId="15FF6780" w14:textId="77777777" w:rsidR="001622F5" w:rsidRPr="009B3AEF" w:rsidRDefault="001622F5" w:rsidP="001622F5">
            <w:pPr>
              <w:contextualSpacing/>
              <w:jc w:val="center"/>
              <w:rPr>
                <w:rFonts w:ascii="Times New Roman" w:hAnsi="Times New Roman"/>
                <w:bCs/>
              </w:rPr>
            </w:pPr>
          </w:p>
        </w:tc>
      </w:tr>
      <w:tr w:rsidR="001622F5" w14:paraId="04302C17" w14:textId="77777777" w:rsidTr="001622F5">
        <w:tc>
          <w:tcPr>
            <w:tcW w:w="422" w:type="pct"/>
            <w:vMerge/>
            <w:tcBorders>
              <w:top w:val="nil"/>
              <w:bottom w:val="nil"/>
            </w:tcBorders>
          </w:tcPr>
          <w:p w14:paraId="60AE4E3F" w14:textId="77777777" w:rsidR="001622F5" w:rsidRPr="009B3AEF" w:rsidRDefault="001622F5" w:rsidP="001622F5">
            <w:pPr>
              <w:contextualSpacing/>
              <w:jc w:val="center"/>
              <w:rPr>
                <w:rFonts w:ascii="Times New Roman" w:hAnsi="Times New Roman"/>
                <w:bCs/>
              </w:rPr>
            </w:pPr>
          </w:p>
        </w:tc>
        <w:tc>
          <w:tcPr>
            <w:tcW w:w="606" w:type="pct"/>
            <w:vMerge/>
            <w:tcBorders>
              <w:top w:val="nil"/>
              <w:bottom w:val="single" w:sz="4" w:space="0" w:color="auto"/>
            </w:tcBorders>
          </w:tcPr>
          <w:p w14:paraId="19FCB45D" w14:textId="77777777" w:rsidR="001622F5" w:rsidRPr="009B3AEF" w:rsidRDefault="001622F5" w:rsidP="001622F5">
            <w:pPr>
              <w:contextualSpacing/>
              <w:jc w:val="center"/>
              <w:rPr>
                <w:rFonts w:ascii="Times New Roman" w:hAnsi="Times New Roman"/>
                <w:bCs/>
              </w:rPr>
            </w:pPr>
          </w:p>
        </w:tc>
        <w:tc>
          <w:tcPr>
            <w:tcW w:w="788" w:type="pct"/>
            <w:tcBorders>
              <w:top w:val="nil"/>
              <w:bottom w:val="single" w:sz="4" w:space="0" w:color="auto"/>
            </w:tcBorders>
          </w:tcPr>
          <w:p w14:paraId="0EA0065D"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SST</w:t>
            </w:r>
          </w:p>
        </w:tc>
        <w:tc>
          <w:tcPr>
            <w:tcW w:w="787" w:type="pct"/>
            <w:tcBorders>
              <w:top w:val="nil"/>
              <w:bottom w:val="single" w:sz="4" w:space="0" w:color="auto"/>
            </w:tcBorders>
          </w:tcPr>
          <w:p w14:paraId="2C20E891"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1912869800</w:t>
            </w:r>
          </w:p>
        </w:tc>
        <w:tc>
          <w:tcPr>
            <w:tcW w:w="363" w:type="pct"/>
            <w:tcBorders>
              <w:top w:val="nil"/>
              <w:bottom w:val="single" w:sz="4" w:space="0" w:color="auto"/>
            </w:tcBorders>
          </w:tcPr>
          <w:p w14:paraId="0586C0CC"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4</w:t>
            </w:r>
          </w:p>
        </w:tc>
        <w:tc>
          <w:tcPr>
            <w:tcW w:w="812" w:type="pct"/>
            <w:tcBorders>
              <w:top w:val="nil"/>
              <w:bottom w:val="single" w:sz="4" w:space="0" w:color="auto"/>
            </w:tcBorders>
          </w:tcPr>
          <w:p w14:paraId="1D9EF57A" w14:textId="77777777" w:rsidR="001622F5" w:rsidRPr="009B3AEF" w:rsidRDefault="001622F5" w:rsidP="001622F5">
            <w:pPr>
              <w:contextualSpacing/>
              <w:jc w:val="center"/>
              <w:rPr>
                <w:rFonts w:ascii="Times New Roman" w:hAnsi="Times New Roman"/>
                <w:bCs/>
              </w:rPr>
            </w:pPr>
          </w:p>
        </w:tc>
        <w:tc>
          <w:tcPr>
            <w:tcW w:w="494" w:type="pct"/>
            <w:tcBorders>
              <w:top w:val="nil"/>
              <w:bottom w:val="single" w:sz="4" w:space="0" w:color="auto"/>
            </w:tcBorders>
          </w:tcPr>
          <w:p w14:paraId="763C18F7" w14:textId="77777777" w:rsidR="001622F5" w:rsidRPr="009B3AEF" w:rsidRDefault="001622F5" w:rsidP="001622F5">
            <w:pPr>
              <w:contextualSpacing/>
              <w:jc w:val="center"/>
              <w:rPr>
                <w:rFonts w:ascii="Times New Roman" w:hAnsi="Times New Roman"/>
                <w:bCs/>
              </w:rPr>
            </w:pPr>
          </w:p>
        </w:tc>
        <w:tc>
          <w:tcPr>
            <w:tcW w:w="730" w:type="pct"/>
            <w:tcBorders>
              <w:top w:val="nil"/>
              <w:bottom w:val="single" w:sz="4" w:space="0" w:color="auto"/>
            </w:tcBorders>
          </w:tcPr>
          <w:p w14:paraId="7A96BF27" w14:textId="77777777" w:rsidR="001622F5" w:rsidRPr="009B3AEF" w:rsidRDefault="001622F5" w:rsidP="001622F5">
            <w:pPr>
              <w:contextualSpacing/>
              <w:jc w:val="center"/>
              <w:rPr>
                <w:rFonts w:ascii="Times New Roman" w:hAnsi="Times New Roman"/>
                <w:bCs/>
              </w:rPr>
            </w:pPr>
          </w:p>
        </w:tc>
      </w:tr>
      <w:tr w:rsidR="001622F5" w14:paraId="0870A039" w14:textId="77777777" w:rsidTr="001622F5">
        <w:tc>
          <w:tcPr>
            <w:tcW w:w="2602" w:type="pct"/>
            <w:gridSpan w:val="4"/>
            <w:tcBorders>
              <w:top w:val="nil"/>
              <w:bottom w:val="nil"/>
            </w:tcBorders>
          </w:tcPr>
          <w:p w14:paraId="471817A4" w14:textId="77777777" w:rsidR="001622F5" w:rsidRPr="009B3AEF" w:rsidRDefault="001622F5" w:rsidP="001622F5">
            <w:pPr>
              <w:contextualSpacing/>
              <w:rPr>
                <w:rFonts w:ascii="Times New Roman" w:hAnsi="Times New Roman"/>
                <w:bCs/>
              </w:rPr>
            </w:pPr>
            <w:r w:rsidRPr="009B3AEF">
              <w:rPr>
                <w:rFonts w:ascii="Times New Roman" w:hAnsi="Times New Roman"/>
              </w:rPr>
              <w:t>a Dependent Variable: Effluent</w:t>
            </w:r>
          </w:p>
        </w:tc>
        <w:tc>
          <w:tcPr>
            <w:tcW w:w="363" w:type="pct"/>
            <w:tcBorders>
              <w:top w:val="single" w:sz="4" w:space="0" w:color="auto"/>
              <w:bottom w:val="nil"/>
            </w:tcBorders>
          </w:tcPr>
          <w:p w14:paraId="024FCBA5" w14:textId="77777777" w:rsidR="001622F5" w:rsidRPr="009B3AEF" w:rsidRDefault="001622F5" w:rsidP="001622F5">
            <w:pPr>
              <w:contextualSpacing/>
              <w:rPr>
                <w:rFonts w:ascii="Times New Roman" w:hAnsi="Times New Roman"/>
                <w:bCs/>
              </w:rPr>
            </w:pPr>
          </w:p>
        </w:tc>
        <w:tc>
          <w:tcPr>
            <w:tcW w:w="812" w:type="pct"/>
            <w:tcBorders>
              <w:top w:val="single" w:sz="4" w:space="0" w:color="auto"/>
              <w:bottom w:val="nil"/>
            </w:tcBorders>
          </w:tcPr>
          <w:p w14:paraId="4A441CFB" w14:textId="77777777" w:rsidR="001622F5" w:rsidRPr="009B3AEF" w:rsidRDefault="001622F5" w:rsidP="001622F5">
            <w:pPr>
              <w:contextualSpacing/>
              <w:rPr>
                <w:rFonts w:ascii="Times New Roman" w:hAnsi="Times New Roman"/>
                <w:bCs/>
              </w:rPr>
            </w:pPr>
          </w:p>
        </w:tc>
        <w:tc>
          <w:tcPr>
            <w:tcW w:w="494" w:type="pct"/>
            <w:tcBorders>
              <w:top w:val="single" w:sz="4" w:space="0" w:color="auto"/>
              <w:bottom w:val="nil"/>
            </w:tcBorders>
          </w:tcPr>
          <w:p w14:paraId="3218B130" w14:textId="77777777" w:rsidR="001622F5" w:rsidRPr="009B3AEF" w:rsidRDefault="001622F5" w:rsidP="001622F5">
            <w:pPr>
              <w:contextualSpacing/>
              <w:rPr>
                <w:rFonts w:ascii="Times New Roman" w:hAnsi="Times New Roman"/>
                <w:bCs/>
              </w:rPr>
            </w:pPr>
          </w:p>
        </w:tc>
        <w:tc>
          <w:tcPr>
            <w:tcW w:w="730" w:type="pct"/>
            <w:tcBorders>
              <w:top w:val="single" w:sz="4" w:space="0" w:color="auto"/>
              <w:bottom w:val="nil"/>
            </w:tcBorders>
          </w:tcPr>
          <w:p w14:paraId="78524D69" w14:textId="77777777" w:rsidR="001622F5" w:rsidRPr="009B3AEF" w:rsidRDefault="001622F5" w:rsidP="001622F5">
            <w:pPr>
              <w:contextualSpacing/>
              <w:rPr>
                <w:rFonts w:ascii="Times New Roman" w:hAnsi="Times New Roman"/>
                <w:bCs/>
              </w:rPr>
            </w:pPr>
          </w:p>
        </w:tc>
      </w:tr>
      <w:tr w:rsidR="001622F5" w14:paraId="68FA6507" w14:textId="77777777" w:rsidTr="001622F5">
        <w:trPr>
          <w:trHeight w:val="432"/>
        </w:trPr>
        <w:tc>
          <w:tcPr>
            <w:tcW w:w="2602" w:type="pct"/>
            <w:gridSpan w:val="4"/>
            <w:tcBorders>
              <w:top w:val="nil"/>
              <w:bottom w:val="single" w:sz="4" w:space="0" w:color="auto"/>
            </w:tcBorders>
          </w:tcPr>
          <w:p w14:paraId="63BF4D8C" w14:textId="77777777" w:rsidR="001622F5" w:rsidRPr="009B3AEF" w:rsidRDefault="001622F5" w:rsidP="001622F5">
            <w:pPr>
              <w:contextualSpacing/>
              <w:rPr>
                <w:rFonts w:ascii="Times New Roman" w:hAnsi="Times New Roman"/>
                <w:bCs/>
              </w:rPr>
            </w:pPr>
            <w:r w:rsidRPr="009B3AEF">
              <w:rPr>
                <w:rFonts w:ascii="Times New Roman" w:hAnsi="Times New Roman"/>
              </w:rPr>
              <w:t>b Predictors: (Constant), Influent</w:t>
            </w:r>
          </w:p>
        </w:tc>
        <w:tc>
          <w:tcPr>
            <w:tcW w:w="363" w:type="pct"/>
            <w:tcBorders>
              <w:top w:val="nil"/>
              <w:bottom w:val="single" w:sz="4" w:space="0" w:color="auto"/>
            </w:tcBorders>
          </w:tcPr>
          <w:p w14:paraId="3D0EDF75" w14:textId="77777777" w:rsidR="001622F5" w:rsidRPr="009B3AEF" w:rsidRDefault="001622F5" w:rsidP="001622F5">
            <w:pPr>
              <w:contextualSpacing/>
              <w:rPr>
                <w:rFonts w:ascii="Times New Roman" w:hAnsi="Times New Roman"/>
                <w:bCs/>
              </w:rPr>
            </w:pPr>
          </w:p>
        </w:tc>
        <w:tc>
          <w:tcPr>
            <w:tcW w:w="812" w:type="pct"/>
            <w:tcBorders>
              <w:top w:val="nil"/>
              <w:bottom w:val="single" w:sz="4" w:space="0" w:color="auto"/>
            </w:tcBorders>
          </w:tcPr>
          <w:p w14:paraId="7E9F5F0C" w14:textId="77777777" w:rsidR="001622F5" w:rsidRPr="009B3AEF" w:rsidRDefault="001622F5" w:rsidP="001622F5">
            <w:pPr>
              <w:contextualSpacing/>
              <w:rPr>
                <w:rFonts w:ascii="Times New Roman" w:hAnsi="Times New Roman"/>
                <w:bCs/>
              </w:rPr>
            </w:pPr>
          </w:p>
        </w:tc>
        <w:tc>
          <w:tcPr>
            <w:tcW w:w="494" w:type="pct"/>
            <w:tcBorders>
              <w:top w:val="nil"/>
              <w:bottom w:val="single" w:sz="4" w:space="0" w:color="auto"/>
            </w:tcBorders>
          </w:tcPr>
          <w:p w14:paraId="430E3D81" w14:textId="77777777" w:rsidR="001622F5" w:rsidRPr="009B3AEF" w:rsidRDefault="001622F5" w:rsidP="001622F5">
            <w:pPr>
              <w:contextualSpacing/>
              <w:rPr>
                <w:rFonts w:ascii="Times New Roman" w:hAnsi="Times New Roman"/>
                <w:bCs/>
              </w:rPr>
            </w:pPr>
          </w:p>
        </w:tc>
        <w:tc>
          <w:tcPr>
            <w:tcW w:w="730" w:type="pct"/>
            <w:tcBorders>
              <w:top w:val="nil"/>
              <w:bottom w:val="single" w:sz="4" w:space="0" w:color="auto"/>
            </w:tcBorders>
          </w:tcPr>
          <w:p w14:paraId="145A584E" w14:textId="77777777" w:rsidR="001622F5" w:rsidRPr="009B3AEF" w:rsidRDefault="001622F5" w:rsidP="001622F5">
            <w:pPr>
              <w:contextualSpacing/>
              <w:rPr>
                <w:rFonts w:ascii="Times New Roman" w:hAnsi="Times New Roman"/>
                <w:bCs/>
              </w:rPr>
            </w:pPr>
          </w:p>
        </w:tc>
      </w:tr>
      <w:tr w:rsidR="001622F5" w14:paraId="7CB07652" w14:textId="77777777" w:rsidTr="001622F5">
        <w:tc>
          <w:tcPr>
            <w:tcW w:w="422" w:type="pct"/>
            <w:vMerge w:val="restart"/>
            <w:tcBorders>
              <w:top w:val="single" w:sz="4" w:space="0" w:color="auto"/>
              <w:bottom w:val="nil"/>
            </w:tcBorders>
          </w:tcPr>
          <w:p w14:paraId="69029C53"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2.</w:t>
            </w:r>
          </w:p>
        </w:tc>
        <w:tc>
          <w:tcPr>
            <w:tcW w:w="606" w:type="pct"/>
            <w:vMerge w:val="restart"/>
            <w:tcBorders>
              <w:top w:val="single" w:sz="4" w:space="0" w:color="auto"/>
              <w:bottom w:val="nil"/>
            </w:tcBorders>
          </w:tcPr>
          <w:p w14:paraId="243413BD" w14:textId="77777777" w:rsidR="001622F5" w:rsidRPr="009B3AEF" w:rsidRDefault="001622F5" w:rsidP="001622F5">
            <w:pPr>
              <w:contextualSpacing/>
              <w:rPr>
                <w:rFonts w:ascii="Times New Roman" w:hAnsi="Times New Roman"/>
                <w:bCs/>
              </w:rPr>
            </w:pPr>
            <w:r w:rsidRPr="009B3AEF">
              <w:rPr>
                <w:rFonts w:ascii="Times New Roman" w:hAnsi="Times New Roman"/>
                <w:bCs/>
              </w:rPr>
              <w:t>Effluent Vs. Surface Water</w:t>
            </w:r>
          </w:p>
        </w:tc>
        <w:tc>
          <w:tcPr>
            <w:tcW w:w="788" w:type="pct"/>
            <w:tcBorders>
              <w:top w:val="single" w:sz="4" w:space="0" w:color="auto"/>
              <w:bottom w:val="nil"/>
            </w:tcBorders>
          </w:tcPr>
          <w:p w14:paraId="7CE60F99"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SSW</w:t>
            </w:r>
          </w:p>
        </w:tc>
        <w:tc>
          <w:tcPr>
            <w:tcW w:w="787" w:type="pct"/>
            <w:tcBorders>
              <w:top w:val="single" w:sz="4" w:space="0" w:color="auto"/>
              <w:bottom w:val="nil"/>
            </w:tcBorders>
          </w:tcPr>
          <w:p w14:paraId="20F16DE6"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484.843</w:t>
            </w:r>
          </w:p>
        </w:tc>
        <w:tc>
          <w:tcPr>
            <w:tcW w:w="363" w:type="pct"/>
            <w:tcBorders>
              <w:top w:val="single" w:sz="4" w:space="0" w:color="auto"/>
              <w:bottom w:val="nil"/>
            </w:tcBorders>
          </w:tcPr>
          <w:p w14:paraId="6911DA35"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w:t>
            </w:r>
          </w:p>
        </w:tc>
        <w:tc>
          <w:tcPr>
            <w:tcW w:w="812" w:type="pct"/>
            <w:tcBorders>
              <w:top w:val="single" w:sz="4" w:space="0" w:color="auto"/>
              <w:bottom w:val="nil"/>
            </w:tcBorders>
          </w:tcPr>
          <w:p w14:paraId="6CED124C"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484.843</w:t>
            </w:r>
          </w:p>
        </w:tc>
        <w:tc>
          <w:tcPr>
            <w:tcW w:w="494" w:type="pct"/>
            <w:tcBorders>
              <w:top w:val="single" w:sz="4" w:space="0" w:color="auto"/>
              <w:bottom w:val="nil"/>
            </w:tcBorders>
          </w:tcPr>
          <w:p w14:paraId="5DE3CECA"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16.746</w:t>
            </w:r>
          </w:p>
        </w:tc>
        <w:tc>
          <w:tcPr>
            <w:tcW w:w="730" w:type="pct"/>
            <w:tcBorders>
              <w:top w:val="single" w:sz="4" w:space="0" w:color="auto"/>
              <w:bottom w:val="nil"/>
            </w:tcBorders>
          </w:tcPr>
          <w:p w14:paraId="07810BDB"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0.026</w:t>
            </w:r>
          </w:p>
        </w:tc>
      </w:tr>
      <w:tr w:rsidR="001622F5" w14:paraId="23DCF044" w14:textId="77777777" w:rsidTr="001622F5">
        <w:tc>
          <w:tcPr>
            <w:tcW w:w="422" w:type="pct"/>
            <w:vMerge/>
            <w:tcBorders>
              <w:top w:val="nil"/>
              <w:bottom w:val="nil"/>
            </w:tcBorders>
          </w:tcPr>
          <w:p w14:paraId="18B8169C" w14:textId="77777777" w:rsidR="001622F5" w:rsidRPr="009B3AEF" w:rsidRDefault="001622F5" w:rsidP="001622F5">
            <w:pPr>
              <w:contextualSpacing/>
              <w:jc w:val="center"/>
              <w:rPr>
                <w:rFonts w:ascii="Times New Roman" w:hAnsi="Times New Roman"/>
                <w:bCs/>
              </w:rPr>
            </w:pPr>
          </w:p>
        </w:tc>
        <w:tc>
          <w:tcPr>
            <w:tcW w:w="606" w:type="pct"/>
            <w:vMerge/>
            <w:tcBorders>
              <w:top w:val="nil"/>
              <w:bottom w:val="nil"/>
            </w:tcBorders>
          </w:tcPr>
          <w:p w14:paraId="69482B06" w14:textId="77777777" w:rsidR="001622F5" w:rsidRPr="009B3AEF" w:rsidRDefault="001622F5" w:rsidP="001622F5">
            <w:pPr>
              <w:contextualSpacing/>
              <w:jc w:val="center"/>
              <w:rPr>
                <w:rFonts w:ascii="Times New Roman" w:hAnsi="Times New Roman"/>
                <w:bCs/>
              </w:rPr>
            </w:pPr>
          </w:p>
        </w:tc>
        <w:tc>
          <w:tcPr>
            <w:tcW w:w="788" w:type="pct"/>
            <w:tcBorders>
              <w:top w:val="nil"/>
              <w:bottom w:val="nil"/>
            </w:tcBorders>
          </w:tcPr>
          <w:p w14:paraId="10A7628B"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SSB</w:t>
            </w:r>
          </w:p>
        </w:tc>
        <w:tc>
          <w:tcPr>
            <w:tcW w:w="787" w:type="pct"/>
            <w:tcBorders>
              <w:top w:val="nil"/>
              <w:bottom w:val="nil"/>
            </w:tcBorders>
          </w:tcPr>
          <w:p w14:paraId="007C2E6A"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86.856</w:t>
            </w:r>
          </w:p>
        </w:tc>
        <w:tc>
          <w:tcPr>
            <w:tcW w:w="363" w:type="pct"/>
            <w:tcBorders>
              <w:top w:val="nil"/>
              <w:bottom w:val="nil"/>
            </w:tcBorders>
          </w:tcPr>
          <w:p w14:paraId="370D49A9"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3</w:t>
            </w:r>
          </w:p>
        </w:tc>
        <w:tc>
          <w:tcPr>
            <w:tcW w:w="812" w:type="pct"/>
            <w:tcBorders>
              <w:top w:val="nil"/>
              <w:bottom w:val="nil"/>
            </w:tcBorders>
          </w:tcPr>
          <w:p w14:paraId="13CFB83B"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28.952</w:t>
            </w:r>
          </w:p>
        </w:tc>
        <w:tc>
          <w:tcPr>
            <w:tcW w:w="494" w:type="pct"/>
            <w:tcBorders>
              <w:top w:val="nil"/>
              <w:bottom w:val="nil"/>
            </w:tcBorders>
          </w:tcPr>
          <w:p w14:paraId="22DB7A97" w14:textId="77777777" w:rsidR="001622F5" w:rsidRPr="009B3AEF" w:rsidRDefault="001622F5" w:rsidP="001622F5">
            <w:pPr>
              <w:contextualSpacing/>
              <w:jc w:val="center"/>
              <w:rPr>
                <w:rFonts w:ascii="Times New Roman" w:hAnsi="Times New Roman"/>
                <w:bCs/>
              </w:rPr>
            </w:pPr>
          </w:p>
        </w:tc>
        <w:tc>
          <w:tcPr>
            <w:tcW w:w="730" w:type="pct"/>
            <w:tcBorders>
              <w:top w:val="nil"/>
              <w:bottom w:val="nil"/>
            </w:tcBorders>
          </w:tcPr>
          <w:p w14:paraId="58FAAD73" w14:textId="77777777" w:rsidR="001622F5" w:rsidRPr="009B3AEF" w:rsidRDefault="001622F5" w:rsidP="001622F5">
            <w:pPr>
              <w:contextualSpacing/>
              <w:jc w:val="center"/>
              <w:rPr>
                <w:rFonts w:ascii="Times New Roman" w:hAnsi="Times New Roman"/>
                <w:bCs/>
              </w:rPr>
            </w:pPr>
          </w:p>
        </w:tc>
      </w:tr>
      <w:tr w:rsidR="001622F5" w14:paraId="4C8AE976" w14:textId="77777777" w:rsidTr="001622F5">
        <w:tc>
          <w:tcPr>
            <w:tcW w:w="422" w:type="pct"/>
            <w:vMerge/>
            <w:tcBorders>
              <w:top w:val="nil"/>
              <w:bottom w:val="nil"/>
            </w:tcBorders>
          </w:tcPr>
          <w:p w14:paraId="6DFA3239" w14:textId="77777777" w:rsidR="001622F5" w:rsidRPr="009B3AEF" w:rsidRDefault="001622F5" w:rsidP="001622F5">
            <w:pPr>
              <w:contextualSpacing/>
              <w:jc w:val="center"/>
              <w:rPr>
                <w:rFonts w:ascii="Times New Roman" w:hAnsi="Times New Roman"/>
                <w:bCs/>
              </w:rPr>
            </w:pPr>
          </w:p>
        </w:tc>
        <w:tc>
          <w:tcPr>
            <w:tcW w:w="606" w:type="pct"/>
            <w:vMerge/>
            <w:tcBorders>
              <w:top w:val="nil"/>
              <w:bottom w:val="single" w:sz="4" w:space="0" w:color="auto"/>
            </w:tcBorders>
          </w:tcPr>
          <w:p w14:paraId="3265A686" w14:textId="77777777" w:rsidR="001622F5" w:rsidRPr="009B3AEF" w:rsidRDefault="001622F5" w:rsidP="001622F5">
            <w:pPr>
              <w:contextualSpacing/>
              <w:jc w:val="center"/>
              <w:rPr>
                <w:rFonts w:ascii="Times New Roman" w:hAnsi="Times New Roman"/>
                <w:bCs/>
              </w:rPr>
            </w:pPr>
          </w:p>
        </w:tc>
        <w:tc>
          <w:tcPr>
            <w:tcW w:w="788" w:type="pct"/>
            <w:tcBorders>
              <w:top w:val="nil"/>
              <w:bottom w:val="single" w:sz="4" w:space="0" w:color="auto"/>
            </w:tcBorders>
          </w:tcPr>
          <w:p w14:paraId="00B2393A"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SST</w:t>
            </w:r>
          </w:p>
        </w:tc>
        <w:tc>
          <w:tcPr>
            <w:tcW w:w="787" w:type="pct"/>
            <w:tcBorders>
              <w:top w:val="nil"/>
              <w:bottom w:val="single" w:sz="4" w:space="0" w:color="auto"/>
            </w:tcBorders>
          </w:tcPr>
          <w:p w14:paraId="504A11AE"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571.699</w:t>
            </w:r>
          </w:p>
        </w:tc>
        <w:tc>
          <w:tcPr>
            <w:tcW w:w="363" w:type="pct"/>
            <w:tcBorders>
              <w:top w:val="nil"/>
              <w:bottom w:val="single" w:sz="4" w:space="0" w:color="auto"/>
            </w:tcBorders>
          </w:tcPr>
          <w:p w14:paraId="44950F1D"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4</w:t>
            </w:r>
          </w:p>
        </w:tc>
        <w:tc>
          <w:tcPr>
            <w:tcW w:w="812" w:type="pct"/>
            <w:tcBorders>
              <w:top w:val="nil"/>
              <w:bottom w:val="single" w:sz="4" w:space="0" w:color="auto"/>
            </w:tcBorders>
          </w:tcPr>
          <w:p w14:paraId="257194BE" w14:textId="77777777" w:rsidR="001622F5" w:rsidRPr="009B3AEF" w:rsidRDefault="001622F5" w:rsidP="001622F5">
            <w:pPr>
              <w:contextualSpacing/>
              <w:jc w:val="center"/>
              <w:rPr>
                <w:rFonts w:ascii="Times New Roman" w:hAnsi="Times New Roman"/>
                <w:bCs/>
              </w:rPr>
            </w:pPr>
          </w:p>
        </w:tc>
        <w:tc>
          <w:tcPr>
            <w:tcW w:w="494" w:type="pct"/>
            <w:tcBorders>
              <w:top w:val="nil"/>
              <w:bottom w:val="single" w:sz="4" w:space="0" w:color="auto"/>
            </w:tcBorders>
          </w:tcPr>
          <w:p w14:paraId="11640243" w14:textId="77777777" w:rsidR="001622F5" w:rsidRPr="009B3AEF" w:rsidRDefault="001622F5" w:rsidP="001622F5">
            <w:pPr>
              <w:contextualSpacing/>
              <w:jc w:val="center"/>
              <w:rPr>
                <w:rFonts w:ascii="Times New Roman" w:hAnsi="Times New Roman"/>
                <w:bCs/>
              </w:rPr>
            </w:pPr>
          </w:p>
        </w:tc>
        <w:tc>
          <w:tcPr>
            <w:tcW w:w="730" w:type="pct"/>
            <w:tcBorders>
              <w:top w:val="nil"/>
              <w:bottom w:val="single" w:sz="4" w:space="0" w:color="auto"/>
            </w:tcBorders>
          </w:tcPr>
          <w:p w14:paraId="44B77186" w14:textId="77777777" w:rsidR="001622F5" w:rsidRPr="009B3AEF" w:rsidRDefault="001622F5" w:rsidP="001622F5">
            <w:pPr>
              <w:contextualSpacing/>
              <w:jc w:val="center"/>
              <w:rPr>
                <w:rFonts w:ascii="Times New Roman" w:hAnsi="Times New Roman"/>
                <w:bCs/>
              </w:rPr>
            </w:pPr>
          </w:p>
        </w:tc>
      </w:tr>
      <w:tr w:rsidR="001622F5" w14:paraId="49982D0D" w14:textId="77777777" w:rsidTr="001622F5">
        <w:tc>
          <w:tcPr>
            <w:tcW w:w="2602" w:type="pct"/>
            <w:gridSpan w:val="4"/>
            <w:tcBorders>
              <w:top w:val="nil"/>
              <w:bottom w:val="nil"/>
            </w:tcBorders>
          </w:tcPr>
          <w:p w14:paraId="082B2E29" w14:textId="77777777" w:rsidR="001622F5" w:rsidRPr="009B3AEF" w:rsidRDefault="001622F5" w:rsidP="001622F5">
            <w:pPr>
              <w:contextualSpacing/>
              <w:rPr>
                <w:rFonts w:ascii="Times New Roman" w:hAnsi="Times New Roman"/>
                <w:bCs/>
              </w:rPr>
            </w:pPr>
            <w:r w:rsidRPr="009B3AEF">
              <w:rPr>
                <w:rFonts w:ascii="Times New Roman" w:hAnsi="Times New Roman"/>
              </w:rPr>
              <w:t>a Dependent Variable: Water</w:t>
            </w:r>
          </w:p>
        </w:tc>
        <w:tc>
          <w:tcPr>
            <w:tcW w:w="363" w:type="pct"/>
            <w:tcBorders>
              <w:top w:val="nil"/>
              <w:bottom w:val="nil"/>
            </w:tcBorders>
          </w:tcPr>
          <w:p w14:paraId="7B9689A5" w14:textId="77777777" w:rsidR="001622F5" w:rsidRPr="009B3AEF" w:rsidRDefault="001622F5" w:rsidP="001622F5">
            <w:pPr>
              <w:contextualSpacing/>
              <w:rPr>
                <w:rFonts w:ascii="Times New Roman" w:hAnsi="Times New Roman"/>
                <w:bCs/>
              </w:rPr>
            </w:pPr>
          </w:p>
        </w:tc>
        <w:tc>
          <w:tcPr>
            <w:tcW w:w="812" w:type="pct"/>
            <w:tcBorders>
              <w:top w:val="nil"/>
              <w:bottom w:val="nil"/>
            </w:tcBorders>
          </w:tcPr>
          <w:p w14:paraId="592B8C54" w14:textId="77777777" w:rsidR="001622F5" w:rsidRPr="009B3AEF" w:rsidRDefault="001622F5" w:rsidP="001622F5">
            <w:pPr>
              <w:contextualSpacing/>
              <w:rPr>
                <w:rFonts w:ascii="Times New Roman" w:hAnsi="Times New Roman"/>
                <w:bCs/>
              </w:rPr>
            </w:pPr>
          </w:p>
        </w:tc>
        <w:tc>
          <w:tcPr>
            <w:tcW w:w="494" w:type="pct"/>
            <w:tcBorders>
              <w:top w:val="nil"/>
              <w:bottom w:val="nil"/>
            </w:tcBorders>
          </w:tcPr>
          <w:p w14:paraId="76B3696C" w14:textId="77777777" w:rsidR="001622F5" w:rsidRPr="009B3AEF" w:rsidRDefault="001622F5" w:rsidP="001622F5">
            <w:pPr>
              <w:contextualSpacing/>
              <w:rPr>
                <w:rFonts w:ascii="Times New Roman" w:hAnsi="Times New Roman"/>
                <w:bCs/>
              </w:rPr>
            </w:pPr>
          </w:p>
        </w:tc>
        <w:tc>
          <w:tcPr>
            <w:tcW w:w="730" w:type="pct"/>
            <w:tcBorders>
              <w:top w:val="nil"/>
              <w:bottom w:val="nil"/>
            </w:tcBorders>
          </w:tcPr>
          <w:p w14:paraId="5BE05E8D" w14:textId="77777777" w:rsidR="001622F5" w:rsidRPr="009B3AEF" w:rsidRDefault="001622F5" w:rsidP="001622F5">
            <w:pPr>
              <w:contextualSpacing/>
              <w:rPr>
                <w:rFonts w:ascii="Times New Roman" w:hAnsi="Times New Roman"/>
                <w:bCs/>
              </w:rPr>
            </w:pPr>
          </w:p>
        </w:tc>
      </w:tr>
      <w:tr w:rsidR="001622F5" w14:paraId="541FABB9" w14:textId="77777777" w:rsidTr="001622F5">
        <w:trPr>
          <w:trHeight w:val="459"/>
        </w:trPr>
        <w:tc>
          <w:tcPr>
            <w:tcW w:w="2602" w:type="pct"/>
            <w:gridSpan w:val="4"/>
            <w:tcBorders>
              <w:top w:val="nil"/>
              <w:bottom w:val="single" w:sz="4" w:space="0" w:color="auto"/>
            </w:tcBorders>
          </w:tcPr>
          <w:p w14:paraId="6E051FCA" w14:textId="77777777" w:rsidR="001622F5" w:rsidRPr="009B3AEF" w:rsidRDefault="001622F5" w:rsidP="001622F5">
            <w:pPr>
              <w:contextualSpacing/>
              <w:rPr>
                <w:rFonts w:ascii="Times New Roman" w:hAnsi="Times New Roman"/>
                <w:bCs/>
              </w:rPr>
            </w:pPr>
            <w:r w:rsidRPr="009B3AEF">
              <w:rPr>
                <w:rFonts w:ascii="Times New Roman" w:hAnsi="Times New Roman"/>
              </w:rPr>
              <w:t>b Predictors: (Constant), Effluent</w:t>
            </w:r>
          </w:p>
        </w:tc>
        <w:tc>
          <w:tcPr>
            <w:tcW w:w="363" w:type="pct"/>
            <w:tcBorders>
              <w:top w:val="nil"/>
              <w:bottom w:val="single" w:sz="4" w:space="0" w:color="auto"/>
            </w:tcBorders>
          </w:tcPr>
          <w:p w14:paraId="55A180F1" w14:textId="77777777" w:rsidR="001622F5" w:rsidRPr="009B3AEF" w:rsidRDefault="001622F5" w:rsidP="001622F5">
            <w:pPr>
              <w:contextualSpacing/>
              <w:rPr>
                <w:rFonts w:ascii="Times New Roman" w:hAnsi="Times New Roman"/>
                <w:bCs/>
              </w:rPr>
            </w:pPr>
          </w:p>
        </w:tc>
        <w:tc>
          <w:tcPr>
            <w:tcW w:w="812" w:type="pct"/>
            <w:tcBorders>
              <w:top w:val="nil"/>
              <w:bottom w:val="single" w:sz="4" w:space="0" w:color="auto"/>
            </w:tcBorders>
          </w:tcPr>
          <w:p w14:paraId="2FDC816E" w14:textId="77777777" w:rsidR="001622F5" w:rsidRPr="009B3AEF" w:rsidRDefault="001622F5" w:rsidP="001622F5">
            <w:pPr>
              <w:contextualSpacing/>
              <w:rPr>
                <w:rFonts w:ascii="Times New Roman" w:hAnsi="Times New Roman"/>
                <w:bCs/>
              </w:rPr>
            </w:pPr>
          </w:p>
        </w:tc>
        <w:tc>
          <w:tcPr>
            <w:tcW w:w="494" w:type="pct"/>
            <w:tcBorders>
              <w:top w:val="nil"/>
              <w:bottom w:val="single" w:sz="4" w:space="0" w:color="auto"/>
            </w:tcBorders>
          </w:tcPr>
          <w:p w14:paraId="395E37AC" w14:textId="77777777" w:rsidR="001622F5" w:rsidRPr="009B3AEF" w:rsidRDefault="001622F5" w:rsidP="001622F5">
            <w:pPr>
              <w:contextualSpacing/>
              <w:rPr>
                <w:rFonts w:ascii="Times New Roman" w:hAnsi="Times New Roman"/>
                <w:bCs/>
              </w:rPr>
            </w:pPr>
          </w:p>
        </w:tc>
        <w:tc>
          <w:tcPr>
            <w:tcW w:w="730" w:type="pct"/>
            <w:tcBorders>
              <w:top w:val="nil"/>
              <w:bottom w:val="single" w:sz="4" w:space="0" w:color="auto"/>
            </w:tcBorders>
          </w:tcPr>
          <w:p w14:paraId="6E8A8BBC" w14:textId="77777777" w:rsidR="001622F5" w:rsidRPr="009B3AEF" w:rsidRDefault="001622F5" w:rsidP="001622F5">
            <w:pPr>
              <w:contextualSpacing/>
              <w:rPr>
                <w:rFonts w:ascii="Times New Roman" w:hAnsi="Times New Roman"/>
                <w:bCs/>
              </w:rPr>
            </w:pPr>
          </w:p>
        </w:tc>
      </w:tr>
      <w:tr w:rsidR="001622F5" w14:paraId="06C316FC" w14:textId="77777777" w:rsidTr="001622F5">
        <w:tc>
          <w:tcPr>
            <w:tcW w:w="422" w:type="pct"/>
            <w:vMerge w:val="restart"/>
            <w:tcBorders>
              <w:top w:val="single" w:sz="4" w:space="0" w:color="auto"/>
            </w:tcBorders>
          </w:tcPr>
          <w:p w14:paraId="5E0BBEEF"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3.</w:t>
            </w:r>
          </w:p>
        </w:tc>
        <w:tc>
          <w:tcPr>
            <w:tcW w:w="606" w:type="pct"/>
            <w:vMerge w:val="restart"/>
            <w:tcBorders>
              <w:top w:val="single" w:sz="4" w:space="0" w:color="auto"/>
              <w:bottom w:val="nil"/>
            </w:tcBorders>
          </w:tcPr>
          <w:p w14:paraId="03A8B1CB" w14:textId="77777777" w:rsidR="001622F5" w:rsidRPr="009B3AEF" w:rsidRDefault="001622F5" w:rsidP="001622F5">
            <w:pPr>
              <w:contextualSpacing/>
              <w:rPr>
                <w:rFonts w:ascii="Times New Roman" w:hAnsi="Times New Roman"/>
                <w:bCs/>
              </w:rPr>
            </w:pPr>
            <w:r w:rsidRPr="009B3AEF">
              <w:rPr>
                <w:rFonts w:ascii="Times New Roman" w:hAnsi="Times New Roman"/>
                <w:bCs/>
              </w:rPr>
              <w:t>Surface Water Vs. Treated Water</w:t>
            </w:r>
          </w:p>
        </w:tc>
        <w:tc>
          <w:tcPr>
            <w:tcW w:w="788" w:type="pct"/>
            <w:tcBorders>
              <w:top w:val="single" w:sz="4" w:space="0" w:color="auto"/>
              <w:bottom w:val="nil"/>
            </w:tcBorders>
          </w:tcPr>
          <w:p w14:paraId="79B9597D"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SSW</w:t>
            </w:r>
          </w:p>
        </w:tc>
        <w:tc>
          <w:tcPr>
            <w:tcW w:w="787" w:type="pct"/>
            <w:tcBorders>
              <w:top w:val="single" w:sz="4" w:space="0" w:color="auto"/>
              <w:bottom w:val="nil"/>
            </w:tcBorders>
          </w:tcPr>
          <w:p w14:paraId="56AAF8B6"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244.891</w:t>
            </w:r>
          </w:p>
        </w:tc>
        <w:tc>
          <w:tcPr>
            <w:tcW w:w="363" w:type="pct"/>
            <w:tcBorders>
              <w:top w:val="single" w:sz="4" w:space="0" w:color="auto"/>
              <w:bottom w:val="nil"/>
            </w:tcBorders>
          </w:tcPr>
          <w:p w14:paraId="781431F5"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w:t>
            </w:r>
          </w:p>
        </w:tc>
        <w:tc>
          <w:tcPr>
            <w:tcW w:w="812" w:type="pct"/>
            <w:tcBorders>
              <w:top w:val="single" w:sz="4" w:space="0" w:color="auto"/>
              <w:bottom w:val="nil"/>
            </w:tcBorders>
          </w:tcPr>
          <w:p w14:paraId="39CD8E06"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244.891</w:t>
            </w:r>
          </w:p>
        </w:tc>
        <w:tc>
          <w:tcPr>
            <w:tcW w:w="494" w:type="pct"/>
            <w:tcBorders>
              <w:top w:val="single" w:sz="4" w:space="0" w:color="auto"/>
              <w:bottom w:val="nil"/>
            </w:tcBorders>
          </w:tcPr>
          <w:p w14:paraId="1DCE4623"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11.223</w:t>
            </w:r>
          </w:p>
        </w:tc>
        <w:tc>
          <w:tcPr>
            <w:tcW w:w="730" w:type="pct"/>
            <w:tcBorders>
              <w:top w:val="single" w:sz="4" w:space="0" w:color="auto"/>
            </w:tcBorders>
          </w:tcPr>
          <w:p w14:paraId="0D656AE9"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0.044</w:t>
            </w:r>
          </w:p>
        </w:tc>
      </w:tr>
      <w:tr w:rsidR="001622F5" w14:paraId="1F4CF9D1" w14:textId="77777777" w:rsidTr="001622F5">
        <w:tc>
          <w:tcPr>
            <w:tcW w:w="422" w:type="pct"/>
            <w:vMerge/>
          </w:tcPr>
          <w:p w14:paraId="055566B7" w14:textId="77777777" w:rsidR="001622F5" w:rsidRPr="009B3AEF" w:rsidRDefault="001622F5" w:rsidP="001622F5">
            <w:pPr>
              <w:contextualSpacing/>
              <w:rPr>
                <w:rFonts w:ascii="Times New Roman" w:hAnsi="Times New Roman"/>
                <w:bCs/>
              </w:rPr>
            </w:pPr>
          </w:p>
        </w:tc>
        <w:tc>
          <w:tcPr>
            <w:tcW w:w="606" w:type="pct"/>
            <w:vMerge/>
            <w:tcBorders>
              <w:top w:val="nil"/>
              <w:bottom w:val="nil"/>
            </w:tcBorders>
          </w:tcPr>
          <w:p w14:paraId="3852318E" w14:textId="77777777" w:rsidR="001622F5" w:rsidRPr="009B3AEF" w:rsidRDefault="001622F5" w:rsidP="001622F5">
            <w:pPr>
              <w:contextualSpacing/>
              <w:jc w:val="center"/>
              <w:rPr>
                <w:rFonts w:ascii="Times New Roman" w:hAnsi="Times New Roman"/>
                <w:bCs/>
              </w:rPr>
            </w:pPr>
          </w:p>
        </w:tc>
        <w:tc>
          <w:tcPr>
            <w:tcW w:w="788" w:type="pct"/>
            <w:tcBorders>
              <w:top w:val="nil"/>
              <w:bottom w:val="nil"/>
            </w:tcBorders>
          </w:tcPr>
          <w:p w14:paraId="4443DB78"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SSB</w:t>
            </w:r>
          </w:p>
        </w:tc>
        <w:tc>
          <w:tcPr>
            <w:tcW w:w="787" w:type="pct"/>
            <w:tcBorders>
              <w:top w:val="nil"/>
              <w:bottom w:val="nil"/>
            </w:tcBorders>
          </w:tcPr>
          <w:p w14:paraId="7A475DFC"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65.464</w:t>
            </w:r>
          </w:p>
        </w:tc>
        <w:tc>
          <w:tcPr>
            <w:tcW w:w="363" w:type="pct"/>
            <w:tcBorders>
              <w:top w:val="nil"/>
              <w:bottom w:val="nil"/>
            </w:tcBorders>
          </w:tcPr>
          <w:p w14:paraId="1EED931F"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3</w:t>
            </w:r>
          </w:p>
        </w:tc>
        <w:tc>
          <w:tcPr>
            <w:tcW w:w="812" w:type="pct"/>
            <w:tcBorders>
              <w:top w:val="nil"/>
              <w:bottom w:val="nil"/>
            </w:tcBorders>
          </w:tcPr>
          <w:p w14:paraId="1B31C86F"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21.821</w:t>
            </w:r>
          </w:p>
        </w:tc>
        <w:tc>
          <w:tcPr>
            <w:tcW w:w="494" w:type="pct"/>
            <w:tcBorders>
              <w:top w:val="nil"/>
              <w:bottom w:val="nil"/>
            </w:tcBorders>
          </w:tcPr>
          <w:p w14:paraId="5FE2F854" w14:textId="77777777" w:rsidR="001622F5" w:rsidRPr="009B3AEF" w:rsidRDefault="001622F5" w:rsidP="001622F5">
            <w:pPr>
              <w:contextualSpacing/>
              <w:jc w:val="center"/>
              <w:rPr>
                <w:rFonts w:ascii="Times New Roman" w:hAnsi="Times New Roman"/>
                <w:bCs/>
              </w:rPr>
            </w:pPr>
          </w:p>
        </w:tc>
        <w:tc>
          <w:tcPr>
            <w:tcW w:w="730" w:type="pct"/>
            <w:tcBorders>
              <w:bottom w:val="nil"/>
            </w:tcBorders>
          </w:tcPr>
          <w:p w14:paraId="215D9C96" w14:textId="77777777" w:rsidR="001622F5" w:rsidRPr="009B3AEF" w:rsidRDefault="001622F5" w:rsidP="001622F5">
            <w:pPr>
              <w:contextualSpacing/>
              <w:jc w:val="center"/>
              <w:rPr>
                <w:rFonts w:ascii="Times New Roman" w:hAnsi="Times New Roman"/>
                <w:bCs/>
              </w:rPr>
            </w:pPr>
          </w:p>
        </w:tc>
      </w:tr>
      <w:tr w:rsidR="001622F5" w14:paraId="2F9E78D2" w14:textId="77777777" w:rsidTr="001622F5">
        <w:tc>
          <w:tcPr>
            <w:tcW w:w="422" w:type="pct"/>
            <w:vMerge/>
          </w:tcPr>
          <w:p w14:paraId="671879CD" w14:textId="77777777" w:rsidR="001622F5" w:rsidRPr="009B3AEF" w:rsidRDefault="001622F5" w:rsidP="001622F5">
            <w:pPr>
              <w:contextualSpacing/>
              <w:rPr>
                <w:rFonts w:ascii="Times New Roman" w:hAnsi="Times New Roman"/>
                <w:bCs/>
              </w:rPr>
            </w:pPr>
          </w:p>
        </w:tc>
        <w:tc>
          <w:tcPr>
            <w:tcW w:w="606" w:type="pct"/>
            <w:vMerge/>
            <w:tcBorders>
              <w:top w:val="nil"/>
              <w:bottom w:val="single" w:sz="4" w:space="0" w:color="auto"/>
            </w:tcBorders>
          </w:tcPr>
          <w:p w14:paraId="31059420" w14:textId="77777777" w:rsidR="001622F5" w:rsidRPr="009B3AEF" w:rsidRDefault="001622F5" w:rsidP="001622F5">
            <w:pPr>
              <w:contextualSpacing/>
              <w:jc w:val="center"/>
              <w:rPr>
                <w:rFonts w:ascii="Times New Roman" w:hAnsi="Times New Roman"/>
                <w:bCs/>
              </w:rPr>
            </w:pPr>
          </w:p>
        </w:tc>
        <w:tc>
          <w:tcPr>
            <w:tcW w:w="788" w:type="pct"/>
            <w:tcBorders>
              <w:top w:val="nil"/>
              <w:bottom w:val="single" w:sz="4" w:space="0" w:color="auto"/>
            </w:tcBorders>
          </w:tcPr>
          <w:p w14:paraId="3E10639F" w14:textId="77777777" w:rsidR="001622F5" w:rsidRPr="009B3AEF" w:rsidRDefault="001622F5" w:rsidP="001622F5">
            <w:pPr>
              <w:contextualSpacing/>
              <w:jc w:val="center"/>
              <w:rPr>
                <w:rFonts w:ascii="Times New Roman" w:hAnsi="Times New Roman"/>
                <w:bCs/>
              </w:rPr>
            </w:pPr>
            <w:r w:rsidRPr="009B3AEF">
              <w:rPr>
                <w:rFonts w:ascii="Times New Roman" w:hAnsi="Times New Roman"/>
                <w:bCs/>
              </w:rPr>
              <w:t>SST</w:t>
            </w:r>
          </w:p>
        </w:tc>
        <w:tc>
          <w:tcPr>
            <w:tcW w:w="787" w:type="pct"/>
            <w:tcBorders>
              <w:top w:val="nil"/>
              <w:bottom w:val="single" w:sz="4" w:space="0" w:color="auto"/>
            </w:tcBorders>
          </w:tcPr>
          <w:p w14:paraId="15CA95FE"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310.354</w:t>
            </w:r>
          </w:p>
        </w:tc>
        <w:tc>
          <w:tcPr>
            <w:tcW w:w="363" w:type="pct"/>
            <w:tcBorders>
              <w:top w:val="nil"/>
              <w:bottom w:val="single" w:sz="4" w:space="0" w:color="auto"/>
            </w:tcBorders>
          </w:tcPr>
          <w:p w14:paraId="17E8F2D7" w14:textId="77777777" w:rsidR="001622F5" w:rsidRPr="009B3AEF" w:rsidRDefault="001622F5" w:rsidP="001622F5">
            <w:pPr>
              <w:contextualSpacing/>
              <w:jc w:val="center"/>
              <w:rPr>
                <w:rFonts w:ascii="Times New Roman" w:hAnsi="Times New Roman"/>
                <w:bCs/>
              </w:rPr>
            </w:pPr>
            <w:r w:rsidRPr="009B3AEF">
              <w:rPr>
                <w:rFonts w:ascii="Times New Roman" w:hAnsi="Times New Roman"/>
              </w:rPr>
              <w:t>4</w:t>
            </w:r>
          </w:p>
        </w:tc>
        <w:tc>
          <w:tcPr>
            <w:tcW w:w="812" w:type="pct"/>
            <w:tcBorders>
              <w:top w:val="nil"/>
              <w:bottom w:val="single" w:sz="4" w:space="0" w:color="auto"/>
            </w:tcBorders>
          </w:tcPr>
          <w:p w14:paraId="5EB8D31B" w14:textId="77777777" w:rsidR="001622F5" w:rsidRPr="009B3AEF" w:rsidRDefault="001622F5" w:rsidP="001622F5">
            <w:pPr>
              <w:contextualSpacing/>
              <w:jc w:val="center"/>
              <w:rPr>
                <w:rFonts w:ascii="Times New Roman" w:hAnsi="Times New Roman"/>
                <w:bCs/>
              </w:rPr>
            </w:pPr>
          </w:p>
        </w:tc>
        <w:tc>
          <w:tcPr>
            <w:tcW w:w="494" w:type="pct"/>
            <w:tcBorders>
              <w:top w:val="nil"/>
              <w:bottom w:val="single" w:sz="4" w:space="0" w:color="auto"/>
            </w:tcBorders>
          </w:tcPr>
          <w:p w14:paraId="7387AB11" w14:textId="77777777" w:rsidR="001622F5" w:rsidRPr="009B3AEF" w:rsidRDefault="001622F5" w:rsidP="001622F5">
            <w:pPr>
              <w:contextualSpacing/>
              <w:jc w:val="center"/>
              <w:rPr>
                <w:rFonts w:ascii="Times New Roman" w:hAnsi="Times New Roman"/>
                <w:bCs/>
              </w:rPr>
            </w:pPr>
          </w:p>
        </w:tc>
        <w:tc>
          <w:tcPr>
            <w:tcW w:w="730" w:type="pct"/>
            <w:tcBorders>
              <w:top w:val="nil"/>
              <w:bottom w:val="single" w:sz="4" w:space="0" w:color="auto"/>
            </w:tcBorders>
          </w:tcPr>
          <w:p w14:paraId="36BA9979" w14:textId="77777777" w:rsidR="001622F5" w:rsidRPr="009B3AEF" w:rsidRDefault="001622F5" w:rsidP="001622F5">
            <w:pPr>
              <w:contextualSpacing/>
              <w:jc w:val="center"/>
              <w:rPr>
                <w:rFonts w:ascii="Times New Roman" w:hAnsi="Times New Roman"/>
                <w:bCs/>
              </w:rPr>
            </w:pPr>
          </w:p>
        </w:tc>
      </w:tr>
      <w:tr w:rsidR="001622F5" w14:paraId="099654B5" w14:textId="77777777" w:rsidTr="001622F5">
        <w:tc>
          <w:tcPr>
            <w:tcW w:w="2602" w:type="pct"/>
            <w:gridSpan w:val="4"/>
          </w:tcPr>
          <w:p w14:paraId="6D8DDD2A" w14:textId="77777777" w:rsidR="001622F5" w:rsidRPr="009B3AEF" w:rsidRDefault="001622F5" w:rsidP="001622F5">
            <w:pPr>
              <w:contextualSpacing/>
              <w:rPr>
                <w:rFonts w:ascii="Times New Roman" w:hAnsi="Times New Roman"/>
                <w:bCs/>
              </w:rPr>
            </w:pPr>
            <w:r w:rsidRPr="009B3AEF">
              <w:rPr>
                <w:rFonts w:ascii="Times New Roman" w:hAnsi="Times New Roman"/>
              </w:rPr>
              <w:t>a Dependent Variable: Treated water</w:t>
            </w:r>
          </w:p>
        </w:tc>
        <w:tc>
          <w:tcPr>
            <w:tcW w:w="363" w:type="pct"/>
          </w:tcPr>
          <w:p w14:paraId="766A7C08" w14:textId="77777777" w:rsidR="001622F5" w:rsidRPr="009B3AEF" w:rsidRDefault="001622F5" w:rsidP="001622F5">
            <w:pPr>
              <w:contextualSpacing/>
              <w:rPr>
                <w:rFonts w:ascii="Times New Roman" w:hAnsi="Times New Roman"/>
                <w:bCs/>
              </w:rPr>
            </w:pPr>
          </w:p>
        </w:tc>
        <w:tc>
          <w:tcPr>
            <w:tcW w:w="812" w:type="pct"/>
          </w:tcPr>
          <w:p w14:paraId="6E252EC6" w14:textId="77777777" w:rsidR="001622F5" w:rsidRPr="009B3AEF" w:rsidRDefault="001622F5" w:rsidP="001622F5">
            <w:pPr>
              <w:contextualSpacing/>
              <w:rPr>
                <w:rFonts w:ascii="Times New Roman" w:hAnsi="Times New Roman"/>
                <w:bCs/>
              </w:rPr>
            </w:pPr>
          </w:p>
        </w:tc>
        <w:tc>
          <w:tcPr>
            <w:tcW w:w="494" w:type="pct"/>
          </w:tcPr>
          <w:p w14:paraId="2380431D" w14:textId="77777777" w:rsidR="001622F5" w:rsidRPr="009B3AEF" w:rsidRDefault="001622F5" w:rsidP="001622F5">
            <w:pPr>
              <w:contextualSpacing/>
              <w:rPr>
                <w:rFonts w:ascii="Times New Roman" w:hAnsi="Times New Roman"/>
                <w:bCs/>
              </w:rPr>
            </w:pPr>
          </w:p>
        </w:tc>
        <w:tc>
          <w:tcPr>
            <w:tcW w:w="730" w:type="pct"/>
            <w:tcBorders>
              <w:top w:val="single" w:sz="4" w:space="0" w:color="auto"/>
            </w:tcBorders>
          </w:tcPr>
          <w:p w14:paraId="0A9B79A5" w14:textId="77777777" w:rsidR="001622F5" w:rsidRPr="009B3AEF" w:rsidRDefault="001622F5" w:rsidP="001622F5">
            <w:pPr>
              <w:contextualSpacing/>
              <w:rPr>
                <w:rFonts w:ascii="Times New Roman" w:hAnsi="Times New Roman"/>
                <w:bCs/>
              </w:rPr>
            </w:pPr>
          </w:p>
        </w:tc>
      </w:tr>
      <w:tr w:rsidR="001622F5" w14:paraId="353B386E" w14:textId="77777777" w:rsidTr="001622F5">
        <w:tc>
          <w:tcPr>
            <w:tcW w:w="2602" w:type="pct"/>
            <w:gridSpan w:val="4"/>
          </w:tcPr>
          <w:p w14:paraId="673C6C35" w14:textId="77777777" w:rsidR="001622F5" w:rsidRPr="009B3AEF" w:rsidRDefault="001622F5" w:rsidP="001622F5">
            <w:pPr>
              <w:contextualSpacing/>
              <w:rPr>
                <w:rFonts w:ascii="Times New Roman" w:hAnsi="Times New Roman"/>
                <w:bCs/>
              </w:rPr>
            </w:pPr>
            <w:r w:rsidRPr="009B3AEF">
              <w:rPr>
                <w:rFonts w:ascii="Times New Roman" w:hAnsi="Times New Roman"/>
              </w:rPr>
              <w:t xml:space="preserve">b Predictors: (Constant), </w:t>
            </w:r>
            <w:r>
              <w:rPr>
                <w:rFonts w:ascii="Times New Roman" w:hAnsi="Times New Roman"/>
              </w:rPr>
              <w:t>River</w:t>
            </w:r>
            <w:r w:rsidRPr="009B3AEF">
              <w:rPr>
                <w:rFonts w:ascii="Times New Roman" w:hAnsi="Times New Roman"/>
              </w:rPr>
              <w:t xml:space="preserve"> water</w:t>
            </w:r>
          </w:p>
        </w:tc>
        <w:tc>
          <w:tcPr>
            <w:tcW w:w="363" w:type="pct"/>
          </w:tcPr>
          <w:p w14:paraId="14101FE6" w14:textId="77777777" w:rsidR="001622F5" w:rsidRPr="009B3AEF" w:rsidRDefault="001622F5" w:rsidP="001622F5">
            <w:pPr>
              <w:contextualSpacing/>
              <w:rPr>
                <w:rFonts w:ascii="Times New Roman" w:hAnsi="Times New Roman"/>
                <w:bCs/>
              </w:rPr>
            </w:pPr>
          </w:p>
        </w:tc>
        <w:tc>
          <w:tcPr>
            <w:tcW w:w="812" w:type="pct"/>
          </w:tcPr>
          <w:p w14:paraId="49A46A95" w14:textId="77777777" w:rsidR="001622F5" w:rsidRPr="009B3AEF" w:rsidRDefault="001622F5" w:rsidP="001622F5">
            <w:pPr>
              <w:contextualSpacing/>
              <w:rPr>
                <w:rFonts w:ascii="Times New Roman" w:hAnsi="Times New Roman"/>
                <w:bCs/>
              </w:rPr>
            </w:pPr>
          </w:p>
        </w:tc>
        <w:tc>
          <w:tcPr>
            <w:tcW w:w="494" w:type="pct"/>
          </w:tcPr>
          <w:p w14:paraId="4399C087" w14:textId="77777777" w:rsidR="001622F5" w:rsidRPr="009B3AEF" w:rsidRDefault="001622F5" w:rsidP="001622F5">
            <w:pPr>
              <w:contextualSpacing/>
              <w:rPr>
                <w:rFonts w:ascii="Times New Roman" w:hAnsi="Times New Roman"/>
                <w:bCs/>
              </w:rPr>
            </w:pPr>
          </w:p>
        </w:tc>
        <w:tc>
          <w:tcPr>
            <w:tcW w:w="730" w:type="pct"/>
          </w:tcPr>
          <w:p w14:paraId="7C7BD22E" w14:textId="77777777" w:rsidR="001622F5" w:rsidRPr="009B3AEF" w:rsidRDefault="001622F5" w:rsidP="001622F5">
            <w:pPr>
              <w:contextualSpacing/>
              <w:rPr>
                <w:rFonts w:ascii="Times New Roman" w:hAnsi="Times New Roman"/>
                <w:bCs/>
              </w:rPr>
            </w:pPr>
          </w:p>
        </w:tc>
      </w:tr>
    </w:tbl>
    <w:p w14:paraId="352F1A79" w14:textId="7AE8BE97" w:rsidR="001F239D" w:rsidRDefault="00285F82" w:rsidP="001622F5">
      <w:pPr>
        <w:spacing w:after="0" w:line="480" w:lineRule="auto"/>
        <w:jc w:val="center"/>
        <w:rPr>
          <w:rFonts w:ascii="Times New Roman" w:eastAsia="Times New Roman" w:hAnsi="Times New Roman" w:cs="Times New Roman"/>
          <w:color w:val="000000"/>
          <w:sz w:val="24"/>
          <w:szCs w:val="24"/>
          <w:lang w:val="en-US" w:eastAsia="en-MY"/>
        </w:rPr>
        <w:sectPr w:rsidR="001F239D" w:rsidSect="0002016D">
          <w:pgSz w:w="11906" w:h="16838"/>
          <w:pgMar w:top="1440" w:right="1440" w:bottom="1440" w:left="1440" w:header="708" w:footer="708" w:gutter="0"/>
          <w:lnNumType w:countBy="1" w:restart="continuous"/>
          <w:cols w:space="708"/>
          <w:docGrid w:linePitch="360"/>
        </w:sectPr>
      </w:pPr>
      <w:r w:rsidRPr="002412ED">
        <w:rPr>
          <w:rFonts w:ascii="Times New Roman" w:hAnsi="Times New Roman"/>
          <w:b/>
          <w:sz w:val="24"/>
          <w:szCs w:val="24"/>
        </w:rPr>
        <w:t>Table S-</w:t>
      </w:r>
      <w:r w:rsidR="001622F5">
        <w:rPr>
          <w:rFonts w:ascii="Times New Roman" w:hAnsi="Times New Roman"/>
          <w:b/>
          <w:sz w:val="24"/>
          <w:szCs w:val="24"/>
        </w:rPr>
        <w:t>4</w:t>
      </w:r>
      <w:r w:rsidRPr="002412ED">
        <w:rPr>
          <w:rFonts w:ascii="Times New Roman" w:hAnsi="Times New Roman"/>
          <w:b/>
          <w:sz w:val="24"/>
          <w:szCs w:val="24"/>
        </w:rPr>
        <w:t xml:space="preserve"> ANOVA analysis on NSAIDs in the urban water cycle.</w:t>
      </w:r>
    </w:p>
    <w:p w14:paraId="23411E80" w14:textId="7C4A26FE" w:rsidR="00647BE0" w:rsidRDefault="003F78B1" w:rsidP="001622F5">
      <w:pPr>
        <w:spacing w:after="0" w:line="240" w:lineRule="auto"/>
        <w:jc w:val="center"/>
        <w:rPr>
          <w:rFonts w:ascii="Times New Roman" w:hAnsi="Times New Roman"/>
          <w:b/>
          <w:sz w:val="24"/>
          <w:szCs w:val="24"/>
        </w:rPr>
      </w:pPr>
      <w:r w:rsidRPr="002412ED">
        <w:rPr>
          <w:rFonts w:ascii="Times New Roman" w:hAnsi="Times New Roman"/>
          <w:b/>
          <w:sz w:val="24"/>
          <w:szCs w:val="24"/>
        </w:rPr>
        <w:lastRenderedPageBreak/>
        <w:t>Table S-</w:t>
      </w:r>
      <w:r w:rsidR="00F23D3A">
        <w:rPr>
          <w:rFonts w:ascii="Times New Roman" w:hAnsi="Times New Roman"/>
          <w:b/>
          <w:sz w:val="24"/>
          <w:szCs w:val="24"/>
        </w:rPr>
        <w:t>5</w:t>
      </w:r>
      <w:r w:rsidRPr="002412ED">
        <w:rPr>
          <w:rFonts w:ascii="Times New Roman" w:hAnsi="Times New Roman"/>
          <w:b/>
          <w:sz w:val="24"/>
          <w:szCs w:val="24"/>
        </w:rPr>
        <w:t xml:space="preserve"> </w:t>
      </w:r>
      <w:r w:rsidRPr="00D250A9">
        <w:rPr>
          <w:rFonts w:ascii="Times New Roman" w:hAnsi="Times New Roman"/>
          <w:b/>
          <w:sz w:val="24"/>
          <w:szCs w:val="24"/>
        </w:rPr>
        <w:t xml:space="preserve">The Pearson correlation </w:t>
      </w:r>
      <w:r w:rsidRPr="002412ED">
        <w:rPr>
          <w:rFonts w:ascii="Times New Roman" w:hAnsi="Times New Roman"/>
          <w:b/>
          <w:sz w:val="24"/>
          <w:szCs w:val="24"/>
        </w:rPr>
        <w:t>on NSAIDs in the urban water cycle</w:t>
      </w:r>
    </w:p>
    <w:tbl>
      <w:tblPr>
        <w:tblStyle w:val="TableGrid"/>
        <w:tblpPr w:leftFromText="180" w:rightFromText="180" w:vertAnchor="text" w:horzAnchor="margin" w:tblpY="26"/>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1126"/>
        <w:gridCol w:w="1141"/>
        <w:gridCol w:w="2101"/>
        <w:gridCol w:w="1988"/>
      </w:tblGrid>
      <w:tr w:rsidR="001622F5" w:rsidRPr="003F78B1" w14:paraId="106E6C17" w14:textId="77777777" w:rsidTr="001622F5">
        <w:trPr>
          <w:trHeight w:val="339"/>
        </w:trPr>
        <w:tc>
          <w:tcPr>
            <w:tcW w:w="1479" w:type="pct"/>
            <w:tcBorders>
              <w:top w:val="single" w:sz="4" w:space="0" w:color="auto"/>
              <w:bottom w:val="single" w:sz="4" w:space="0" w:color="auto"/>
            </w:tcBorders>
          </w:tcPr>
          <w:p w14:paraId="7F9D3565" w14:textId="77777777" w:rsidR="001622F5" w:rsidRPr="003F78B1" w:rsidRDefault="001622F5" w:rsidP="001622F5">
            <w:pPr>
              <w:rPr>
                <w:rFonts w:ascii="Times New Roman" w:eastAsia="Times New Roman" w:hAnsi="Times New Roman"/>
                <w:b/>
                <w:color w:val="000000"/>
                <w:sz w:val="24"/>
                <w:szCs w:val="24"/>
              </w:rPr>
            </w:pPr>
            <w:r w:rsidRPr="003F78B1">
              <w:rPr>
                <w:rFonts w:ascii="Times New Roman" w:eastAsia="Times New Roman" w:hAnsi="Times New Roman"/>
                <w:b/>
                <w:color w:val="000000"/>
                <w:sz w:val="24"/>
                <w:szCs w:val="24"/>
              </w:rPr>
              <w:t>Pearson Correlation</w:t>
            </w:r>
          </w:p>
        </w:tc>
        <w:tc>
          <w:tcPr>
            <w:tcW w:w="624" w:type="pct"/>
            <w:tcBorders>
              <w:top w:val="single" w:sz="4" w:space="0" w:color="auto"/>
              <w:bottom w:val="single" w:sz="4" w:space="0" w:color="auto"/>
            </w:tcBorders>
          </w:tcPr>
          <w:p w14:paraId="4D165150" w14:textId="77777777" w:rsidR="001622F5" w:rsidRPr="003F78B1" w:rsidRDefault="001622F5" w:rsidP="001622F5">
            <w:pPr>
              <w:rPr>
                <w:rFonts w:ascii="Times New Roman" w:eastAsia="Times New Roman" w:hAnsi="Times New Roman"/>
                <w:b/>
                <w:color w:val="000000"/>
                <w:sz w:val="24"/>
                <w:szCs w:val="24"/>
              </w:rPr>
            </w:pPr>
            <w:r w:rsidRPr="003F78B1">
              <w:rPr>
                <w:rFonts w:ascii="Times New Roman" w:eastAsia="Times New Roman" w:hAnsi="Times New Roman"/>
                <w:b/>
                <w:color w:val="000000"/>
                <w:sz w:val="24"/>
                <w:szCs w:val="24"/>
              </w:rPr>
              <w:t>Influent</w:t>
            </w:r>
          </w:p>
        </w:tc>
        <w:tc>
          <w:tcPr>
            <w:tcW w:w="632" w:type="pct"/>
            <w:tcBorders>
              <w:top w:val="single" w:sz="4" w:space="0" w:color="auto"/>
              <w:bottom w:val="single" w:sz="4" w:space="0" w:color="auto"/>
            </w:tcBorders>
          </w:tcPr>
          <w:p w14:paraId="6C3A3A02" w14:textId="77777777" w:rsidR="001622F5" w:rsidRPr="003F78B1" w:rsidRDefault="001622F5" w:rsidP="001622F5">
            <w:pPr>
              <w:rPr>
                <w:rFonts w:ascii="Times New Roman" w:eastAsia="Times New Roman" w:hAnsi="Times New Roman"/>
                <w:b/>
                <w:color w:val="000000"/>
                <w:sz w:val="24"/>
                <w:szCs w:val="24"/>
              </w:rPr>
            </w:pPr>
            <w:r w:rsidRPr="003F78B1">
              <w:rPr>
                <w:rFonts w:ascii="Times New Roman" w:eastAsia="Times New Roman" w:hAnsi="Times New Roman"/>
                <w:b/>
                <w:color w:val="000000"/>
                <w:sz w:val="24"/>
                <w:szCs w:val="24"/>
              </w:rPr>
              <w:t>Effluent</w:t>
            </w:r>
          </w:p>
        </w:tc>
        <w:tc>
          <w:tcPr>
            <w:tcW w:w="1164" w:type="pct"/>
            <w:tcBorders>
              <w:top w:val="single" w:sz="4" w:space="0" w:color="auto"/>
              <w:bottom w:val="single" w:sz="4" w:space="0" w:color="auto"/>
            </w:tcBorders>
          </w:tcPr>
          <w:p w14:paraId="10D057AA" w14:textId="77777777" w:rsidR="001622F5" w:rsidRPr="003F78B1" w:rsidRDefault="001622F5" w:rsidP="001622F5">
            <w:pPr>
              <w:rPr>
                <w:rFonts w:ascii="Times New Roman" w:eastAsia="Times New Roman" w:hAnsi="Times New Roman"/>
                <w:b/>
                <w:color w:val="000000"/>
                <w:sz w:val="24"/>
                <w:szCs w:val="24"/>
              </w:rPr>
            </w:pPr>
            <w:r w:rsidRPr="003F78B1">
              <w:rPr>
                <w:rFonts w:ascii="Times New Roman" w:eastAsia="Times New Roman" w:hAnsi="Times New Roman"/>
                <w:b/>
                <w:color w:val="000000"/>
                <w:sz w:val="24"/>
                <w:szCs w:val="24"/>
              </w:rPr>
              <w:t>Surface Water</w:t>
            </w:r>
          </w:p>
        </w:tc>
        <w:tc>
          <w:tcPr>
            <w:tcW w:w="1102" w:type="pct"/>
            <w:tcBorders>
              <w:top w:val="single" w:sz="4" w:space="0" w:color="auto"/>
              <w:bottom w:val="single" w:sz="4" w:space="0" w:color="auto"/>
            </w:tcBorders>
          </w:tcPr>
          <w:p w14:paraId="23BFCED4" w14:textId="77777777" w:rsidR="001622F5" w:rsidRPr="003F78B1" w:rsidRDefault="001622F5" w:rsidP="001622F5">
            <w:pPr>
              <w:rPr>
                <w:rFonts w:ascii="Times New Roman" w:eastAsia="Times New Roman" w:hAnsi="Times New Roman"/>
                <w:b/>
                <w:color w:val="000000"/>
                <w:sz w:val="24"/>
                <w:szCs w:val="24"/>
              </w:rPr>
            </w:pPr>
            <w:r w:rsidRPr="003F78B1">
              <w:rPr>
                <w:rFonts w:ascii="Times New Roman" w:eastAsia="Times New Roman" w:hAnsi="Times New Roman"/>
                <w:b/>
                <w:color w:val="000000"/>
                <w:sz w:val="24"/>
                <w:szCs w:val="24"/>
              </w:rPr>
              <w:t>Treated Water</w:t>
            </w:r>
          </w:p>
        </w:tc>
      </w:tr>
      <w:tr w:rsidR="001622F5" w:rsidRPr="003F78B1" w14:paraId="7ED98F8F" w14:textId="77777777" w:rsidTr="001622F5">
        <w:trPr>
          <w:trHeight w:val="339"/>
        </w:trPr>
        <w:tc>
          <w:tcPr>
            <w:tcW w:w="1479" w:type="pct"/>
            <w:tcBorders>
              <w:top w:val="single" w:sz="4" w:space="0" w:color="auto"/>
            </w:tcBorders>
          </w:tcPr>
          <w:p w14:paraId="7735765C"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Influent</w:t>
            </w:r>
          </w:p>
        </w:tc>
        <w:tc>
          <w:tcPr>
            <w:tcW w:w="624" w:type="pct"/>
            <w:tcBorders>
              <w:top w:val="single" w:sz="4" w:space="0" w:color="auto"/>
            </w:tcBorders>
          </w:tcPr>
          <w:p w14:paraId="590A969D"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1.000</w:t>
            </w:r>
          </w:p>
        </w:tc>
        <w:tc>
          <w:tcPr>
            <w:tcW w:w="632" w:type="pct"/>
            <w:tcBorders>
              <w:top w:val="single" w:sz="4" w:space="0" w:color="auto"/>
            </w:tcBorders>
          </w:tcPr>
          <w:p w14:paraId="0640F428"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c>
          <w:tcPr>
            <w:tcW w:w="1164" w:type="pct"/>
            <w:tcBorders>
              <w:top w:val="single" w:sz="4" w:space="0" w:color="auto"/>
            </w:tcBorders>
          </w:tcPr>
          <w:p w14:paraId="04E36452"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c>
          <w:tcPr>
            <w:tcW w:w="1102" w:type="pct"/>
            <w:tcBorders>
              <w:top w:val="single" w:sz="4" w:space="0" w:color="auto"/>
            </w:tcBorders>
          </w:tcPr>
          <w:p w14:paraId="228C63B3"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r>
      <w:tr w:rsidR="001622F5" w:rsidRPr="003F78B1" w14:paraId="1BCA9088" w14:textId="77777777" w:rsidTr="001622F5">
        <w:trPr>
          <w:trHeight w:val="356"/>
        </w:trPr>
        <w:tc>
          <w:tcPr>
            <w:tcW w:w="1479" w:type="pct"/>
          </w:tcPr>
          <w:p w14:paraId="7B65505D"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Effluent</w:t>
            </w:r>
          </w:p>
        </w:tc>
        <w:tc>
          <w:tcPr>
            <w:tcW w:w="624" w:type="pct"/>
          </w:tcPr>
          <w:p w14:paraId="78C903E1"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0.994**</w:t>
            </w:r>
          </w:p>
        </w:tc>
        <w:tc>
          <w:tcPr>
            <w:tcW w:w="632" w:type="pct"/>
          </w:tcPr>
          <w:p w14:paraId="52A6D7EE"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1.000</w:t>
            </w:r>
          </w:p>
        </w:tc>
        <w:tc>
          <w:tcPr>
            <w:tcW w:w="1164" w:type="pct"/>
          </w:tcPr>
          <w:p w14:paraId="65B6B5C7"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c>
          <w:tcPr>
            <w:tcW w:w="1102" w:type="pct"/>
          </w:tcPr>
          <w:p w14:paraId="2D6877D9"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r>
      <w:tr w:rsidR="001622F5" w:rsidRPr="003F78B1" w14:paraId="3DF03733" w14:textId="77777777" w:rsidTr="001622F5">
        <w:trPr>
          <w:trHeight w:val="356"/>
        </w:trPr>
        <w:tc>
          <w:tcPr>
            <w:tcW w:w="1479" w:type="pct"/>
          </w:tcPr>
          <w:p w14:paraId="45177CEF"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Surface Water</w:t>
            </w:r>
          </w:p>
        </w:tc>
        <w:tc>
          <w:tcPr>
            <w:tcW w:w="624" w:type="pct"/>
          </w:tcPr>
          <w:p w14:paraId="3120BA43"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0.950*</w:t>
            </w:r>
          </w:p>
        </w:tc>
        <w:tc>
          <w:tcPr>
            <w:tcW w:w="632" w:type="pct"/>
          </w:tcPr>
          <w:p w14:paraId="4F966339"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0.921</w:t>
            </w:r>
          </w:p>
        </w:tc>
        <w:tc>
          <w:tcPr>
            <w:tcW w:w="1164" w:type="pct"/>
          </w:tcPr>
          <w:p w14:paraId="5769551A"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1.000</w:t>
            </w:r>
          </w:p>
        </w:tc>
        <w:tc>
          <w:tcPr>
            <w:tcW w:w="1102" w:type="pct"/>
          </w:tcPr>
          <w:p w14:paraId="7EF2A6A6"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w:t>
            </w:r>
          </w:p>
        </w:tc>
      </w:tr>
      <w:tr w:rsidR="001622F5" w:rsidRPr="003F78B1" w14:paraId="1BAEF1A8" w14:textId="77777777" w:rsidTr="001622F5">
        <w:trPr>
          <w:trHeight w:val="339"/>
        </w:trPr>
        <w:tc>
          <w:tcPr>
            <w:tcW w:w="1479" w:type="pct"/>
            <w:tcBorders>
              <w:bottom w:val="single" w:sz="4" w:space="0" w:color="auto"/>
            </w:tcBorders>
          </w:tcPr>
          <w:p w14:paraId="438273F9"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Treated Water</w:t>
            </w:r>
          </w:p>
        </w:tc>
        <w:tc>
          <w:tcPr>
            <w:tcW w:w="624" w:type="pct"/>
            <w:tcBorders>
              <w:bottom w:val="single" w:sz="4" w:space="0" w:color="auto"/>
            </w:tcBorders>
          </w:tcPr>
          <w:p w14:paraId="7EA7E621"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0.982**</w:t>
            </w:r>
          </w:p>
        </w:tc>
        <w:tc>
          <w:tcPr>
            <w:tcW w:w="632" w:type="pct"/>
            <w:tcBorders>
              <w:bottom w:val="single" w:sz="4" w:space="0" w:color="auto"/>
            </w:tcBorders>
          </w:tcPr>
          <w:p w14:paraId="0A34758E"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0.992**</w:t>
            </w:r>
          </w:p>
        </w:tc>
        <w:tc>
          <w:tcPr>
            <w:tcW w:w="1164" w:type="pct"/>
            <w:tcBorders>
              <w:bottom w:val="single" w:sz="4" w:space="0" w:color="auto"/>
            </w:tcBorders>
          </w:tcPr>
          <w:p w14:paraId="198E7BEA"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0.888*</w:t>
            </w:r>
          </w:p>
        </w:tc>
        <w:tc>
          <w:tcPr>
            <w:tcW w:w="1102" w:type="pct"/>
            <w:tcBorders>
              <w:bottom w:val="single" w:sz="4" w:space="0" w:color="auto"/>
            </w:tcBorders>
          </w:tcPr>
          <w:p w14:paraId="0A3483BF"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1.000</w:t>
            </w:r>
          </w:p>
        </w:tc>
      </w:tr>
      <w:tr w:rsidR="001622F5" w:rsidRPr="003F78B1" w14:paraId="7B740A00" w14:textId="77777777" w:rsidTr="001622F5">
        <w:trPr>
          <w:trHeight w:val="696"/>
        </w:trPr>
        <w:tc>
          <w:tcPr>
            <w:tcW w:w="5000" w:type="pct"/>
            <w:gridSpan w:val="5"/>
            <w:tcBorders>
              <w:top w:val="single" w:sz="4" w:space="0" w:color="auto"/>
              <w:bottom w:val="single" w:sz="4" w:space="0" w:color="auto"/>
            </w:tcBorders>
          </w:tcPr>
          <w:p w14:paraId="21798782"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 Correlation is significant at the 0.01 level (2-tailed).</w:t>
            </w:r>
          </w:p>
          <w:p w14:paraId="4E505906" w14:textId="77777777" w:rsidR="001622F5" w:rsidRPr="003F78B1" w:rsidRDefault="001622F5" w:rsidP="001622F5">
            <w:pPr>
              <w:rPr>
                <w:rFonts w:ascii="Times New Roman" w:eastAsia="Times New Roman" w:hAnsi="Times New Roman"/>
                <w:bCs/>
                <w:color w:val="000000"/>
                <w:sz w:val="24"/>
                <w:szCs w:val="24"/>
              </w:rPr>
            </w:pPr>
            <w:r w:rsidRPr="003F78B1">
              <w:rPr>
                <w:rFonts w:ascii="Times New Roman" w:eastAsia="Times New Roman" w:hAnsi="Times New Roman"/>
                <w:bCs/>
                <w:color w:val="000000"/>
                <w:sz w:val="24"/>
                <w:szCs w:val="24"/>
              </w:rPr>
              <w:t>* Correlation is significant at the 0.05 level (2-tailed).</w:t>
            </w:r>
          </w:p>
        </w:tc>
      </w:tr>
    </w:tbl>
    <w:p w14:paraId="1BB60AF4" w14:textId="73F3AEBE" w:rsidR="001622F5" w:rsidRDefault="001622F5" w:rsidP="001622F5">
      <w:pPr>
        <w:spacing w:after="0" w:line="240" w:lineRule="auto"/>
        <w:rPr>
          <w:rFonts w:ascii="Times New Roman" w:hAnsi="Times New Roman"/>
          <w:b/>
          <w:sz w:val="24"/>
          <w:szCs w:val="24"/>
        </w:rPr>
      </w:pPr>
    </w:p>
    <w:sectPr w:rsidR="001622F5" w:rsidSect="0002016D">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FCBA" w14:textId="77777777" w:rsidR="005675F2" w:rsidRDefault="005675F2" w:rsidP="00C27BFE">
      <w:pPr>
        <w:spacing w:after="0" w:line="240" w:lineRule="auto"/>
      </w:pPr>
      <w:r>
        <w:separator/>
      </w:r>
    </w:p>
  </w:endnote>
  <w:endnote w:type="continuationSeparator" w:id="0">
    <w:p w14:paraId="670CA717" w14:textId="77777777" w:rsidR="005675F2" w:rsidRDefault="005675F2" w:rsidP="00C2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CF07" w14:textId="77777777" w:rsidR="005675F2" w:rsidRDefault="005675F2" w:rsidP="00C27BFE">
      <w:pPr>
        <w:spacing w:after="0" w:line="240" w:lineRule="auto"/>
      </w:pPr>
      <w:r>
        <w:separator/>
      </w:r>
    </w:p>
  </w:footnote>
  <w:footnote w:type="continuationSeparator" w:id="0">
    <w:p w14:paraId="092A1F12" w14:textId="77777777" w:rsidR="005675F2" w:rsidRDefault="005675F2" w:rsidP="00C2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C496" w14:textId="6B454BCB" w:rsidR="00C27BFE" w:rsidRPr="005F08DC" w:rsidRDefault="002412ED">
    <w:pPr>
      <w:pStyle w:val="Header"/>
      <w:rPr>
        <w:rFonts w:ascii="Times New Roman" w:hAnsi="Times New Roman"/>
        <w:lang w:val="en-US"/>
      </w:rPr>
    </w:pPr>
    <w:r w:rsidRPr="005F08DC">
      <w:rPr>
        <w:rFonts w:ascii="Times New Roman" w:hAnsi="Times New Roman"/>
        <w:lang w:val="en-US"/>
      </w:rPr>
      <w:t>Supplementary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4C"/>
    <w:rsid w:val="000028C5"/>
    <w:rsid w:val="0002016D"/>
    <w:rsid w:val="00024363"/>
    <w:rsid w:val="00032D65"/>
    <w:rsid w:val="00073226"/>
    <w:rsid w:val="00111109"/>
    <w:rsid w:val="001203ED"/>
    <w:rsid w:val="0012604C"/>
    <w:rsid w:val="00135B8E"/>
    <w:rsid w:val="001622F5"/>
    <w:rsid w:val="001D05E8"/>
    <w:rsid w:val="001F239D"/>
    <w:rsid w:val="0022379E"/>
    <w:rsid w:val="002412ED"/>
    <w:rsid w:val="00263B85"/>
    <w:rsid w:val="00270F7C"/>
    <w:rsid w:val="00285F82"/>
    <w:rsid w:val="00286163"/>
    <w:rsid w:val="002B18BF"/>
    <w:rsid w:val="002E6473"/>
    <w:rsid w:val="00353571"/>
    <w:rsid w:val="003749DF"/>
    <w:rsid w:val="00384C67"/>
    <w:rsid w:val="003966B6"/>
    <w:rsid w:val="003F2B9C"/>
    <w:rsid w:val="003F58AC"/>
    <w:rsid w:val="003F78B1"/>
    <w:rsid w:val="00416CFD"/>
    <w:rsid w:val="00466C00"/>
    <w:rsid w:val="004808B0"/>
    <w:rsid w:val="0049571D"/>
    <w:rsid w:val="004B43D5"/>
    <w:rsid w:val="004D45A0"/>
    <w:rsid w:val="004E1D57"/>
    <w:rsid w:val="0053625C"/>
    <w:rsid w:val="00562D4D"/>
    <w:rsid w:val="005675F2"/>
    <w:rsid w:val="005F08DC"/>
    <w:rsid w:val="00617377"/>
    <w:rsid w:val="0062714B"/>
    <w:rsid w:val="00647BE0"/>
    <w:rsid w:val="006543EA"/>
    <w:rsid w:val="00671C1D"/>
    <w:rsid w:val="00680EE7"/>
    <w:rsid w:val="0068567D"/>
    <w:rsid w:val="006922A4"/>
    <w:rsid w:val="00694CE5"/>
    <w:rsid w:val="0069551F"/>
    <w:rsid w:val="006A3FC0"/>
    <w:rsid w:val="006A4366"/>
    <w:rsid w:val="00710297"/>
    <w:rsid w:val="00742357"/>
    <w:rsid w:val="007566A9"/>
    <w:rsid w:val="00796DBD"/>
    <w:rsid w:val="007A2573"/>
    <w:rsid w:val="008113D0"/>
    <w:rsid w:val="00822EEA"/>
    <w:rsid w:val="008A0CF5"/>
    <w:rsid w:val="00916A9E"/>
    <w:rsid w:val="0094796B"/>
    <w:rsid w:val="0097785B"/>
    <w:rsid w:val="009873BB"/>
    <w:rsid w:val="00992F8B"/>
    <w:rsid w:val="009A2333"/>
    <w:rsid w:val="009B6305"/>
    <w:rsid w:val="00A16BB8"/>
    <w:rsid w:val="00A220FF"/>
    <w:rsid w:val="00A413CA"/>
    <w:rsid w:val="00AC11CC"/>
    <w:rsid w:val="00AE0A4F"/>
    <w:rsid w:val="00AE5A9E"/>
    <w:rsid w:val="00B23768"/>
    <w:rsid w:val="00B26715"/>
    <w:rsid w:val="00B27320"/>
    <w:rsid w:val="00C27BFE"/>
    <w:rsid w:val="00C32798"/>
    <w:rsid w:val="00C813E0"/>
    <w:rsid w:val="00CA0C27"/>
    <w:rsid w:val="00CB4511"/>
    <w:rsid w:val="00CD74B2"/>
    <w:rsid w:val="00CF0638"/>
    <w:rsid w:val="00D01C39"/>
    <w:rsid w:val="00D10610"/>
    <w:rsid w:val="00D1655D"/>
    <w:rsid w:val="00D250A9"/>
    <w:rsid w:val="00D45963"/>
    <w:rsid w:val="00D6638C"/>
    <w:rsid w:val="00DB0522"/>
    <w:rsid w:val="00DC7AB8"/>
    <w:rsid w:val="00E001A9"/>
    <w:rsid w:val="00E37121"/>
    <w:rsid w:val="00E67579"/>
    <w:rsid w:val="00E85783"/>
    <w:rsid w:val="00E941F3"/>
    <w:rsid w:val="00EA2BFE"/>
    <w:rsid w:val="00EE089C"/>
    <w:rsid w:val="00F23D3A"/>
    <w:rsid w:val="00F24329"/>
    <w:rsid w:val="00F73FB6"/>
    <w:rsid w:val="00F867F8"/>
    <w:rsid w:val="00F91161"/>
    <w:rsid w:val="00FB102D"/>
    <w:rsid w:val="00FB1BC6"/>
    <w:rsid w:val="00FF1F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80BF"/>
  <w15:chartTrackingRefBased/>
  <w15:docId w15:val="{F2135A50-4FF8-4E93-9BF0-FC4B2CDB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8DC"/>
    <w:pPr>
      <w:spacing w:after="0" w:line="240" w:lineRule="auto"/>
      <w:ind w:firstLine="720"/>
    </w:pPr>
    <w:rPr>
      <w:rFonts w:ascii="Calibri" w:eastAsia="Calibri" w:hAnsi="Calibri" w:cs="Times New Roman"/>
      <w:lang w:val="en-US"/>
    </w:rPr>
  </w:style>
  <w:style w:type="paragraph" w:styleId="Header">
    <w:name w:val="header"/>
    <w:basedOn w:val="Normal"/>
    <w:link w:val="HeaderChar"/>
    <w:uiPriority w:val="99"/>
    <w:unhideWhenUsed/>
    <w:rsid w:val="0012604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2604C"/>
    <w:rPr>
      <w:rFonts w:ascii="Calibri" w:eastAsia="Calibri" w:hAnsi="Calibri" w:cs="Times New Roman"/>
    </w:rPr>
  </w:style>
  <w:style w:type="paragraph" w:styleId="Footer">
    <w:name w:val="footer"/>
    <w:basedOn w:val="Normal"/>
    <w:link w:val="FooterChar"/>
    <w:uiPriority w:val="99"/>
    <w:unhideWhenUsed/>
    <w:rsid w:val="0012604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2604C"/>
    <w:rPr>
      <w:rFonts w:ascii="Calibri" w:eastAsia="Calibri" w:hAnsi="Calibri" w:cs="Times New Roman"/>
    </w:rPr>
  </w:style>
  <w:style w:type="table" w:customStyle="1" w:styleId="TableGrid11">
    <w:name w:val="Table Grid11"/>
    <w:basedOn w:val="TableNormal"/>
    <w:next w:val="TableGrid"/>
    <w:uiPriority w:val="39"/>
    <w:rsid w:val="0012604C"/>
    <w:pPr>
      <w:spacing w:after="0" w:line="240" w:lineRule="auto"/>
    </w:pPr>
    <w:rPr>
      <w:rFonts w:ascii="Calibri" w:eastAsia="Calibri" w:hAnsi="Calibri" w:cs="Times New Roman"/>
      <w:sz w:val="20"/>
      <w:szCs w:val="20"/>
      <w:lang w:val="en-GB"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604C"/>
    <w:pPr>
      <w:spacing w:after="0" w:line="240" w:lineRule="auto"/>
    </w:pPr>
    <w:rPr>
      <w:rFonts w:ascii="Calibri" w:eastAsia="Calibri" w:hAnsi="Calibri"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2604C"/>
  </w:style>
  <w:style w:type="table" w:customStyle="1" w:styleId="TableGrid1">
    <w:name w:val="Table Grid1"/>
    <w:basedOn w:val="TableNormal"/>
    <w:next w:val="TableGrid"/>
    <w:uiPriority w:val="39"/>
    <w:rsid w:val="0012604C"/>
    <w:pPr>
      <w:spacing w:after="0" w:line="240" w:lineRule="auto"/>
    </w:pPr>
    <w:rPr>
      <w:rFonts w:ascii="Calibri" w:eastAsia="Calibri" w:hAnsi="Calibri"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604C"/>
    <w:pPr>
      <w:spacing w:after="0" w:line="240" w:lineRule="auto"/>
    </w:pPr>
    <w:rPr>
      <w:rFonts w:ascii="Calibri" w:eastAsia="Calibri" w:hAnsi="Calibri"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04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2604C"/>
    <w:rPr>
      <w:rFonts w:ascii="Segoe UI" w:eastAsia="Calibri" w:hAnsi="Segoe UI" w:cs="Segoe UI"/>
      <w:sz w:val="18"/>
      <w:szCs w:val="18"/>
    </w:rPr>
  </w:style>
  <w:style w:type="table" w:customStyle="1" w:styleId="TableGrid3">
    <w:name w:val="Table Grid3"/>
    <w:basedOn w:val="TableNormal"/>
    <w:next w:val="TableGrid"/>
    <w:uiPriority w:val="39"/>
    <w:rsid w:val="001260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60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604C"/>
    <w:rPr>
      <w:color w:val="0563C1"/>
      <w:u w:val="single"/>
    </w:rPr>
  </w:style>
  <w:style w:type="character" w:styleId="UnresolvedMention">
    <w:name w:val="Unresolved Mention"/>
    <w:uiPriority w:val="99"/>
    <w:semiHidden/>
    <w:unhideWhenUsed/>
    <w:rsid w:val="0012604C"/>
    <w:rPr>
      <w:color w:val="605E5C"/>
      <w:shd w:val="clear" w:color="auto" w:fill="E1DFDD"/>
    </w:rPr>
  </w:style>
  <w:style w:type="paragraph" w:styleId="ListParagraph">
    <w:name w:val="List Paragraph"/>
    <w:basedOn w:val="Normal"/>
    <w:uiPriority w:val="34"/>
    <w:qFormat/>
    <w:rsid w:val="00C27BFE"/>
    <w:pPr>
      <w:spacing w:after="200" w:line="276" w:lineRule="auto"/>
      <w:ind w:left="720"/>
      <w:contextualSpacing/>
    </w:pPr>
    <w:rPr>
      <w:rFonts w:ascii="Calibri" w:eastAsia="Calibri" w:hAnsi="Calibri" w:cs="Times New Roman"/>
    </w:rPr>
  </w:style>
  <w:style w:type="paragraph" w:customStyle="1" w:styleId="Normal1">
    <w:name w:val="Normal1"/>
    <w:rsid w:val="00CF0638"/>
    <w:pPr>
      <w:spacing w:after="0" w:line="276" w:lineRule="auto"/>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7102</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Sabariah Manan</dc:creator>
  <cp:keywords/>
  <dc:description/>
  <cp:lastModifiedBy>Zarimah</cp:lastModifiedBy>
  <cp:revision>31</cp:revision>
  <dcterms:created xsi:type="dcterms:W3CDTF">2021-07-08T10:22:00Z</dcterms:created>
  <dcterms:modified xsi:type="dcterms:W3CDTF">2022-11-25T01:34:00Z</dcterms:modified>
</cp:coreProperties>
</file>