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C2757" w14:textId="77777777" w:rsidR="00954D51" w:rsidRDefault="00954D51" w:rsidP="00297954">
      <w:pPr>
        <w:spacing w:line="360" w:lineRule="auto"/>
        <w:jc w:val="both"/>
        <w:rPr>
          <w:rFonts w:ascii="Times New Roman" w:hAnsi="Times New Roman" w:cs="Times New Roman"/>
          <w:szCs w:val="22"/>
        </w:rPr>
      </w:pPr>
      <w:r w:rsidRPr="00954D51">
        <w:rPr>
          <w:rFonts w:ascii="Times New Roman" w:hAnsi="Times New Roman" w:cs="Times New Roman"/>
          <w:b/>
          <w:bCs/>
          <w:szCs w:val="22"/>
        </w:rPr>
        <w:t>Supplementary</w:t>
      </w:r>
      <w:r>
        <w:rPr>
          <w:rFonts w:ascii="Times New Roman" w:hAnsi="Times New Roman" w:cs="Times New Roman"/>
          <w:b/>
          <w:bCs/>
          <w:szCs w:val="22"/>
        </w:rPr>
        <w:t xml:space="preserve"> Table 1: </w:t>
      </w:r>
      <w:r>
        <w:rPr>
          <w:rFonts w:ascii="Times New Roman" w:hAnsi="Times New Roman" w:cs="Times New Roman"/>
          <w:szCs w:val="22"/>
        </w:rPr>
        <w:t>Bio-physical parameters modified in APSIM-Oryza crop module in simulating the hybrid rice cultivars under different nitrogen fertilizer doses.</w:t>
      </w:r>
    </w:p>
    <w:tbl>
      <w:tblPr>
        <w:tblStyle w:val="TableGrid"/>
        <w:tblW w:w="5000" w:type="pct"/>
        <w:tblLook w:val="04A0" w:firstRow="1" w:lastRow="0" w:firstColumn="1" w:lastColumn="0" w:noHBand="0" w:noVBand="1"/>
      </w:tblPr>
      <w:tblGrid>
        <w:gridCol w:w="1199"/>
        <w:gridCol w:w="2817"/>
        <w:gridCol w:w="1372"/>
        <w:gridCol w:w="1209"/>
        <w:gridCol w:w="1209"/>
        <w:gridCol w:w="1436"/>
      </w:tblGrid>
      <w:tr w:rsidR="00954D51" w:rsidRPr="006D3276" w14:paraId="49E6AED1" w14:textId="77777777" w:rsidTr="00A93353">
        <w:tc>
          <w:tcPr>
            <w:tcW w:w="649" w:type="pct"/>
          </w:tcPr>
          <w:p w14:paraId="721E060D" w14:textId="77777777" w:rsidR="00954D51" w:rsidRPr="006D3276" w:rsidRDefault="00954D51" w:rsidP="000F6A5C">
            <w:pPr>
              <w:spacing w:line="360" w:lineRule="auto"/>
              <w:rPr>
                <w:rFonts w:ascii="Times New Roman" w:hAnsi="Times New Roman" w:cs="Times New Roman"/>
                <w:lang w:val="en-AU"/>
              </w:rPr>
            </w:pPr>
            <w:r w:rsidRPr="006D3276">
              <w:rPr>
                <w:rFonts w:ascii="Times New Roman" w:hAnsi="Times New Roman" w:cs="Times New Roman"/>
                <w:lang w:val="en-AU"/>
              </w:rPr>
              <w:t>APSIM Code</w:t>
            </w:r>
          </w:p>
        </w:tc>
        <w:tc>
          <w:tcPr>
            <w:tcW w:w="1524" w:type="pct"/>
          </w:tcPr>
          <w:p w14:paraId="04DB0B93" w14:textId="77777777" w:rsidR="00954D51" w:rsidRPr="006D3276" w:rsidRDefault="00954D51" w:rsidP="000F6A5C">
            <w:pPr>
              <w:spacing w:line="360" w:lineRule="auto"/>
              <w:rPr>
                <w:rFonts w:ascii="Times New Roman" w:hAnsi="Times New Roman" w:cs="Times New Roman"/>
                <w:lang w:val="en-AU"/>
              </w:rPr>
            </w:pPr>
            <w:r w:rsidRPr="006D3276">
              <w:rPr>
                <w:rFonts w:ascii="Times New Roman" w:hAnsi="Times New Roman" w:cs="Times New Roman"/>
                <w:lang w:val="en-AU"/>
              </w:rPr>
              <w:t xml:space="preserve">Description </w:t>
            </w:r>
          </w:p>
        </w:tc>
        <w:tc>
          <w:tcPr>
            <w:tcW w:w="742" w:type="pct"/>
          </w:tcPr>
          <w:p w14:paraId="6257BAC7" w14:textId="77777777" w:rsidR="00954D51" w:rsidRPr="006D3276" w:rsidRDefault="00954D51" w:rsidP="000F6A5C">
            <w:pPr>
              <w:spacing w:line="360" w:lineRule="auto"/>
              <w:rPr>
                <w:rFonts w:ascii="Times New Roman" w:hAnsi="Times New Roman" w:cs="Times New Roman"/>
                <w:lang w:val="en-AU"/>
              </w:rPr>
            </w:pPr>
            <w:r w:rsidRPr="006D3276">
              <w:rPr>
                <w:rFonts w:ascii="Times New Roman" w:hAnsi="Times New Roman" w:cs="Times New Roman"/>
                <w:lang w:val="en-AU"/>
              </w:rPr>
              <w:t>Unit</w:t>
            </w:r>
          </w:p>
        </w:tc>
        <w:tc>
          <w:tcPr>
            <w:tcW w:w="654" w:type="pct"/>
          </w:tcPr>
          <w:p w14:paraId="5AA53CDB" w14:textId="77777777" w:rsidR="00954D51" w:rsidRPr="006D3276" w:rsidRDefault="00954D51" w:rsidP="000F6A5C">
            <w:pPr>
              <w:spacing w:line="360" w:lineRule="auto"/>
              <w:rPr>
                <w:rFonts w:ascii="Times New Roman" w:hAnsi="Times New Roman" w:cs="Times New Roman"/>
                <w:lang w:val="en-AU"/>
              </w:rPr>
            </w:pPr>
            <w:r>
              <w:rPr>
                <w:rFonts w:ascii="Times New Roman" w:hAnsi="Times New Roman" w:cs="Times New Roman"/>
                <w:lang w:val="en-AU"/>
              </w:rPr>
              <w:t xml:space="preserve">Default Value in </w:t>
            </w:r>
            <w:r>
              <w:rPr>
                <w:rFonts w:ascii="Times New Roman" w:hAnsi="Times New Roman" w:cs="Times New Roman"/>
              </w:rPr>
              <w:t>APSIM-Oryza</w:t>
            </w:r>
          </w:p>
        </w:tc>
        <w:tc>
          <w:tcPr>
            <w:tcW w:w="654" w:type="pct"/>
          </w:tcPr>
          <w:p w14:paraId="101C923A" w14:textId="77777777" w:rsidR="00954D51" w:rsidRPr="006D3276" w:rsidRDefault="00954D51" w:rsidP="000F6A5C">
            <w:pPr>
              <w:spacing w:line="360" w:lineRule="auto"/>
              <w:rPr>
                <w:rFonts w:ascii="Times New Roman" w:hAnsi="Times New Roman" w:cs="Times New Roman"/>
                <w:lang w:val="en-AU"/>
              </w:rPr>
            </w:pPr>
            <w:r>
              <w:rPr>
                <w:rFonts w:ascii="Times New Roman" w:hAnsi="Times New Roman" w:cs="Times New Roman"/>
                <w:lang w:val="en-AU"/>
              </w:rPr>
              <w:t xml:space="preserve">Modified Value </w:t>
            </w:r>
          </w:p>
        </w:tc>
        <w:tc>
          <w:tcPr>
            <w:tcW w:w="778" w:type="pct"/>
          </w:tcPr>
          <w:p w14:paraId="3322676E" w14:textId="77777777" w:rsidR="00954D51" w:rsidRDefault="00954D51" w:rsidP="000F6A5C">
            <w:pPr>
              <w:spacing w:line="360" w:lineRule="auto"/>
              <w:rPr>
                <w:rFonts w:ascii="Times New Roman" w:hAnsi="Times New Roman" w:cs="Times New Roman"/>
                <w:lang w:val="en-AU"/>
              </w:rPr>
            </w:pPr>
            <w:r>
              <w:rPr>
                <w:rFonts w:ascii="Times New Roman" w:hAnsi="Times New Roman" w:cs="Times New Roman"/>
                <w:lang w:val="en-AU"/>
              </w:rPr>
              <w:t xml:space="preserve">Reference </w:t>
            </w:r>
          </w:p>
        </w:tc>
      </w:tr>
      <w:tr w:rsidR="00954D51" w:rsidRPr="006D3276" w14:paraId="6A718DB7" w14:textId="77777777" w:rsidTr="00A93353">
        <w:tc>
          <w:tcPr>
            <w:tcW w:w="649" w:type="pct"/>
          </w:tcPr>
          <w:p w14:paraId="31CD692F" w14:textId="77777777" w:rsidR="00954D51" w:rsidRPr="006D3276" w:rsidRDefault="00954D51" w:rsidP="000F6A5C">
            <w:pPr>
              <w:spacing w:line="360" w:lineRule="auto"/>
              <w:rPr>
                <w:rFonts w:ascii="Times New Roman" w:hAnsi="Times New Roman" w:cs="Times New Roman"/>
                <w:lang w:val="en-AU"/>
              </w:rPr>
            </w:pPr>
            <w:r w:rsidRPr="006D3276">
              <w:rPr>
                <w:rFonts w:ascii="Times New Roman" w:hAnsi="Times New Roman" w:cs="Times New Roman"/>
              </w:rPr>
              <w:t>RGRLMX</w:t>
            </w:r>
          </w:p>
        </w:tc>
        <w:tc>
          <w:tcPr>
            <w:tcW w:w="1524" w:type="pct"/>
          </w:tcPr>
          <w:p w14:paraId="30490113" w14:textId="77777777" w:rsidR="00954D51" w:rsidRPr="006D3276" w:rsidRDefault="00954D51" w:rsidP="000F6A5C">
            <w:pPr>
              <w:spacing w:line="360" w:lineRule="auto"/>
              <w:rPr>
                <w:rFonts w:ascii="Times New Roman" w:hAnsi="Times New Roman" w:cs="Times New Roman"/>
                <w:lang w:val="en-AU"/>
              </w:rPr>
            </w:pPr>
            <w:r w:rsidRPr="006D3276">
              <w:rPr>
                <w:rFonts w:ascii="Times New Roman" w:hAnsi="Times New Roman" w:cs="Times New Roman"/>
              </w:rPr>
              <w:t>Maximum relative growth rate of leaf area</w:t>
            </w:r>
          </w:p>
        </w:tc>
        <w:tc>
          <w:tcPr>
            <w:tcW w:w="742" w:type="pct"/>
          </w:tcPr>
          <w:p w14:paraId="7BBAF6F0" w14:textId="77777777" w:rsidR="00954D51" w:rsidRPr="006D3276" w:rsidRDefault="00954D51" w:rsidP="000F6A5C">
            <w:pPr>
              <w:spacing w:line="360" w:lineRule="auto"/>
              <w:rPr>
                <w:rFonts w:ascii="Times New Roman" w:hAnsi="Times New Roman" w:cs="Times New Roman"/>
                <w:lang w:val="en-AU"/>
              </w:rPr>
            </w:pPr>
            <w:r w:rsidRPr="006D3276">
              <w:rPr>
                <w:rFonts w:ascii="Times New Roman" w:hAnsi="Times New Roman" w:cs="Times New Roman"/>
                <w:lang w:val="en-AU"/>
              </w:rPr>
              <w:t>℃d</w:t>
            </w:r>
            <w:r w:rsidRPr="006D3276">
              <w:rPr>
                <w:rFonts w:ascii="Times New Roman" w:hAnsi="Times New Roman" w:cs="Times New Roman"/>
                <w:vertAlign w:val="superscript"/>
                <w:lang w:val="en-AU"/>
              </w:rPr>
              <w:t>-1</w:t>
            </w:r>
          </w:p>
        </w:tc>
        <w:tc>
          <w:tcPr>
            <w:tcW w:w="654" w:type="pct"/>
          </w:tcPr>
          <w:p w14:paraId="4EA04880" w14:textId="77777777" w:rsidR="00954D51" w:rsidRPr="006D3276" w:rsidRDefault="00954D51" w:rsidP="000F6A5C">
            <w:pPr>
              <w:spacing w:line="360" w:lineRule="auto"/>
              <w:rPr>
                <w:rFonts w:ascii="Times New Roman" w:hAnsi="Times New Roman" w:cs="Times New Roman"/>
                <w:lang w:val="en-AU"/>
              </w:rPr>
            </w:pPr>
            <w:r>
              <w:rPr>
                <w:rFonts w:ascii="Times New Roman" w:hAnsi="Times New Roman" w:cs="Times New Roman"/>
                <w:lang w:val="en-AU"/>
              </w:rPr>
              <w:t>0.0085</w:t>
            </w:r>
          </w:p>
        </w:tc>
        <w:tc>
          <w:tcPr>
            <w:tcW w:w="654" w:type="pct"/>
          </w:tcPr>
          <w:p w14:paraId="760A4551" w14:textId="77777777" w:rsidR="00954D51" w:rsidRPr="006D3276" w:rsidRDefault="00954D51" w:rsidP="000F6A5C">
            <w:pPr>
              <w:spacing w:line="360" w:lineRule="auto"/>
              <w:rPr>
                <w:rFonts w:ascii="Times New Roman" w:hAnsi="Times New Roman" w:cs="Times New Roman"/>
              </w:rPr>
            </w:pPr>
            <w:r w:rsidRPr="006D3276">
              <w:rPr>
                <w:rFonts w:ascii="Times New Roman" w:hAnsi="Times New Roman" w:cs="Times New Roman"/>
              </w:rPr>
              <w:t xml:space="preserve">0.0125  </w:t>
            </w:r>
          </w:p>
        </w:tc>
        <w:tc>
          <w:tcPr>
            <w:tcW w:w="778" w:type="pct"/>
          </w:tcPr>
          <w:p w14:paraId="03122712" w14:textId="77777777" w:rsidR="00954D51" w:rsidRPr="006D3276" w:rsidRDefault="00C91317" w:rsidP="000F6A5C">
            <w:pPr>
              <w:spacing w:line="360" w:lineRule="auto"/>
              <w:rPr>
                <w:rFonts w:ascii="Times New Roman" w:hAnsi="Times New Roman" w:cs="Times New Roman"/>
              </w:rPr>
            </w:pPr>
            <w:proofErr w:type="spellStart"/>
            <w:r>
              <w:rPr>
                <w:rFonts w:ascii="Times New Roman" w:hAnsi="Times New Roman" w:cs="Times New Roman"/>
              </w:rPr>
              <w:t>Bouman</w:t>
            </w:r>
            <w:proofErr w:type="spellEnd"/>
            <w:r>
              <w:rPr>
                <w:rFonts w:ascii="Times New Roman" w:hAnsi="Times New Roman" w:cs="Times New Roman"/>
              </w:rPr>
              <w:t xml:space="preserve"> (2001)</w:t>
            </w:r>
          </w:p>
        </w:tc>
      </w:tr>
      <w:tr w:rsidR="00954D51" w:rsidRPr="006D3276" w14:paraId="32F1D265" w14:textId="77777777" w:rsidTr="00A93353">
        <w:tc>
          <w:tcPr>
            <w:tcW w:w="649" w:type="pct"/>
          </w:tcPr>
          <w:p w14:paraId="21569DD2" w14:textId="77777777" w:rsidR="00954D51" w:rsidRPr="006D3276" w:rsidRDefault="00954D51" w:rsidP="000F6A5C">
            <w:pPr>
              <w:spacing w:line="360" w:lineRule="auto"/>
              <w:rPr>
                <w:rFonts w:ascii="Times New Roman" w:hAnsi="Times New Roman" w:cs="Times New Roman"/>
              </w:rPr>
            </w:pPr>
            <w:r w:rsidRPr="006D3276">
              <w:rPr>
                <w:rFonts w:ascii="Times New Roman" w:hAnsi="Times New Roman" w:cs="Times New Roman"/>
              </w:rPr>
              <w:t>RGRLMN</w:t>
            </w:r>
          </w:p>
        </w:tc>
        <w:tc>
          <w:tcPr>
            <w:tcW w:w="1524" w:type="pct"/>
          </w:tcPr>
          <w:p w14:paraId="12F140D5" w14:textId="77777777" w:rsidR="00954D51" w:rsidRPr="006D3276" w:rsidRDefault="00954D51" w:rsidP="000F6A5C">
            <w:pPr>
              <w:spacing w:line="360" w:lineRule="auto"/>
              <w:rPr>
                <w:rFonts w:ascii="Times New Roman" w:hAnsi="Times New Roman" w:cs="Times New Roman"/>
              </w:rPr>
            </w:pPr>
            <w:r w:rsidRPr="006D3276">
              <w:rPr>
                <w:rFonts w:ascii="Times New Roman" w:hAnsi="Times New Roman" w:cs="Times New Roman"/>
              </w:rPr>
              <w:t>Minimum relative growth rate of leaf area</w:t>
            </w:r>
          </w:p>
        </w:tc>
        <w:tc>
          <w:tcPr>
            <w:tcW w:w="742" w:type="pct"/>
          </w:tcPr>
          <w:p w14:paraId="4C50E00E" w14:textId="77777777" w:rsidR="00954D51" w:rsidRPr="006D3276" w:rsidRDefault="00954D51" w:rsidP="000F6A5C">
            <w:pPr>
              <w:spacing w:line="360" w:lineRule="auto"/>
              <w:rPr>
                <w:rFonts w:ascii="Times New Roman" w:hAnsi="Times New Roman" w:cs="Times New Roman"/>
                <w:lang w:val="en-AU"/>
              </w:rPr>
            </w:pPr>
            <w:r w:rsidRPr="006D3276">
              <w:rPr>
                <w:rFonts w:ascii="Times New Roman" w:hAnsi="Times New Roman" w:cs="Times New Roman"/>
                <w:lang w:val="en-AU"/>
              </w:rPr>
              <w:t>℃d</w:t>
            </w:r>
            <w:r w:rsidRPr="006D3276">
              <w:rPr>
                <w:rFonts w:ascii="Times New Roman" w:hAnsi="Times New Roman" w:cs="Times New Roman"/>
                <w:vertAlign w:val="superscript"/>
                <w:lang w:val="en-AU"/>
              </w:rPr>
              <w:t>-1</w:t>
            </w:r>
          </w:p>
        </w:tc>
        <w:tc>
          <w:tcPr>
            <w:tcW w:w="654" w:type="pct"/>
          </w:tcPr>
          <w:p w14:paraId="55B04729" w14:textId="77777777" w:rsidR="00954D51" w:rsidRDefault="00954D51" w:rsidP="000F6A5C">
            <w:pPr>
              <w:spacing w:line="360" w:lineRule="auto"/>
              <w:rPr>
                <w:rFonts w:ascii="Times New Roman" w:hAnsi="Times New Roman" w:cs="Times New Roman"/>
                <w:lang w:val="en-AU"/>
              </w:rPr>
            </w:pPr>
            <w:r>
              <w:rPr>
                <w:rFonts w:ascii="Times New Roman" w:hAnsi="Times New Roman" w:cs="Times New Roman"/>
                <w:lang w:val="en-AU"/>
              </w:rPr>
              <w:t>0.0040</w:t>
            </w:r>
          </w:p>
        </w:tc>
        <w:tc>
          <w:tcPr>
            <w:tcW w:w="654" w:type="pct"/>
          </w:tcPr>
          <w:p w14:paraId="66A6D412" w14:textId="77777777" w:rsidR="00954D51" w:rsidRPr="006D3276" w:rsidRDefault="00954D51" w:rsidP="000F6A5C">
            <w:pPr>
              <w:spacing w:line="360" w:lineRule="auto"/>
              <w:rPr>
                <w:rFonts w:ascii="Times New Roman" w:hAnsi="Times New Roman" w:cs="Times New Roman"/>
              </w:rPr>
            </w:pPr>
            <w:r w:rsidRPr="006D3276">
              <w:rPr>
                <w:rFonts w:ascii="Times New Roman" w:hAnsi="Times New Roman" w:cs="Times New Roman"/>
              </w:rPr>
              <w:t xml:space="preserve">0.0080  </w:t>
            </w:r>
          </w:p>
        </w:tc>
        <w:tc>
          <w:tcPr>
            <w:tcW w:w="778" w:type="pct"/>
          </w:tcPr>
          <w:p w14:paraId="2922B120" w14:textId="77777777" w:rsidR="00954D51" w:rsidRPr="006D3276" w:rsidRDefault="00445A93" w:rsidP="000F6A5C">
            <w:pPr>
              <w:spacing w:line="360" w:lineRule="auto"/>
              <w:rPr>
                <w:rFonts w:ascii="Times New Roman" w:hAnsi="Times New Roman" w:cs="Times New Roman"/>
              </w:rPr>
            </w:pPr>
            <w:r>
              <w:rPr>
                <w:rFonts w:ascii="Times New Roman" w:hAnsi="Times New Roman" w:cs="Times New Roman"/>
                <w:lang w:val="en-AU"/>
              </w:rPr>
              <w:fldChar w:fldCharType="begin" w:fldLock="1"/>
            </w:r>
            <w:r w:rsidR="00C91317">
              <w:rPr>
                <w:rFonts w:ascii="Times New Roman" w:hAnsi="Times New Roman" w:cs="Times New Roman"/>
                <w:lang w:val="en-AU"/>
              </w:rPr>
              <w:instrText>ADDIN CSL_CITATION {"citationItems":[{"id":"ITEM-1","itemData":{"DOI":"10.1007/s10705-022-10199-0","ISBN":"0123456789","ISSN":"1385-1314","abstract":"Efficient use of nitrogen (N) in agro-ecosystems can reduce environmental footprints, prevent degradation of natural resources and support sustainable intensification. The multifarious relationships between N application and performance of hybrid rice concerning productivity, profitability, energetics, and greenhouse gas emissions are rarely studied, particularly in coastal regions. We studied the outcomes of N application rates (0, 40, 80, 120, 160 and 200&amp;nbsp;kg&amp;nbsp;N&amp;nbsp;ha−1) on hybrid rice cultivation for two consecutive years (2017 and 2018) in the coastal region of West Bengal, India. Nitrogen application significantly (p ≤ 0.05) influenced the grain yield of hybrid rice and 160&amp;nbsp;kg&amp;nbsp;N&amp;nbsp;ha−1 produced the highest average grain and straw yield of 7.7 and 5.7&amp;nbsp;t&amp;nbsp;ha−1, respectively. The relationships between grain yield and N concentrations in stem (R2 = 0.98), leaf (R2 = 0.91) and grain (R2 = 0.99) were significant (p ≤ 0.05). The net energy gain was highest with 160&amp;nbsp;kg&amp;nbsp;N&amp;nbsp;ha−1 that declined with reduced N rates. The yield-scaled carbon footprint of hybrid rice cultivation decreased with successive increases in N application rates up to 160&amp;nbsp;kg&amp;nbsp;N&amp;nbsp;ha−1. The tested hybrid rice cultivar showed superior economic performance at 160 and 200&amp;nbsp;kg&amp;nbsp;N&amp;nbsp;ha−1, giving higher net returns and benefit:cost ratio over the other treatments. Based on regression analysis, the economic optimum N level was derived as 176&amp;nbsp;kg&amp;nbsp;N&amp;nbsp;ha−1 for hybrid rice cultivation at the coastal soils of West Bengal for higher productivity and profitability while maintaining higher net energy gain and lower carbon footprint. The study’s novelty lies in its focus on assessing N application for rice cultivation with an integrated approach of yield, economics and environmental sustainability.","author":[{"dropping-particle":"","family":"Banerjee","given":"Hirak","non-dropping-particle":"","parse-names":false,"suffix":""},{"dropping-particle":"","family":"Sarkar","given":"Sukamal","non-dropping-particle":"","parse-names":false,"suffix":""},{"dropping-particle":"","family":"Dutta","given":"Sudarshan Kr.","non-dropping-particle":"","parse-names":false,"suffix":""},{"dropping-particle":"","family":"Garai","given":"Sourav","non-dropping-particle":"","parse-names":false,"suffix":""},{"dropping-particle":"","family":"Ray","given":"Krishnendu","non-dropping-particle":"","parse-names":false,"suffix":""},{"dropping-particle":"","family":"Zingore","given":"Shamie","non-dropping-particle":"","parse-names":false,"suffix":""},{"dropping-particle":"","family":"Goswami","given":"Rupak","non-dropping-particle":"","parse-names":false,"suffix":""},{"dropping-particle":"","family":"Majumdar","given":"Kaushik","non-dropping-particle":"","parse-names":false,"suffix":""}],"container-title":"Nutrient Cycling in Agroecosystems","id":"ITEM-1","issue":"0123456789","issued":{"date-parts":[["2022","3","28"]]},"publisher":"Springer Netherlands","title":"Nitrogen management trade-offs in hybrid rice for agronomy, carbon, and energy efficiency","type":"article-journal"},"uris":["http://www.mendeley.com/documents/?uuid=61e1b084-c280-49e2-a96a-3d92162491f7"]},{"id":"ITEM-2","itemData":{"DOI":"10.1016/j.envsoft.2021.105239","ISSN":"13648152","author":[{"dropping-particle":"","family":"Sarkar","given":"Sukamal","non-dropping-particle":"","parse-names":false,"suffix":""},{"dropping-particle":"","family":"Gaydon","given":"Donald S","non-dropping-particle":"","parse-names":false,"suffix":""},{"dropping-particle":"","family":"Brahmachari","given":"Koushik","non-dropping-particle":"","parse-names":false,"suffix":""},{"dropping-particle":"","family":"Poulton","given":"Perry L","non-dropping-particle":"","parse-names":false,"suffix":""},{"dropping-particle":"","family":"Chaki","given":"Apurbo Kumar","non-dropping-particle":"","parse-names":false,"suffix":""},{"dropping-particle":"","family":"Ray","given":"Krishnendu","non-dropping-particle":"","parse-names":false,"suffix":""},{"dropping-particle":"","family":"Ghosh","given":"Argha","non-dropping-particle":"","parse-names":false,"suffix":""},{"dropping-particle":"","family":"Nanda","given":"Manoj Kr","non-dropping-particle":"","parse-names":false,"suffix":""},{"dropping-particle":"","family":"Mainuddin","given":"Mohammed","non-dropping-particle":"","parse-names":false,"suffix":""}],"container-title":"Environmental Modelling &amp; Software","id":"ITEM-2","issue":"December 2020","issued":{"date-parts":[["2022","1"]]},"page":"105239","publisher":"Elsevier Ltd","title":"Testing APSIM in a complex saline coastal cropping environment","type":"article-journal","volume":"147"},"uris":["http://www.mendeley.com/documents/?uuid=e2fff5d4-827e-459a-909c-08e60935a5e3"]}],"mendeley":{"formattedCitation":"(Banerjee et al., 2022; Sarkar et al., 2022)","plainTextFormattedCitation":"(Banerjee et al., 2022; Sarkar et al., 2022)","previouslyFormattedCitation":"(Banerjee et al., 2022; Sarkar et al., 2022)"},"properties":{"noteIndex":0},"schema":"https://github.com/citation-style-language/schema/raw/master/csl-citation.json"}</w:instrText>
            </w:r>
            <w:r>
              <w:rPr>
                <w:rFonts w:ascii="Times New Roman" w:hAnsi="Times New Roman" w:cs="Times New Roman"/>
                <w:lang w:val="en-AU"/>
              </w:rPr>
              <w:fldChar w:fldCharType="separate"/>
            </w:r>
            <w:r w:rsidR="00A93353" w:rsidRPr="00A93353">
              <w:rPr>
                <w:rFonts w:ascii="Times New Roman" w:hAnsi="Times New Roman" w:cs="Times New Roman"/>
                <w:noProof/>
                <w:lang w:val="en-AU"/>
              </w:rPr>
              <w:t>(Banerjee et al., 2022; Sarkar et al., 2022)</w:t>
            </w:r>
            <w:r>
              <w:rPr>
                <w:rFonts w:ascii="Times New Roman" w:hAnsi="Times New Roman" w:cs="Times New Roman"/>
                <w:lang w:val="en-AU"/>
              </w:rPr>
              <w:fldChar w:fldCharType="end"/>
            </w:r>
          </w:p>
        </w:tc>
      </w:tr>
      <w:tr w:rsidR="00954D51" w:rsidRPr="006D3276" w14:paraId="726ADD53" w14:textId="77777777" w:rsidTr="00A93353">
        <w:tc>
          <w:tcPr>
            <w:tcW w:w="649" w:type="pct"/>
          </w:tcPr>
          <w:p w14:paraId="02214842" w14:textId="77777777" w:rsidR="00954D51" w:rsidRPr="006D3276" w:rsidRDefault="00954D51" w:rsidP="000F6A5C">
            <w:pPr>
              <w:spacing w:line="360" w:lineRule="auto"/>
              <w:rPr>
                <w:rFonts w:ascii="Times New Roman" w:hAnsi="Times New Roman" w:cs="Times New Roman"/>
              </w:rPr>
            </w:pPr>
            <w:r w:rsidRPr="006D3276">
              <w:rPr>
                <w:rFonts w:ascii="Times New Roman" w:hAnsi="Times New Roman" w:cs="Times New Roman"/>
              </w:rPr>
              <w:t>NMAXUP</w:t>
            </w:r>
          </w:p>
        </w:tc>
        <w:tc>
          <w:tcPr>
            <w:tcW w:w="1524" w:type="pct"/>
          </w:tcPr>
          <w:p w14:paraId="51DDBE1A" w14:textId="77777777" w:rsidR="00954D51" w:rsidRPr="006D3276" w:rsidRDefault="00954D51" w:rsidP="000F6A5C">
            <w:pPr>
              <w:spacing w:line="360" w:lineRule="auto"/>
              <w:rPr>
                <w:rFonts w:ascii="Times New Roman" w:hAnsi="Times New Roman" w:cs="Times New Roman"/>
              </w:rPr>
            </w:pPr>
            <w:r w:rsidRPr="006D3276">
              <w:rPr>
                <w:rFonts w:ascii="Times New Roman" w:hAnsi="Times New Roman" w:cs="Times New Roman"/>
              </w:rPr>
              <w:t>Maximum daily N uptake</w:t>
            </w:r>
          </w:p>
        </w:tc>
        <w:tc>
          <w:tcPr>
            <w:tcW w:w="742" w:type="pct"/>
          </w:tcPr>
          <w:p w14:paraId="42D2D925" w14:textId="77777777" w:rsidR="00954D51" w:rsidRPr="006D3276" w:rsidRDefault="00954D51" w:rsidP="000F6A5C">
            <w:pPr>
              <w:spacing w:line="360" w:lineRule="auto"/>
              <w:rPr>
                <w:rFonts w:ascii="Times New Roman" w:hAnsi="Times New Roman" w:cs="Times New Roman"/>
                <w:lang w:val="en-AU"/>
              </w:rPr>
            </w:pPr>
            <w:r w:rsidRPr="006D3276">
              <w:rPr>
                <w:rFonts w:ascii="Times New Roman" w:hAnsi="Times New Roman" w:cs="Times New Roman"/>
              </w:rPr>
              <w:t>kg N ha</w:t>
            </w:r>
            <w:r w:rsidRPr="00954D51">
              <w:rPr>
                <w:rFonts w:ascii="Times New Roman" w:hAnsi="Times New Roman" w:cs="Times New Roman"/>
                <w:vertAlign w:val="superscript"/>
              </w:rPr>
              <w:t>-1</w:t>
            </w:r>
            <w:r w:rsidRPr="006D3276">
              <w:rPr>
                <w:rFonts w:ascii="Times New Roman" w:hAnsi="Times New Roman" w:cs="Times New Roman"/>
              </w:rPr>
              <w:t xml:space="preserve"> d</w:t>
            </w:r>
            <w:r w:rsidRPr="00954D51">
              <w:rPr>
                <w:rFonts w:ascii="Times New Roman" w:hAnsi="Times New Roman" w:cs="Times New Roman"/>
                <w:vertAlign w:val="superscript"/>
              </w:rPr>
              <w:t>-1</w:t>
            </w:r>
          </w:p>
        </w:tc>
        <w:tc>
          <w:tcPr>
            <w:tcW w:w="654" w:type="pct"/>
          </w:tcPr>
          <w:p w14:paraId="2DE127ED" w14:textId="77777777" w:rsidR="00954D51" w:rsidRDefault="00954D51" w:rsidP="000F6A5C">
            <w:pPr>
              <w:spacing w:line="360" w:lineRule="auto"/>
              <w:rPr>
                <w:rFonts w:ascii="Times New Roman" w:hAnsi="Times New Roman" w:cs="Times New Roman"/>
                <w:lang w:val="en-AU"/>
              </w:rPr>
            </w:pPr>
            <w:r>
              <w:rPr>
                <w:rFonts w:ascii="Times New Roman" w:hAnsi="Times New Roman" w:cs="Times New Roman"/>
                <w:lang w:val="en-AU"/>
              </w:rPr>
              <w:t>10</w:t>
            </w:r>
          </w:p>
        </w:tc>
        <w:tc>
          <w:tcPr>
            <w:tcW w:w="654" w:type="pct"/>
          </w:tcPr>
          <w:p w14:paraId="31C56D84" w14:textId="77777777" w:rsidR="00954D51" w:rsidRPr="006D3276" w:rsidRDefault="00954D51" w:rsidP="000F6A5C">
            <w:pPr>
              <w:spacing w:line="360" w:lineRule="auto"/>
              <w:rPr>
                <w:rFonts w:ascii="Times New Roman" w:hAnsi="Times New Roman" w:cs="Times New Roman"/>
              </w:rPr>
            </w:pPr>
            <w:r>
              <w:rPr>
                <w:rFonts w:ascii="Times New Roman" w:hAnsi="Times New Roman" w:cs="Times New Roman"/>
              </w:rPr>
              <w:t>14</w:t>
            </w:r>
          </w:p>
        </w:tc>
        <w:tc>
          <w:tcPr>
            <w:tcW w:w="778" w:type="pct"/>
          </w:tcPr>
          <w:p w14:paraId="7E072030" w14:textId="77777777" w:rsidR="00954D51" w:rsidRPr="006D3276" w:rsidRDefault="00445A93" w:rsidP="000F6A5C">
            <w:pPr>
              <w:spacing w:line="360" w:lineRule="auto"/>
              <w:rPr>
                <w:rFonts w:ascii="Times New Roman" w:hAnsi="Times New Roman" w:cs="Times New Roman"/>
              </w:rPr>
            </w:pPr>
            <w:r>
              <w:rPr>
                <w:rFonts w:ascii="Times New Roman" w:hAnsi="Times New Roman" w:cs="Times New Roman"/>
                <w:lang w:val="en-AU"/>
              </w:rPr>
              <w:fldChar w:fldCharType="begin" w:fldLock="1"/>
            </w:r>
            <w:r w:rsidR="00A93353">
              <w:rPr>
                <w:rFonts w:ascii="Times New Roman" w:hAnsi="Times New Roman" w:cs="Times New Roman"/>
                <w:lang w:val="en-AU"/>
              </w:rPr>
              <w:instrText>ADDIN CSL_CITATION {"citationItems":[{"id":"ITEM-1","itemData":{"DOI":"10.1007/s10705-022-10199-0","ISBN":"0123456789","ISSN":"1385-1314","abstract":"Efficient use of nitrogen (N) in agro-ecosystems can reduce environmental footprints, prevent degradation of natural resources and support sustainable intensification. The multifarious relationships between N application and performance of hybrid rice concerning productivity, profitability, energetics, and greenhouse gas emissions are rarely studied, particularly in coastal regions. We studied the outcomes of N application rates (0, 40, 80, 120, 160 and 200&amp;nbsp;kg&amp;nbsp;N&amp;nbsp;ha−1) on hybrid rice cultivation for two consecutive years (2017 and 2018) in the coastal region of West Bengal, India. Nitrogen application significantly (p ≤ 0.05) influenced the grain yield of hybrid rice and 160&amp;nbsp;kg&amp;nbsp;N&amp;nbsp;ha−1 produced the highest average grain and straw yield of 7.7 and 5.7&amp;nbsp;t&amp;nbsp;ha−1, respectively. The relationships between grain yield and N concentrations in stem (R2 = 0.98), leaf (R2 = 0.91) and grain (R2 = 0.99) were significant (p ≤ 0.05). The net energy gain was highest with 160&amp;nbsp;kg&amp;nbsp;N&amp;nbsp;ha−1 that declined with reduced N rates. The yield-scaled carbon footprint of hybrid rice cultivation decreased with successive increases in N application rates up to 160&amp;nbsp;kg&amp;nbsp;N&amp;nbsp;ha−1. The tested hybrid rice cultivar showed superior economic performance at 160 and 200&amp;nbsp;kg&amp;nbsp;N&amp;nbsp;ha−1, giving higher net returns and benefit:cost ratio over the other treatments. Based on regression analysis, the economic optimum N level was derived as 176&amp;nbsp;kg&amp;nbsp;N&amp;nbsp;ha−1 for hybrid rice cultivation at the coastal soils of West Bengal for higher productivity and profitability while maintaining higher net energy gain and lower carbon footprint. The study’s novelty lies in its focus on assessing N application for rice cultivation with an integrated approach of yield, economics and environmental sustainability.","author":[{"dropping-particle":"","family":"Banerjee","given":"Hirak","non-dropping-particle":"","parse-names":false,"suffix":""},{"dropping-particle":"","family":"Sarkar","given":"Sukamal","non-dropping-particle":"","parse-names":false,"suffix":""},{"dropping-particle":"","family":"Dutta","given":"Sudarshan Kr.","non-dropping-particle":"","parse-names":false,"suffix":""},{"dropping-particle":"","family":"Garai","given":"Sourav","non-dropping-particle":"","parse-names":false,"suffix":""},{"dropping-particle":"","family":"Ray","given":"Krishnendu","non-dropping-particle":"","parse-names":false,"suffix":""},{"dropping-particle":"","family":"Zingore","given":"Shamie","non-dropping-particle":"","parse-names":false,"suffix":""},{"dropping-particle":"","family":"Goswami","given":"Rupak","non-dropping-particle":"","parse-names":false,"suffix":""},{"dropping-particle":"","family":"Majumdar","given":"Kaushik","non-dropping-particle":"","parse-names":false,"suffix":""}],"container-title":"Nutrient Cycling in Agroecosystems","id":"ITEM-1","issue":"0123456789","issued":{"date-parts":[["2022","3","28"]]},"publisher":"Springer Netherlands","title":"Nitrogen management trade-offs in hybrid rice for agronomy, carbon, and energy efficiency","type":"article-journal"},"uris":["http://www.mendeley.com/documents/?uuid=61e1b084-c280-49e2-a96a-3d92162491f7"]}],"mendeley":{"formattedCitation":"(Banerjee et al., 2022)","plainTextFormattedCitation":"(Banerjee et al., 2022)","previouslyFormattedCitation":"(Banerjee et al., 2022)"},"properties":{"noteIndex":0},"schema":"https://github.com/citation-style-language/schema/raw/master/csl-citation.json"}</w:instrText>
            </w:r>
            <w:r>
              <w:rPr>
                <w:rFonts w:ascii="Times New Roman" w:hAnsi="Times New Roman" w:cs="Times New Roman"/>
                <w:lang w:val="en-AU"/>
              </w:rPr>
              <w:fldChar w:fldCharType="separate"/>
            </w:r>
            <w:r w:rsidR="00A93353" w:rsidRPr="00A93353">
              <w:rPr>
                <w:rFonts w:ascii="Times New Roman" w:hAnsi="Times New Roman" w:cs="Times New Roman"/>
                <w:noProof/>
                <w:lang w:val="en-AU"/>
              </w:rPr>
              <w:t>(Banerjee et al., 2022)</w:t>
            </w:r>
            <w:r>
              <w:rPr>
                <w:rFonts w:ascii="Times New Roman" w:hAnsi="Times New Roman" w:cs="Times New Roman"/>
                <w:lang w:val="en-AU"/>
              </w:rPr>
              <w:fldChar w:fldCharType="end"/>
            </w:r>
          </w:p>
        </w:tc>
      </w:tr>
      <w:tr w:rsidR="00954D51" w:rsidRPr="006D3276" w14:paraId="642BC24E" w14:textId="77777777" w:rsidTr="00A93353">
        <w:tc>
          <w:tcPr>
            <w:tcW w:w="649" w:type="pct"/>
          </w:tcPr>
          <w:p w14:paraId="08B9BE27" w14:textId="77777777" w:rsidR="00954D51" w:rsidRPr="006D3276" w:rsidRDefault="00954D51" w:rsidP="000F6A5C">
            <w:pPr>
              <w:spacing w:line="360" w:lineRule="auto"/>
              <w:rPr>
                <w:rFonts w:ascii="Times New Roman" w:hAnsi="Times New Roman" w:cs="Times New Roman"/>
                <w:lang w:val="en-AU"/>
              </w:rPr>
            </w:pPr>
            <w:r w:rsidRPr="006D3276">
              <w:rPr>
                <w:rFonts w:ascii="Times New Roman" w:hAnsi="Times New Roman" w:cs="Times New Roman"/>
              </w:rPr>
              <w:t>FNTRT</w:t>
            </w:r>
          </w:p>
        </w:tc>
        <w:tc>
          <w:tcPr>
            <w:tcW w:w="1524" w:type="pct"/>
          </w:tcPr>
          <w:p w14:paraId="58C0A187" w14:textId="77777777" w:rsidR="00954D51" w:rsidRPr="006D3276" w:rsidRDefault="00954D51" w:rsidP="000F6A5C">
            <w:pPr>
              <w:spacing w:line="360" w:lineRule="auto"/>
              <w:rPr>
                <w:rFonts w:ascii="Times New Roman" w:hAnsi="Times New Roman" w:cs="Times New Roman"/>
                <w:lang w:val="en-AU"/>
              </w:rPr>
            </w:pPr>
            <w:r w:rsidRPr="006D3276">
              <w:rPr>
                <w:rFonts w:ascii="Times New Roman" w:hAnsi="Times New Roman" w:cs="Times New Roman"/>
              </w:rPr>
              <w:t>Fraction N translocation from roots as (additional) fraction of total N translocation from stems and leaves (-)</w:t>
            </w:r>
          </w:p>
        </w:tc>
        <w:tc>
          <w:tcPr>
            <w:tcW w:w="742" w:type="pct"/>
          </w:tcPr>
          <w:p w14:paraId="71019D32" w14:textId="77777777" w:rsidR="00954D51" w:rsidRPr="006D3276" w:rsidRDefault="00954D51" w:rsidP="000F6A5C">
            <w:pPr>
              <w:spacing w:line="360" w:lineRule="auto"/>
              <w:rPr>
                <w:rFonts w:ascii="Times New Roman" w:hAnsi="Times New Roman" w:cs="Times New Roman"/>
                <w:lang w:val="en-AU"/>
              </w:rPr>
            </w:pPr>
          </w:p>
        </w:tc>
        <w:tc>
          <w:tcPr>
            <w:tcW w:w="654" w:type="pct"/>
          </w:tcPr>
          <w:p w14:paraId="65F8693E" w14:textId="77777777" w:rsidR="00954D51" w:rsidRPr="006D3276" w:rsidRDefault="00954D51" w:rsidP="000F6A5C">
            <w:pPr>
              <w:spacing w:line="360" w:lineRule="auto"/>
              <w:rPr>
                <w:rFonts w:ascii="Times New Roman" w:hAnsi="Times New Roman" w:cs="Times New Roman"/>
                <w:lang w:val="en-AU"/>
              </w:rPr>
            </w:pPr>
            <w:r>
              <w:rPr>
                <w:rFonts w:ascii="Times New Roman" w:hAnsi="Times New Roman" w:cs="Times New Roman"/>
                <w:lang w:val="en-AU"/>
              </w:rPr>
              <w:t>0.15</w:t>
            </w:r>
          </w:p>
        </w:tc>
        <w:tc>
          <w:tcPr>
            <w:tcW w:w="654" w:type="pct"/>
          </w:tcPr>
          <w:p w14:paraId="05EA66E3" w14:textId="77777777" w:rsidR="00954D51" w:rsidRPr="006D3276" w:rsidRDefault="00954D51" w:rsidP="000F6A5C">
            <w:pPr>
              <w:spacing w:line="360" w:lineRule="auto"/>
              <w:rPr>
                <w:rFonts w:ascii="Times New Roman" w:hAnsi="Times New Roman" w:cs="Times New Roman"/>
                <w:lang w:val="en-AU"/>
              </w:rPr>
            </w:pPr>
            <w:r>
              <w:rPr>
                <w:rFonts w:ascii="Times New Roman" w:hAnsi="Times New Roman" w:cs="Times New Roman"/>
                <w:lang w:val="en-AU"/>
              </w:rPr>
              <w:t>0.20</w:t>
            </w:r>
          </w:p>
        </w:tc>
        <w:tc>
          <w:tcPr>
            <w:tcW w:w="778" w:type="pct"/>
          </w:tcPr>
          <w:p w14:paraId="0C79D382" w14:textId="77777777" w:rsidR="00954D51" w:rsidRDefault="00A93353" w:rsidP="000F6A5C">
            <w:pPr>
              <w:spacing w:line="360" w:lineRule="auto"/>
              <w:rPr>
                <w:rFonts w:ascii="Times New Roman" w:hAnsi="Times New Roman" w:cs="Times New Roman"/>
                <w:lang w:val="en-AU"/>
              </w:rPr>
            </w:pPr>
            <w:r>
              <w:rPr>
                <w:rFonts w:ascii="Times New Roman" w:hAnsi="Times New Roman" w:cs="Times New Roman"/>
                <w:lang w:val="en-AU"/>
              </w:rPr>
              <w:t xml:space="preserve">Present Experimental </w:t>
            </w:r>
            <w:proofErr w:type="gramStart"/>
            <w:r>
              <w:rPr>
                <w:rFonts w:ascii="Times New Roman" w:hAnsi="Times New Roman" w:cs="Times New Roman"/>
                <w:lang w:val="en-AU"/>
              </w:rPr>
              <w:t>value  and</w:t>
            </w:r>
            <w:proofErr w:type="gramEnd"/>
            <w:r>
              <w:rPr>
                <w:rFonts w:ascii="Times New Roman" w:hAnsi="Times New Roman" w:cs="Times New Roman"/>
                <w:lang w:val="en-AU"/>
              </w:rPr>
              <w:t xml:space="preserve"> </w:t>
            </w:r>
          </w:p>
          <w:p w14:paraId="38B3C8D1" w14:textId="77777777" w:rsidR="00A93353" w:rsidRPr="006D3276" w:rsidRDefault="00445A93" w:rsidP="000F6A5C">
            <w:pPr>
              <w:spacing w:line="360" w:lineRule="auto"/>
              <w:rPr>
                <w:rFonts w:ascii="Times New Roman" w:hAnsi="Times New Roman" w:cs="Times New Roman"/>
                <w:lang w:val="en-AU"/>
              </w:rPr>
            </w:pPr>
            <w:r>
              <w:rPr>
                <w:rFonts w:ascii="Times New Roman" w:hAnsi="Times New Roman" w:cs="Times New Roman"/>
                <w:lang w:val="en-AU"/>
              </w:rPr>
              <w:fldChar w:fldCharType="begin" w:fldLock="1"/>
            </w:r>
            <w:r w:rsidR="00A93353">
              <w:rPr>
                <w:rFonts w:ascii="Times New Roman" w:hAnsi="Times New Roman" w:cs="Times New Roman"/>
                <w:lang w:val="en-AU"/>
              </w:rPr>
              <w:instrText>ADDIN CSL_CITATION {"citationItems":[{"id":"ITEM-1","itemData":{"DOI":"10.1007/s10705-022-10199-0","ISBN":"0123456789","ISSN":"1385-1314","abstract":"Efficient use of nitrogen (N) in agro-ecosystems can reduce environmental footprints, prevent degradation of natural resources and support sustainable intensification. The multifarious relationships between N application and performance of hybrid rice concerning productivity, profitability, energetics, and greenhouse gas emissions are rarely studied, particularly in coastal regions. We studied the outcomes of N application rates (0, 40, 80, 120, 160 and 200&amp;nbsp;kg&amp;nbsp;N&amp;nbsp;ha−1) on hybrid rice cultivation for two consecutive years (2017 and 2018) in the coastal region of West Bengal, India. Nitrogen application significantly (p ≤ 0.05) influenced the grain yield of hybrid rice and 160&amp;nbsp;kg&amp;nbsp;N&amp;nbsp;ha−1 produced the highest average grain and straw yield of 7.7 and 5.7&amp;nbsp;t&amp;nbsp;ha−1, respectively. The relationships between grain yield and N concentrations in stem (R2 = 0.98), leaf (R2 = 0.91) and grain (R2 = 0.99) were significant (p ≤ 0.05). The net energy gain was highest with 160&amp;nbsp;kg&amp;nbsp;N&amp;nbsp;ha−1 that declined with reduced N rates. The yield-scaled carbon footprint of hybrid rice cultivation decreased with successive increases in N application rates up to 160&amp;nbsp;kg&amp;nbsp;N&amp;nbsp;ha−1. The tested hybrid rice cultivar showed superior economic performance at 160 and 200&amp;nbsp;kg&amp;nbsp;N&amp;nbsp;ha−1, giving higher net returns and benefit:cost ratio over the other treatments. Based on regression analysis, the economic optimum N level was derived as 176&amp;nbsp;kg&amp;nbsp;N&amp;nbsp;ha−1 for hybrid rice cultivation at the coastal soils of West Bengal for higher productivity and profitability while maintaining higher net energy gain and lower carbon footprint. The study’s novelty lies in its focus on assessing N application for rice cultivation with an integrated approach of yield, economics and environmental sustainability.","author":[{"dropping-particle":"","family":"Banerjee","given":"Hirak","non-dropping-particle":"","parse-names":false,"suffix":""},{"dropping-particle":"","family":"Sarkar","given":"Sukamal","non-dropping-particle":"","parse-names":false,"suffix":""},{"dropping-particle":"","family":"Dutta","given":"Sudarshan Kr.","non-dropping-particle":"","parse-names":false,"suffix":""},{"dropping-particle":"","family":"Garai","given":"Sourav","non-dropping-particle":"","parse-names":false,"suffix":""},{"dropping-particle":"","family":"Ray","given":"Krishnendu","non-dropping-particle":"","parse-names":false,"suffix":""},{"dropping-particle":"","family":"Zingore","given":"Shamie","non-dropping-particle":"","parse-names":false,"suffix":""},{"dropping-particle":"","family":"Goswami","given":"Rupak","non-dropping-particle":"","parse-names":false,"suffix":""},{"dropping-particle":"","family":"Majumdar","given":"Kaushik","non-dropping-particle":"","parse-names":false,"suffix":""}],"container-title":"Nutrient Cycling in Agroecosystems","id":"ITEM-1","issue":"0123456789","issued":{"date-parts":[["2022","3","28"]]},"publisher":"Springer Netherlands","title":"Nitrogen management trade-offs in hybrid rice for agronomy, carbon, and energy efficiency","type":"article-journal"},"uris":["http://www.mendeley.com/documents/?uuid=61e1b084-c280-49e2-a96a-3d92162491f7"]}],"mendeley":{"formattedCitation":"(Banerjee et al., 2022)","plainTextFormattedCitation":"(Banerjee et al., 2022)","previouslyFormattedCitation":"(Banerjee et al., 2022)"},"properties":{"noteIndex":0},"schema":"https://github.com/citation-style-language/schema/raw/master/csl-citation.json"}</w:instrText>
            </w:r>
            <w:r>
              <w:rPr>
                <w:rFonts w:ascii="Times New Roman" w:hAnsi="Times New Roman" w:cs="Times New Roman"/>
                <w:lang w:val="en-AU"/>
              </w:rPr>
              <w:fldChar w:fldCharType="separate"/>
            </w:r>
            <w:r w:rsidR="00A93353" w:rsidRPr="00A93353">
              <w:rPr>
                <w:rFonts w:ascii="Times New Roman" w:hAnsi="Times New Roman" w:cs="Times New Roman"/>
                <w:noProof/>
                <w:lang w:val="en-AU"/>
              </w:rPr>
              <w:t>(Banerjee et al., 2022)</w:t>
            </w:r>
            <w:r>
              <w:rPr>
                <w:rFonts w:ascii="Times New Roman" w:hAnsi="Times New Roman" w:cs="Times New Roman"/>
                <w:lang w:val="en-AU"/>
              </w:rPr>
              <w:fldChar w:fldCharType="end"/>
            </w:r>
          </w:p>
        </w:tc>
      </w:tr>
      <w:tr w:rsidR="00A93353" w:rsidRPr="006D3276" w14:paraId="0C9DA568" w14:textId="77777777" w:rsidTr="00A93353">
        <w:tc>
          <w:tcPr>
            <w:tcW w:w="649" w:type="pct"/>
          </w:tcPr>
          <w:p w14:paraId="7DCA1601" w14:textId="77777777" w:rsidR="00A93353" w:rsidRPr="006D3276" w:rsidRDefault="00A93353" w:rsidP="00A93353">
            <w:pPr>
              <w:spacing w:line="360" w:lineRule="auto"/>
              <w:rPr>
                <w:rFonts w:ascii="Times New Roman" w:hAnsi="Times New Roman" w:cs="Times New Roman"/>
              </w:rPr>
            </w:pPr>
            <w:r>
              <w:rPr>
                <w:rFonts w:ascii="Times New Roman" w:hAnsi="Times New Roman" w:cs="Times New Roman"/>
              </w:rPr>
              <w:t>EFF</w:t>
            </w:r>
          </w:p>
        </w:tc>
        <w:tc>
          <w:tcPr>
            <w:tcW w:w="1524" w:type="pct"/>
          </w:tcPr>
          <w:p w14:paraId="4CBB253D" w14:textId="77777777" w:rsidR="00A93353" w:rsidRPr="006D3276" w:rsidRDefault="00A93353" w:rsidP="00A93353">
            <w:pPr>
              <w:spacing w:line="360" w:lineRule="auto"/>
              <w:rPr>
                <w:rFonts w:ascii="Times New Roman" w:hAnsi="Times New Roman" w:cs="Times New Roman"/>
              </w:rPr>
            </w:pPr>
            <w:r w:rsidRPr="006D3276">
              <w:rPr>
                <w:rFonts w:ascii="Times New Roman" w:hAnsi="Times New Roman" w:cs="Times New Roman"/>
              </w:rPr>
              <w:t>Table of light use effi</w:t>
            </w:r>
            <w:r>
              <w:rPr>
                <w:rFonts w:ascii="Times New Roman" w:hAnsi="Times New Roman" w:cs="Times New Roman"/>
              </w:rPr>
              <w:t>ciency</w:t>
            </w:r>
            <w:r w:rsidRPr="006D3276">
              <w:rPr>
                <w:rFonts w:ascii="Times New Roman" w:hAnsi="Times New Roman" w:cs="Times New Roman"/>
              </w:rPr>
              <w:t xml:space="preserve"> (-; Y-value) as a function of temperature</w:t>
            </w:r>
          </w:p>
        </w:tc>
        <w:tc>
          <w:tcPr>
            <w:tcW w:w="742" w:type="pct"/>
          </w:tcPr>
          <w:p w14:paraId="42907F2F" w14:textId="77777777" w:rsidR="00A93353" w:rsidRPr="006D3276" w:rsidRDefault="00A93353" w:rsidP="00A93353">
            <w:pPr>
              <w:spacing w:line="360" w:lineRule="auto"/>
              <w:rPr>
                <w:rFonts w:ascii="Times New Roman" w:hAnsi="Times New Roman" w:cs="Times New Roman"/>
                <w:lang w:val="en-AU"/>
              </w:rPr>
            </w:pPr>
            <w:r w:rsidRPr="006D3276">
              <w:rPr>
                <w:rFonts w:ascii="Times New Roman" w:hAnsi="Times New Roman" w:cs="Times New Roman"/>
                <w:lang w:val="en-AU"/>
              </w:rPr>
              <w:t>℃</w:t>
            </w:r>
          </w:p>
        </w:tc>
        <w:tc>
          <w:tcPr>
            <w:tcW w:w="654" w:type="pct"/>
          </w:tcPr>
          <w:p w14:paraId="3C6C08BD" w14:textId="77777777" w:rsidR="00A93353" w:rsidRDefault="00A93353" w:rsidP="00A93353">
            <w:pPr>
              <w:spacing w:line="360" w:lineRule="auto"/>
              <w:rPr>
                <w:rFonts w:ascii="Times New Roman" w:hAnsi="Times New Roman" w:cs="Times New Roman"/>
                <w:lang w:val="en-AU"/>
              </w:rPr>
            </w:pPr>
            <w:r w:rsidRPr="006D3276">
              <w:rPr>
                <w:rFonts w:ascii="Times New Roman" w:hAnsi="Times New Roman" w:cs="Times New Roman"/>
              </w:rPr>
              <w:t>0.54 0.54 0.36</w:t>
            </w:r>
          </w:p>
        </w:tc>
        <w:tc>
          <w:tcPr>
            <w:tcW w:w="654" w:type="pct"/>
          </w:tcPr>
          <w:p w14:paraId="17980C43" w14:textId="77777777" w:rsidR="00A93353" w:rsidRDefault="00A93353" w:rsidP="00A93353">
            <w:pPr>
              <w:spacing w:line="360" w:lineRule="auto"/>
              <w:rPr>
                <w:rFonts w:ascii="Times New Roman" w:hAnsi="Times New Roman" w:cs="Times New Roman"/>
                <w:lang w:val="en-AU"/>
              </w:rPr>
            </w:pPr>
            <w:r w:rsidRPr="006D3276">
              <w:rPr>
                <w:rFonts w:ascii="Times New Roman" w:hAnsi="Times New Roman" w:cs="Times New Roman"/>
              </w:rPr>
              <w:t>0.54 0.60 0.46</w:t>
            </w:r>
          </w:p>
        </w:tc>
        <w:tc>
          <w:tcPr>
            <w:tcW w:w="778" w:type="pct"/>
          </w:tcPr>
          <w:p w14:paraId="3F1B1266" w14:textId="77777777" w:rsidR="00A93353" w:rsidRPr="006D3276" w:rsidRDefault="00A93353" w:rsidP="00A93353">
            <w:pPr>
              <w:spacing w:line="360" w:lineRule="auto"/>
              <w:rPr>
                <w:rFonts w:ascii="Times New Roman" w:hAnsi="Times New Roman" w:cs="Times New Roman"/>
                <w:lang w:val="en-AU"/>
              </w:rPr>
            </w:pPr>
            <w:r w:rsidRPr="00F75A5A">
              <w:rPr>
                <w:rFonts w:ascii="Times New Roman" w:hAnsi="Times New Roman" w:cs="Times New Roman"/>
                <w:lang w:val="en-AU"/>
              </w:rPr>
              <w:t xml:space="preserve">Present Experimental value </w:t>
            </w:r>
          </w:p>
        </w:tc>
      </w:tr>
      <w:tr w:rsidR="00A93353" w:rsidRPr="006D3276" w14:paraId="589A7AE1" w14:textId="77777777" w:rsidTr="00A93353">
        <w:tc>
          <w:tcPr>
            <w:tcW w:w="649" w:type="pct"/>
          </w:tcPr>
          <w:p w14:paraId="16DF2BCC" w14:textId="77777777" w:rsidR="00A93353" w:rsidRPr="006D3276" w:rsidRDefault="00A93353" w:rsidP="00A93353">
            <w:pPr>
              <w:spacing w:line="360" w:lineRule="auto"/>
              <w:rPr>
                <w:rFonts w:ascii="Times New Roman" w:hAnsi="Times New Roman" w:cs="Times New Roman"/>
                <w:lang w:val="en-AU"/>
              </w:rPr>
            </w:pPr>
            <w:r>
              <w:rPr>
                <w:rFonts w:ascii="Times New Roman" w:hAnsi="Times New Roman" w:cs="Times New Roman"/>
                <w:lang w:val="en-AU"/>
              </w:rPr>
              <w:t>FSH</w:t>
            </w:r>
          </w:p>
        </w:tc>
        <w:tc>
          <w:tcPr>
            <w:tcW w:w="1524" w:type="pct"/>
          </w:tcPr>
          <w:p w14:paraId="0AA0009D" w14:textId="77777777" w:rsidR="00A93353" w:rsidRPr="006D3276" w:rsidRDefault="00A93353" w:rsidP="00A93353">
            <w:pPr>
              <w:spacing w:line="360" w:lineRule="auto"/>
              <w:rPr>
                <w:rFonts w:ascii="Times New Roman" w:hAnsi="Times New Roman" w:cs="Times New Roman"/>
                <w:lang w:val="en-AU"/>
              </w:rPr>
            </w:pPr>
            <w:r w:rsidRPr="006D3276">
              <w:rPr>
                <w:rFonts w:ascii="Times New Roman" w:hAnsi="Times New Roman" w:cs="Times New Roman"/>
              </w:rPr>
              <w:t>Table of fraction total dry matter partitioned to the shoot as a function of development stage (-; X value):</w:t>
            </w:r>
          </w:p>
        </w:tc>
        <w:tc>
          <w:tcPr>
            <w:tcW w:w="742" w:type="pct"/>
          </w:tcPr>
          <w:p w14:paraId="37442FCC" w14:textId="77777777" w:rsidR="00A93353" w:rsidRPr="006D3276" w:rsidRDefault="00A93353" w:rsidP="00A93353">
            <w:pPr>
              <w:spacing w:line="360" w:lineRule="auto"/>
              <w:rPr>
                <w:rFonts w:ascii="Times New Roman" w:hAnsi="Times New Roman" w:cs="Times New Roman"/>
                <w:lang w:val="en-AU"/>
              </w:rPr>
            </w:pPr>
            <w:r>
              <w:rPr>
                <w:rFonts w:ascii="Times New Roman" w:hAnsi="Times New Roman" w:cs="Times New Roman"/>
                <w:lang w:val="en-AU"/>
              </w:rPr>
              <w:t>-</w:t>
            </w:r>
          </w:p>
        </w:tc>
        <w:tc>
          <w:tcPr>
            <w:tcW w:w="654" w:type="pct"/>
          </w:tcPr>
          <w:p w14:paraId="4DEA77C1" w14:textId="77777777" w:rsidR="00A93353" w:rsidRPr="006D3276" w:rsidRDefault="00A93353" w:rsidP="00A93353">
            <w:pPr>
              <w:spacing w:line="360" w:lineRule="auto"/>
              <w:rPr>
                <w:rFonts w:ascii="Times New Roman" w:hAnsi="Times New Roman" w:cs="Times New Roman"/>
                <w:lang w:val="en-AU"/>
              </w:rPr>
            </w:pPr>
            <w:r w:rsidRPr="006D3276">
              <w:rPr>
                <w:rFonts w:ascii="Times New Roman" w:hAnsi="Times New Roman" w:cs="Times New Roman"/>
              </w:rPr>
              <w:t>0.50 0.75 1.00 1.00</w:t>
            </w:r>
          </w:p>
        </w:tc>
        <w:tc>
          <w:tcPr>
            <w:tcW w:w="654" w:type="pct"/>
          </w:tcPr>
          <w:p w14:paraId="37010E5E" w14:textId="77777777" w:rsidR="00A93353" w:rsidRPr="006D3276" w:rsidRDefault="00A93353" w:rsidP="00A93353">
            <w:pPr>
              <w:spacing w:line="360" w:lineRule="auto"/>
              <w:rPr>
                <w:rFonts w:ascii="Times New Roman" w:hAnsi="Times New Roman" w:cs="Times New Roman"/>
              </w:rPr>
            </w:pPr>
            <w:r w:rsidRPr="006D3276">
              <w:rPr>
                <w:rFonts w:ascii="Times New Roman" w:hAnsi="Times New Roman" w:cs="Times New Roman"/>
              </w:rPr>
              <w:t>0.47 0.80 1.00 1.00</w:t>
            </w:r>
          </w:p>
        </w:tc>
        <w:tc>
          <w:tcPr>
            <w:tcW w:w="778" w:type="pct"/>
          </w:tcPr>
          <w:p w14:paraId="3E90EB2A" w14:textId="77777777" w:rsidR="00A93353" w:rsidRPr="006D3276" w:rsidRDefault="00A93353" w:rsidP="00A93353">
            <w:pPr>
              <w:spacing w:line="360" w:lineRule="auto"/>
              <w:rPr>
                <w:rFonts w:ascii="Times New Roman" w:hAnsi="Times New Roman" w:cs="Times New Roman"/>
              </w:rPr>
            </w:pPr>
            <w:r w:rsidRPr="00F75A5A">
              <w:rPr>
                <w:rFonts w:ascii="Times New Roman" w:hAnsi="Times New Roman" w:cs="Times New Roman"/>
                <w:lang w:val="en-AU"/>
              </w:rPr>
              <w:t xml:space="preserve">Present Experimental value </w:t>
            </w:r>
          </w:p>
        </w:tc>
      </w:tr>
    </w:tbl>
    <w:p w14:paraId="3968F4A9" w14:textId="77777777" w:rsidR="003204F8" w:rsidRDefault="00FE3F53" w:rsidP="00391F06">
      <w:pPr>
        <w:spacing w:line="360" w:lineRule="auto"/>
        <w:rPr>
          <w:rFonts w:ascii="Times New Roman" w:hAnsi="Times New Roman" w:cs="Times New Roman"/>
          <w:szCs w:val="22"/>
        </w:rPr>
      </w:pPr>
      <w:r>
        <w:rPr>
          <w:rFonts w:ascii="Times New Roman" w:hAnsi="Times New Roman" w:cs="Times New Roman"/>
          <w:szCs w:val="22"/>
        </w:rPr>
        <w:t xml:space="preserve">Reference </w:t>
      </w:r>
    </w:p>
    <w:p w14:paraId="0A7ED8F4" w14:textId="77777777" w:rsidR="00C91317" w:rsidRDefault="00C91317" w:rsidP="00C91317">
      <w:pPr>
        <w:spacing w:after="0" w:line="276" w:lineRule="auto"/>
        <w:jc w:val="both"/>
        <w:rPr>
          <w:rFonts w:ascii="Times New Roman" w:hAnsi="Times New Roman" w:cs="Times New Roman"/>
          <w:szCs w:val="22"/>
        </w:rPr>
      </w:pPr>
      <w:proofErr w:type="spellStart"/>
      <w:r w:rsidRPr="00C91317">
        <w:rPr>
          <w:rFonts w:ascii="Times New Roman" w:hAnsi="Times New Roman" w:cs="Times New Roman"/>
          <w:szCs w:val="22"/>
        </w:rPr>
        <w:t>Bouman</w:t>
      </w:r>
      <w:proofErr w:type="spellEnd"/>
      <w:r w:rsidRPr="00C91317">
        <w:rPr>
          <w:rFonts w:ascii="Times New Roman" w:hAnsi="Times New Roman" w:cs="Times New Roman"/>
          <w:szCs w:val="22"/>
        </w:rPr>
        <w:t xml:space="preserve">, B. A. M. (2001). ORYZA2000: </w:t>
      </w:r>
      <w:proofErr w:type="spellStart"/>
      <w:r w:rsidRPr="00C91317">
        <w:rPr>
          <w:rFonts w:ascii="Times New Roman" w:hAnsi="Times New Roman" w:cs="Times New Roman"/>
          <w:szCs w:val="22"/>
        </w:rPr>
        <w:t>modeling</w:t>
      </w:r>
      <w:proofErr w:type="spellEnd"/>
      <w:r w:rsidRPr="00C91317">
        <w:rPr>
          <w:rFonts w:ascii="Times New Roman" w:hAnsi="Times New Roman" w:cs="Times New Roman"/>
          <w:szCs w:val="22"/>
        </w:rPr>
        <w:t xml:space="preserve"> lowland rice. IRRI.</w:t>
      </w:r>
    </w:p>
    <w:p w14:paraId="3F55CF26" w14:textId="77777777" w:rsidR="00F367D8" w:rsidRPr="00F367D8" w:rsidRDefault="00F367D8" w:rsidP="00F367D8">
      <w:pPr>
        <w:widowControl w:val="0"/>
        <w:autoSpaceDE w:val="0"/>
        <w:autoSpaceDN w:val="0"/>
        <w:adjustRightInd w:val="0"/>
        <w:spacing w:after="0" w:line="276" w:lineRule="auto"/>
        <w:ind w:left="480" w:hanging="480"/>
        <w:jc w:val="both"/>
        <w:rPr>
          <w:rFonts w:ascii="Times New Roman" w:hAnsi="Times New Roman" w:cs="Times New Roman"/>
          <w:noProof/>
          <w:szCs w:val="24"/>
        </w:rPr>
      </w:pPr>
      <w:r w:rsidRPr="00F367D8">
        <w:rPr>
          <w:rFonts w:ascii="Times New Roman" w:hAnsi="Times New Roman" w:cs="Times New Roman"/>
          <w:noProof/>
          <w:szCs w:val="24"/>
        </w:rPr>
        <w:t xml:space="preserve">Banerjee, H., Sarkar, S., Dutta, S. K., Garai, S., Ray, K., Zingore, S., Goswami, R., &amp; Majumdar, K. (2022). Nitrogen management trade-offs in hybrid rice for agronomy, carbon, and energy efficiency. </w:t>
      </w:r>
      <w:r w:rsidRPr="00F367D8">
        <w:rPr>
          <w:rFonts w:ascii="Times New Roman" w:hAnsi="Times New Roman" w:cs="Times New Roman"/>
          <w:i/>
          <w:iCs/>
          <w:noProof/>
          <w:szCs w:val="24"/>
        </w:rPr>
        <w:t>Nutrient Cycling in Agroecosystems</w:t>
      </w:r>
      <w:r w:rsidRPr="00F367D8">
        <w:rPr>
          <w:rFonts w:ascii="Times New Roman" w:hAnsi="Times New Roman" w:cs="Times New Roman"/>
          <w:noProof/>
          <w:szCs w:val="24"/>
        </w:rPr>
        <w:t xml:space="preserve">, </w:t>
      </w:r>
      <w:r w:rsidRPr="00F367D8">
        <w:rPr>
          <w:rFonts w:ascii="Times New Roman" w:hAnsi="Times New Roman" w:cs="Times New Roman"/>
          <w:i/>
          <w:iCs/>
          <w:noProof/>
          <w:szCs w:val="24"/>
        </w:rPr>
        <w:t>0123456789</w:t>
      </w:r>
      <w:r w:rsidRPr="00F367D8">
        <w:rPr>
          <w:rFonts w:ascii="Times New Roman" w:hAnsi="Times New Roman" w:cs="Times New Roman"/>
          <w:noProof/>
          <w:szCs w:val="24"/>
        </w:rPr>
        <w:t>. https://doi.org/10.1007/s10705-022-10199-0</w:t>
      </w:r>
    </w:p>
    <w:p w14:paraId="59F8BBB8" w14:textId="77777777" w:rsidR="00F367D8" w:rsidRDefault="00F367D8" w:rsidP="00B6619D">
      <w:pPr>
        <w:spacing w:after="0" w:line="276" w:lineRule="auto"/>
        <w:ind w:left="567" w:hanging="567"/>
        <w:jc w:val="both"/>
        <w:rPr>
          <w:rFonts w:ascii="Times New Roman" w:hAnsi="Times New Roman" w:cs="Times New Roman"/>
          <w:noProof/>
          <w:szCs w:val="24"/>
        </w:rPr>
      </w:pPr>
      <w:r w:rsidRPr="00F367D8">
        <w:rPr>
          <w:rFonts w:ascii="Times New Roman" w:hAnsi="Times New Roman" w:cs="Times New Roman"/>
          <w:noProof/>
          <w:szCs w:val="24"/>
        </w:rPr>
        <w:t xml:space="preserve">Sarkar, S., Gaydon, D. S., Brahmachari, K., Poulton, P. L., Chaki, A. K., Ray, K., Ghosh, A., Nanda, M. K., &amp; Mainuddin, M. (2022). Testing APSIM in a complex saline coastal cropping environment. </w:t>
      </w:r>
      <w:r w:rsidRPr="00F367D8">
        <w:rPr>
          <w:rFonts w:ascii="Times New Roman" w:hAnsi="Times New Roman" w:cs="Times New Roman"/>
          <w:i/>
          <w:iCs/>
          <w:noProof/>
          <w:szCs w:val="24"/>
        </w:rPr>
        <w:t>Environmental Modelling &amp; Software</w:t>
      </w:r>
      <w:r w:rsidRPr="00F367D8">
        <w:rPr>
          <w:rFonts w:ascii="Times New Roman" w:hAnsi="Times New Roman" w:cs="Times New Roman"/>
          <w:noProof/>
          <w:szCs w:val="24"/>
        </w:rPr>
        <w:t xml:space="preserve">, </w:t>
      </w:r>
      <w:r w:rsidRPr="00F367D8">
        <w:rPr>
          <w:rFonts w:ascii="Times New Roman" w:hAnsi="Times New Roman" w:cs="Times New Roman"/>
          <w:i/>
          <w:iCs/>
          <w:noProof/>
          <w:szCs w:val="24"/>
        </w:rPr>
        <w:t>147</w:t>
      </w:r>
      <w:r w:rsidRPr="00F367D8">
        <w:rPr>
          <w:rFonts w:ascii="Times New Roman" w:hAnsi="Times New Roman" w:cs="Times New Roman"/>
          <w:noProof/>
          <w:szCs w:val="24"/>
        </w:rPr>
        <w:t xml:space="preserve">(December 2020), 105239. </w:t>
      </w:r>
      <w:r w:rsidRPr="006226CE">
        <w:rPr>
          <w:rFonts w:ascii="Times New Roman" w:hAnsi="Times New Roman" w:cs="Times New Roman"/>
          <w:noProof/>
          <w:szCs w:val="24"/>
        </w:rPr>
        <w:t>https://doi.org/10.1016/j.envsoft.2021.105239</w:t>
      </w:r>
    </w:p>
    <w:p w14:paraId="364676A8" w14:textId="77777777" w:rsidR="00F367D8" w:rsidRDefault="00F367D8" w:rsidP="00C91317">
      <w:pPr>
        <w:spacing w:after="0" w:line="276" w:lineRule="auto"/>
        <w:jc w:val="both"/>
        <w:rPr>
          <w:rFonts w:ascii="Times New Roman" w:hAnsi="Times New Roman" w:cs="Times New Roman"/>
          <w:szCs w:val="22"/>
        </w:rPr>
      </w:pPr>
    </w:p>
    <w:p w14:paraId="4842EBB0" w14:textId="77777777" w:rsidR="00C91317" w:rsidRDefault="00C91317" w:rsidP="00C91317">
      <w:pPr>
        <w:spacing w:after="0" w:line="276" w:lineRule="auto"/>
        <w:jc w:val="both"/>
        <w:rPr>
          <w:rFonts w:ascii="Times New Roman" w:hAnsi="Times New Roman" w:cs="Times New Roman"/>
          <w:szCs w:val="22"/>
        </w:rPr>
      </w:pPr>
    </w:p>
    <w:p w14:paraId="4A58A4EA" w14:textId="77777777" w:rsidR="003204F8" w:rsidRDefault="003204F8" w:rsidP="00391F06">
      <w:pPr>
        <w:spacing w:line="360" w:lineRule="auto"/>
        <w:rPr>
          <w:rFonts w:ascii="Times New Roman" w:hAnsi="Times New Roman" w:cs="Times New Roman"/>
          <w:szCs w:val="22"/>
        </w:rPr>
      </w:pPr>
      <w:r>
        <w:rPr>
          <w:rFonts w:ascii="Times New Roman" w:hAnsi="Times New Roman" w:cs="Times New Roman"/>
          <w:noProof/>
          <w:szCs w:val="22"/>
          <w:lang w:val="en-US" w:bidi="ar-SA"/>
        </w:rPr>
        <w:drawing>
          <wp:inline distT="0" distB="0" distL="0" distR="0" wp14:anchorId="708BE013" wp14:editId="41203CB4">
            <wp:extent cx="5952147" cy="2811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56968" cy="2814058"/>
                    </a:xfrm>
                    <a:prstGeom prst="rect">
                      <a:avLst/>
                    </a:prstGeom>
                    <a:noFill/>
                  </pic:spPr>
                </pic:pic>
              </a:graphicData>
            </a:graphic>
          </wp:inline>
        </w:drawing>
      </w:r>
    </w:p>
    <w:p w14:paraId="45BB8704" w14:textId="273C71FB" w:rsidR="00B80213" w:rsidRDefault="00954D51" w:rsidP="00FE3F53">
      <w:pPr>
        <w:jc w:val="center"/>
        <w:rPr>
          <w:rFonts w:ascii="Times New Roman" w:hAnsi="Times New Roman" w:cs="Times New Roman"/>
          <w:szCs w:val="22"/>
        </w:rPr>
      </w:pPr>
      <w:r w:rsidRPr="00954D51">
        <w:rPr>
          <w:rFonts w:ascii="Times New Roman" w:hAnsi="Times New Roman" w:cs="Times New Roman"/>
          <w:b/>
          <w:bCs/>
          <w:szCs w:val="22"/>
        </w:rPr>
        <w:t>Supplementary Fig. 1:</w:t>
      </w:r>
      <w:r w:rsidR="00297954">
        <w:rPr>
          <w:rFonts w:ascii="Times New Roman" w:hAnsi="Times New Roman" w:cs="Times New Roman"/>
          <w:b/>
          <w:bCs/>
          <w:szCs w:val="22"/>
        </w:rPr>
        <w:t xml:space="preserve"> </w:t>
      </w:r>
      <w:r w:rsidRPr="00954D51">
        <w:rPr>
          <w:rFonts w:ascii="Times New Roman" w:hAnsi="Times New Roman" w:cs="Times New Roman"/>
          <w:szCs w:val="22"/>
        </w:rPr>
        <w:t>Schematic representation of climate change scenario</w:t>
      </w:r>
    </w:p>
    <w:p w14:paraId="54ED7483" w14:textId="349BA69F" w:rsidR="00297954" w:rsidRDefault="00297954" w:rsidP="00FE3F53">
      <w:pPr>
        <w:jc w:val="center"/>
        <w:rPr>
          <w:rFonts w:ascii="Times New Roman" w:hAnsi="Times New Roman" w:cs="Times New Roman"/>
          <w:szCs w:val="22"/>
        </w:rPr>
      </w:pPr>
    </w:p>
    <w:p w14:paraId="52540437" w14:textId="7C32A5BE" w:rsidR="00297954" w:rsidRDefault="00297954" w:rsidP="00FE3F53">
      <w:pPr>
        <w:jc w:val="center"/>
        <w:rPr>
          <w:rFonts w:ascii="Times New Roman" w:hAnsi="Times New Roman" w:cs="Times New Roman"/>
          <w:szCs w:val="22"/>
        </w:rPr>
      </w:pPr>
    </w:p>
    <w:p w14:paraId="3E0D5C37" w14:textId="21977CEE" w:rsidR="00297954" w:rsidRDefault="00297954" w:rsidP="00FE3F53">
      <w:pPr>
        <w:jc w:val="center"/>
        <w:rPr>
          <w:rFonts w:ascii="Times New Roman" w:hAnsi="Times New Roman" w:cs="Times New Roman"/>
          <w:szCs w:val="22"/>
        </w:rPr>
      </w:pPr>
    </w:p>
    <w:p w14:paraId="4BA06CDC" w14:textId="647D08D0" w:rsidR="00297954" w:rsidRDefault="00297954" w:rsidP="00FE3F53">
      <w:pPr>
        <w:jc w:val="center"/>
        <w:rPr>
          <w:rFonts w:ascii="Times New Roman" w:hAnsi="Times New Roman" w:cs="Times New Roman"/>
          <w:szCs w:val="22"/>
        </w:rPr>
      </w:pPr>
    </w:p>
    <w:p w14:paraId="2BC80C0C" w14:textId="34830532" w:rsidR="00297954" w:rsidRDefault="00297954" w:rsidP="00FE3F53">
      <w:pPr>
        <w:jc w:val="center"/>
        <w:rPr>
          <w:rFonts w:ascii="Times New Roman" w:hAnsi="Times New Roman" w:cs="Times New Roman"/>
          <w:szCs w:val="22"/>
        </w:rPr>
      </w:pPr>
    </w:p>
    <w:p w14:paraId="216B2B07" w14:textId="275E798C" w:rsidR="00297954" w:rsidRDefault="00297954" w:rsidP="00FE3F53">
      <w:pPr>
        <w:jc w:val="center"/>
        <w:rPr>
          <w:rFonts w:ascii="Times New Roman" w:hAnsi="Times New Roman" w:cs="Times New Roman"/>
          <w:szCs w:val="22"/>
        </w:rPr>
      </w:pPr>
    </w:p>
    <w:p w14:paraId="6E69A6B4" w14:textId="662D4618" w:rsidR="00297954" w:rsidRDefault="00297954" w:rsidP="00FE3F53">
      <w:pPr>
        <w:jc w:val="center"/>
        <w:rPr>
          <w:rFonts w:ascii="Times New Roman" w:hAnsi="Times New Roman" w:cs="Times New Roman"/>
          <w:szCs w:val="22"/>
        </w:rPr>
      </w:pPr>
    </w:p>
    <w:p w14:paraId="71E6E68D" w14:textId="77777777" w:rsidR="00297954" w:rsidRDefault="00297954" w:rsidP="00FE3F53">
      <w:pPr>
        <w:jc w:val="center"/>
      </w:pPr>
    </w:p>
    <w:p w14:paraId="46376E68" w14:textId="77777777" w:rsidR="00954D51" w:rsidRDefault="00954D51" w:rsidP="00FE3F53">
      <w:pPr>
        <w:ind w:left="-426"/>
        <w:jc w:val="center"/>
        <w:rPr>
          <w:rFonts w:ascii="Times New Roman" w:hAnsi="Times New Roman" w:cs="Times New Roman"/>
        </w:rPr>
      </w:pPr>
      <w:r>
        <w:rPr>
          <w:noProof/>
          <w:lang w:val="en-US" w:bidi="ar-SA"/>
        </w:rPr>
        <w:lastRenderedPageBreak/>
        <w:drawing>
          <wp:inline distT="0" distB="0" distL="0" distR="0" wp14:anchorId="0CC58C5A" wp14:editId="11A60CB3">
            <wp:extent cx="5227320" cy="3741420"/>
            <wp:effectExtent l="0" t="0" r="0" b="0"/>
            <wp:docPr id="13" name="Chart 13">
              <a:extLst xmlns:a="http://schemas.openxmlformats.org/drawingml/2006/main">
                <a:ext uri="{FF2B5EF4-FFF2-40B4-BE49-F238E27FC236}">
                  <a16:creationId xmlns:a16="http://schemas.microsoft.com/office/drawing/2014/main" id="{AED65AC8-9176-4064-9204-3F09B60F03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7937055" w14:textId="2D7972F8" w:rsidR="00954D51" w:rsidRPr="0081244A" w:rsidRDefault="00954D51" w:rsidP="00954D51">
      <w:pPr>
        <w:spacing w:after="200" w:line="276" w:lineRule="auto"/>
        <w:ind w:left="-426"/>
        <w:jc w:val="both"/>
        <w:rPr>
          <w:rFonts w:ascii="Times New Roman" w:hAnsi="Times New Roman" w:cs="Times New Roman"/>
        </w:rPr>
      </w:pPr>
      <w:bookmarkStart w:id="0" w:name="_Hlk113632439"/>
      <w:r w:rsidRPr="00954D51">
        <w:rPr>
          <w:rFonts w:ascii="Times New Roman" w:hAnsi="Times New Roman" w:cs="Times New Roman"/>
          <w:b/>
          <w:bCs/>
          <w:szCs w:val="22"/>
        </w:rPr>
        <w:t>Supplementary</w:t>
      </w:r>
      <w:r w:rsidRPr="0081244A">
        <w:rPr>
          <w:rFonts w:ascii="Times New Roman" w:hAnsi="Times New Roman" w:cs="Times New Roman"/>
          <w:b/>
          <w:bCs/>
        </w:rPr>
        <w:t xml:space="preserve"> Fig. </w:t>
      </w:r>
      <w:r w:rsidR="00297954">
        <w:rPr>
          <w:rFonts w:ascii="Times New Roman" w:hAnsi="Times New Roman" w:cs="Times New Roman"/>
          <w:b/>
          <w:bCs/>
        </w:rPr>
        <w:t xml:space="preserve"> 2</w:t>
      </w:r>
      <w:bookmarkEnd w:id="0"/>
      <w:r w:rsidRPr="0081244A">
        <w:rPr>
          <w:rFonts w:ascii="Times New Roman" w:hAnsi="Times New Roman" w:cs="Times New Roman"/>
          <w:b/>
          <w:bCs/>
        </w:rPr>
        <w:t>:</w:t>
      </w:r>
      <w:r w:rsidRPr="0081244A">
        <w:rPr>
          <w:rFonts w:ascii="Times New Roman" w:hAnsi="Times New Roman" w:cs="Times New Roman"/>
          <w:bCs/>
          <w:iCs/>
        </w:rPr>
        <w:t xml:space="preserve"> Effect of climate changes on long term simulated grain yield of </w:t>
      </w:r>
      <w:r w:rsidRPr="001B6E25">
        <w:rPr>
          <w:rFonts w:ascii="Times New Roman" w:hAnsi="Times New Roman" w:cs="Times New Roman"/>
          <w:lang w:val="en-AU"/>
        </w:rPr>
        <w:t>of the</w:t>
      </w:r>
      <w:r>
        <w:rPr>
          <w:rFonts w:ascii="Times New Roman" w:hAnsi="Times New Roman" w:cs="Times New Roman"/>
          <w:lang w:val="en-AU"/>
        </w:rPr>
        <w:t xml:space="preserve"> hybrid rice grown</w:t>
      </w:r>
      <w:r>
        <w:rPr>
          <w:rFonts w:ascii="Times New Roman" w:hAnsi="Times New Roman" w:cs="Times New Roman"/>
        </w:rPr>
        <w:t>at different nitrogen fertilizer doses</w:t>
      </w:r>
      <w:r w:rsidRPr="0081244A">
        <w:rPr>
          <w:rFonts w:ascii="Times New Roman" w:hAnsi="Times New Roman" w:cs="Times New Roman"/>
          <w:bCs/>
          <w:iCs/>
        </w:rPr>
        <w:t xml:space="preserve">: </w:t>
      </w:r>
      <w:r>
        <w:rPr>
          <w:rFonts w:ascii="Times New Roman" w:hAnsi="Times New Roman" w:cs="Times New Roman"/>
          <w:bCs/>
          <w:iCs/>
        </w:rPr>
        <w:t xml:space="preserve">[Historical (1988-2018, </w:t>
      </w:r>
      <w:r w:rsidRPr="0081244A">
        <w:rPr>
          <w:rFonts w:ascii="Times New Roman" w:hAnsi="Times New Roman" w:cs="Times New Roman"/>
          <w:bCs/>
          <w:iCs/>
        </w:rPr>
        <w:t>RCP4.5, RCP6.0, and RCP8.5</w:t>
      </w:r>
      <w:r>
        <w:rPr>
          <w:rFonts w:ascii="Times New Roman" w:hAnsi="Times New Roman" w:cs="Times New Roman"/>
          <w:bCs/>
          <w:iCs/>
        </w:rPr>
        <w:t>]</w:t>
      </w:r>
      <w:r w:rsidRPr="0081244A">
        <w:rPr>
          <w:rFonts w:ascii="Times New Roman" w:hAnsi="Times New Roman" w:cs="Times New Roman"/>
          <w:bCs/>
          <w:iCs/>
        </w:rPr>
        <w:t xml:space="preserve"> (Each column represents the average grain yield of twenty years simulated grain yield, and </w:t>
      </w:r>
      <w:r w:rsidRPr="0081244A">
        <w:rPr>
          <w:rFonts w:ascii="Times New Roman" w:hAnsi="Times New Roman" w:cs="Times New Roman"/>
        </w:rPr>
        <w:t>vertical bars represent the standard deviation either side of the mean)</w:t>
      </w:r>
    </w:p>
    <w:p w14:paraId="4E4963F0" w14:textId="77777777" w:rsidR="00954D51" w:rsidRDefault="00954D51"/>
    <w:sectPr w:rsidR="00954D51" w:rsidSect="00445A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518B"/>
    <w:multiLevelType w:val="hybridMultilevel"/>
    <w:tmpl w:val="5B44B790"/>
    <w:lvl w:ilvl="0" w:tplc="C60691D8">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F2564B5"/>
    <w:multiLevelType w:val="multilevel"/>
    <w:tmpl w:val="953499A0"/>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4157733">
    <w:abstractNumId w:val="0"/>
  </w:num>
  <w:num w:numId="2" w16cid:durableId="1929121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91F06"/>
    <w:rsid w:val="00297954"/>
    <w:rsid w:val="003204F8"/>
    <w:rsid w:val="00381598"/>
    <w:rsid w:val="00391F06"/>
    <w:rsid w:val="00445A93"/>
    <w:rsid w:val="005C4171"/>
    <w:rsid w:val="005D42D5"/>
    <w:rsid w:val="006226CE"/>
    <w:rsid w:val="006E5CE0"/>
    <w:rsid w:val="007234D4"/>
    <w:rsid w:val="00931E25"/>
    <w:rsid w:val="00954D51"/>
    <w:rsid w:val="00A93353"/>
    <w:rsid w:val="00B6619D"/>
    <w:rsid w:val="00B80213"/>
    <w:rsid w:val="00C04209"/>
    <w:rsid w:val="00C62AE7"/>
    <w:rsid w:val="00C91317"/>
    <w:rsid w:val="00F25DA7"/>
    <w:rsid w:val="00F367D8"/>
    <w:rsid w:val="00FE3F53"/>
  </w:rsids>
  <m:mathPr>
    <m:mathFont m:val="Cambria Math"/>
    <m:brkBin m:val="before"/>
    <m:brkBinSub m:val="--"/>
    <m:smallFrac/>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11A97"/>
  <w15:docId w15:val="{0AAC2508-572E-4ACF-A71C-4C612F078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IN" w:eastAsia="en-US" w:bidi="bn-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F06"/>
  </w:style>
  <w:style w:type="paragraph" w:styleId="Heading1">
    <w:name w:val="heading 1"/>
    <w:basedOn w:val="Normal"/>
    <w:next w:val="Normal"/>
    <w:link w:val="Heading1Char"/>
    <w:uiPriority w:val="9"/>
    <w:qFormat/>
    <w:rsid w:val="00C04209"/>
    <w:pPr>
      <w:keepNext/>
      <w:keepLines/>
      <w:spacing w:before="240" w:after="0" w:line="360" w:lineRule="auto"/>
      <w:jc w:val="both"/>
      <w:outlineLvl w:val="0"/>
    </w:pPr>
    <w:rPr>
      <w:rFonts w:asciiTheme="majorHAnsi" w:eastAsiaTheme="majorEastAsia" w:hAnsiTheme="majorHAnsi" w:cstheme="majorBidi"/>
      <w:color w:val="2F5496"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autoRedefine/>
    <w:qFormat/>
    <w:rsid w:val="00C04209"/>
    <w:pPr>
      <w:keepLines w:val="0"/>
      <w:numPr>
        <w:numId w:val="2"/>
      </w:numPr>
      <w:pBdr>
        <w:bottom w:val="single" w:sz="4" w:space="1" w:color="auto"/>
      </w:pBdr>
      <w:spacing w:before="0" w:line="240" w:lineRule="auto"/>
      <w:ind w:left="567" w:hanging="567"/>
    </w:pPr>
    <w:rPr>
      <w:rFonts w:ascii="Times New Roman" w:eastAsia="Times New Roman" w:hAnsi="Times New Roman" w:cs="Times New Roman"/>
      <w:b/>
      <w:bCs/>
      <w:i/>
      <w:iCs/>
      <w:caps/>
      <w:color w:val="FF0000"/>
      <w:sz w:val="24"/>
      <w:szCs w:val="24"/>
      <w:lang w:val="en-US"/>
    </w:rPr>
  </w:style>
  <w:style w:type="character" w:customStyle="1" w:styleId="Style1Char">
    <w:name w:val="Style1 Char"/>
    <w:basedOn w:val="Heading1Char"/>
    <w:link w:val="Style1"/>
    <w:rsid w:val="00C04209"/>
    <w:rPr>
      <w:rFonts w:ascii="Times New Roman" w:eastAsia="Times New Roman" w:hAnsi="Times New Roman" w:cs="Times New Roman"/>
      <w:b/>
      <w:bCs/>
      <w:i/>
      <w:iCs/>
      <w:caps/>
      <w:color w:val="FF0000"/>
      <w:sz w:val="24"/>
      <w:szCs w:val="24"/>
      <w:lang w:val="en-US"/>
    </w:rPr>
  </w:style>
  <w:style w:type="character" w:customStyle="1" w:styleId="Heading1Char">
    <w:name w:val="Heading 1 Char"/>
    <w:basedOn w:val="DefaultParagraphFont"/>
    <w:link w:val="Heading1"/>
    <w:uiPriority w:val="9"/>
    <w:rsid w:val="00C04209"/>
    <w:rPr>
      <w:rFonts w:asciiTheme="majorHAnsi" w:eastAsiaTheme="majorEastAsia" w:hAnsiTheme="majorHAnsi" w:cstheme="majorBidi"/>
      <w:color w:val="2F5496" w:themeColor="accent1" w:themeShade="BF"/>
      <w:sz w:val="32"/>
      <w:szCs w:val="40"/>
    </w:rPr>
  </w:style>
  <w:style w:type="table" w:styleId="TableGrid">
    <w:name w:val="Table Grid"/>
    <w:basedOn w:val="TableNormal"/>
    <w:uiPriority w:val="59"/>
    <w:rsid w:val="00954D51"/>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67D8"/>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F367D8"/>
    <w:rPr>
      <w:rFonts w:ascii="Tahoma" w:hAnsi="Tahoma" w:cs="Tahoma"/>
      <w:sz w:val="16"/>
      <w:szCs w:val="20"/>
    </w:rPr>
  </w:style>
  <w:style w:type="character" w:styleId="CommentReference">
    <w:name w:val="annotation reference"/>
    <w:basedOn w:val="DefaultParagraphFont"/>
    <w:uiPriority w:val="99"/>
    <w:semiHidden/>
    <w:unhideWhenUsed/>
    <w:rsid w:val="00F367D8"/>
    <w:rPr>
      <w:sz w:val="16"/>
      <w:szCs w:val="16"/>
    </w:rPr>
  </w:style>
  <w:style w:type="paragraph" w:styleId="CommentText">
    <w:name w:val="annotation text"/>
    <w:basedOn w:val="Normal"/>
    <w:link w:val="CommentTextChar"/>
    <w:uiPriority w:val="99"/>
    <w:semiHidden/>
    <w:unhideWhenUsed/>
    <w:rsid w:val="00F367D8"/>
    <w:pPr>
      <w:spacing w:line="240" w:lineRule="auto"/>
    </w:pPr>
    <w:rPr>
      <w:sz w:val="20"/>
      <w:szCs w:val="25"/>
    </w:rPr>
  </w:style>
  <w:style w:type="character" w:customStyle="1" w:styleId="CommentTextChar">
    <w:name w:val="Comment Text Char"/>
    <w:basedOn w:val="DefaultParagraphFont"/>
    <w:link w:val="CommentText"/>
    <w:uiPriority w:val="99"/>
    <w:semiHidden/>
    <w:rsid w:val="00F367D8"/>
    <w:rPr>
      <w:sz w:val="20"/>
      <w:szCs w:val="25"/>
    </w:rPr>
  </w:style>
  <w:style w:type="paragraph" w:styleId="CommentSubject">
    <w:name w:val="annotation subject"/>
    <w:basedOn w:val="CommentText"/>
    <w:next w:val="CommentText"/>
    <w:link w:val="CommentSubjectChar"/>
    <w:uiPriority w:val="99"/>
    <w:semiHidden/>
    <w:unhideWhenUsed/>
    <w:rsid w:val="00F367D8"/>
    <w:rPr>
      <w:b/>
      <w:bCs/>
    </w:rPr>
  </w:style>
  <w:style w:type="character" w:customStyle="1" w:styleId="CommentSubjectChar">
    <w:name w:val="Comment Subject Char"/>
    <w:basedOn w:val="CommentTextChar"/>
    <w:link w:val="CommentSubject"/>
    <w:uiPriority w:val="99"/>
    <w:semiHidden/>
    <w:rsid w:val="00F367D8"/>
    <w:rPr>
      <w:b/>
      <w:bCs/>
      <w:sz w:val="20"/>
      <w:szCs w:val="25"/>
    </w:rPr>
  </w:style>
  <w:style w:type="character" w:styleId="Hyperlink">
    <w:name w:val="Hyperlink"/>
    <w:basedOn w:val="DefaultParagraphFont"/>
    <w:uiPriority w:val="99"/>
    <w:unhideWhenUsed/>
    <w:rsid w:val="00F367D8"/>
    <w:rPr>
      <w:color w:val="0563C1" w:themeColor="hyperlink"/>
      <w:u w:val="single"/>
    </w:rPr>
  </w:style>
  <w:style w:type="paragraph" w:styleId="Revision">
    <w:name w:val="Revision"/>
    <w:hidden/>
    <w:uiPriority w:val="99"/>
    <w:semiHidden/>
    <w:rsid w:val="002979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ukam\Google%20Drive\APSIM%20Reserchs\Rice%20Kakdwip%20BCKV\APSIM%20Anslysis\Scneraio%20_CC\APSIM%20Scenario%20Climate%20Change%20RN%20(version%202).xlsb.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71700986356313"/>
          <c:y val="5.2814945334630409E-2"/>
          <c:w val="0.81799074884158052"/>
          <c:h val="0.78944839062949346"/>
        </c:manualLayout>
      </c:layout>
      <c:barChart>
        <c:barDir val="col"/>
        <c:grouping val="clustered"/>
        <c:varyColors val="0"/>
        <c:ser>
          <c:idx val="0"/>
          <c:order val="0"/>
          <c:tx>
            <c:strRef>
              <c:f>Sheet2!$P$5</c:f>
              <c:strCache>
                <c:ptCount val="1"/>
                <c:pt idx="0">
                  <c:v>Historical</c:v>
                </c:pt>
              </c:strCache>
            </c:strRef>
          </c:tx>
          <c:spPr>
            <a:solidFill>
              <a:schemeClr val="tx1">
                <a:lumMod val="75000"/>
                <a:lumOff val="25000"/>
              </a:schemeClr>
            </a:solidFill>
            <a:ln>
              <a:solidFill>
                <a:schemeClr val="tx1"/>
              </a:solidFill>
            </a:ln>
            <a:effectLst/>
          </c:spPr>
          <c:invertIfNegative val="0"/>
          <c:errBars>
            <c:errBarType val="both"/>
            <c:errValType val="cust"/>
            <c:noEndCap val="0"/>
            <c:plus>
              <c:numRef>
                <c:f>Sheet2!$Q$13:$V$13</c:f>
                <c:numCache>
                  <c:formatCode>General</c:formatCode>
                  <c:ptCount val="6"/>
                  <c:pt idx="0">
                    <c:v>371.67322892562606</c:v>
                  </c:pt>
                  <c:pt idx="1">
                    <c:v>491.76297034242009</c:v>
                  </c:pt>
                  <c:pt idx="2">
                    <c:v>572.42297682745038</c:v>
                  </c:pt>
                  <c:pt idx="3">
                    <c:v>860.35524190592776</c:v>
                  </c:pt>
                  <c:pt idx="4">
                    <c:v>811.20611967610853</c:v>
                  </c:pt>
                  <c:pt idx="5">
                    <c:v>761.0618042576773</c:v>
                  </c:pt>
                </c:numCache>
              </c:numRef>
            </c:plus>
            <c:minus>
              <c:numRef>
                <c:f>Sheet2!$Q$13:$V$13</c:f>
                <c:numCache>
                  <c:formatCode>General</c:formatCode>
                  <c:ptCount val="6"/>
                  <c:pt idx="0">
                    <c:v>371.67322892562606</c:v>
                  </c:pt>
                  <c:pt idx="1">
                    <c:v>491.76297034242009</c:v>
                  </c:pt>
                  <c:pt idx="2">
                    <c:v>572.42297682745038</c:v>
                  </c:pt>
                  <c:pt idx="3">
                    <c:v>860.35524190592776</c:v>
                  </c:pt>
                  <c:pt idx="4">
                    <c:v>811.20611967610853</c:v>
                  </c:pt>
                  <c:pt idx="5">
                    <c:v>761.0618042576773</c:v>
                  </c:pt>
                </c:numCache>
              </c:numRef>
            </c:minus>
            <c:spPr>
              <a:noFill/>
              <a:ln w="12700" cap="flat" cmpd="sng" algn="ctr">
                <a:solidFill>
                  <a:schemeClr val="tx1"/>
                </a:solidFill>
                <a:round/>
              </a:ln>
              <a:effectLst/>
            </c:spPr>
          </c:errBars>
          <c:cat>
            <c:strRef>
              <c:f>Sheet2!$Q$4:$V$4</c:f>
              <c:strCache>
                <c:ptCount val="6"/>
                <c:pt idx="0">
                  <c:v>N0</c:v>
                </c:pt>
                <c:pt idx="1">
                  <c:v>N40</c:v>
                </c:pt>
                <c:pt idx="2">
                  <c:v>N80</c:v>
                </c:pt>
                <c:pt idx="3">
                  <c:v>N120</c:v>
                </c:pt>
                <c:pt idx="4">
                  <c:v>N160</c:v>
                </c:pt>
                <c:pt idx="5">
                  <c:v>N200</c:v>
                </c:pt>
              </c:strCache>
            </c:strRef>
          </c:cat>
          <c:val>
            <c:numRef>
              <c:f>Sheet2!$Q$5:$V$5</c:f>
              <c:numCache>
                <c:formatCode>General</c:formatCode>
                <c:ptCount val="6"/>
                <c:pt idx="0">
                  <c:v>1812.73</c:v>
                </c:pt>
                <c:pt idx="1">
                  <c:v>5287.4</c:v>
                </c:pt>
                <c:pt idx="2">
                  <c:v>5986.5399999999991</c:v>
                </c:pt>
                <c:pt idx="3">
                  <c:v>7034.7150000000001</c:v>
                </c:pt>
                <c:pt idx="4">
                  <c:v>7299.420000000001</c:v>
                </c:pt>
                <c:pt idx="5">
                  <c:v>7387.3100000000031</c:v>
                </c:pt>
              </c:numCache>
            </c:numRef>
          </c:val>
          <c:extLst>
            <c:ext xmlns:c16="http://schemas.microsoft.com/office/drawing/2014/chart" uri="{C3380CC4-5D6E-409C-BE32-E72D297353CC}">
              <c16:uniqueId val="{00000000-7DE6-4FF3-B7D5-135BA1F4CBA1}"/>
            </c:ext>
          </c:extLst>
        </c:ser>
        <c:ser>
          <c:idx val="1"/>
          <c:order val="1"/>
          <c:tx>
            <c:strRef>
              <c:f>Sheet2!$P$6</c:f>
              <c:strCache>
                <c:ptCount val="1"/>
                <c:pt idx="0">
                  <c:v>RCP4.5</c:v>
                </c:pt>
              </c:strCache>
            </c:strRef>
          </c:tx>
          <c:spPr>
            <a:solidFill>
              <a:schemeClr val="tx1">
                <a:lumMod val="50000"/>
                <a:lumOff val="50000"/>
              </a:schemeClr>
            </a:solidFill>
            <a:ln>
              <a:solidFill>
                <a:schemeClr val="tx1"/>
              </a:solidFill>
            </a:ln>
            <a:effectLst/>
          </c:spPr>
          <c:invertIfNegative val="0"/>
          <c:errBars>
            <c:errBarType val="both"/>
            <c:errValType val="cust"/>
            <c:noEndCap val="0"/>
            <c:plus>
              <c:numRef>
                <c:f>Sheet2!$Q$14:$V$14</c:f>
                <c:numCache>
                  <c:formatCode>General</c:formatCode>
                  <c:ptCount val="6"/>
                  <c:pt idx="0">
                    <c:v>538.08433472365732</c:v>
                  </c:pt>
                  <c:pt idx="1">
                    <c:v>549.83931914241919</c:v>
                  </c:pt>
                  <c:pt idx="2">
                    <c:v>619.61487512405654</c:v>
                  </c:pt>
                  <c:pt idx="3">
                    <c:v>945.36637462677959</c:v>
                  </c:pt>
                  <c:pt idx="4">
                    <c:v>977.25211890278047</c:v>
                  </c:pt>
                  <c:pt idx="5">
                    <c:v>927.34685003778441</c:v>
                  </c:pt>
                </c:numCache>
              </c:numRef>
            </c:plus>
            <c:minus>
              <c:numRef>
                <c:f>Sheet2!$Q$14:$V$14</c:f>
                <c:numCache>
                  <c:formatCode>General</c:formatCode>
                  <c:ptCount val="6"/>
                  <c:pt idx="0">
                    <c:v>538.08433472365732</c:v>
                  </c:pt>
                  <c:pt idx="1">
                    <c:v>549.83931914241919</c:v>
                  </c:pt>
                  <c:pt idx="2">
                    <c:v>619.61487512405654</c:v>
                  </c:pt>
                  <c:pt idx="3">
                    <c:v>945.36637462677959</c:v>
                  </c:pt>
                  <c:pt idx="4">
                    <c:v>977.25211890278047</c:v>
                  </c:pt>
                  <c:pt idx="5">
                    <c:v>927.34685003778441</c:v>
                  </c:pt>
                </c:numCache>
              </c:numRef>
            </c:minus>
            <c:spPr>
              <a:noFill/>
              <a:ln w="12700" cap="flat" cmpd="sng" algn="ctr">
                <a:solidFill>
                  <a:schemeClr val="tx1"/>
                </a:solidFill>
                <a:round/>
              </a:ln>
              <a:effectLst/>
            </c:spPr>
          </c:errBars>
          <c:cat>
            <c:strRef>
              <c:f>Sheet2!$Q$4:$V$4</c:f>
              <c:strCache>
                <c:ptCount val="6"/>
                <c:pt idx="0">
                  <c:v>N0</c:v>
                </c:pt>
                <c:pt idx="1">
                  <c:v>N40</c:v>
                </c:pt>
                <c:pt idx="2">
                  <c:v>N80</c:v>
                </c:pt>
                <c:pt idx="3">
                  <c:v>N120</c:v>
                </c:pt>
                <c:pt idx="4">
                  <c:v>N160</c:v>
                </c:pt>
                <c:pt idx="5">
                  <c:v>N200</c:v>
                </c:pt>
              </c:strCache>
            </c:strRef>
          </c:cat>
          <c:val>
            <c:numRef>
              <c:f>Sheet2!$Q$6:$V$6</c:f>
              <c:numCache>
                <c:formatCode>General</c:formatCode>
                <c:ptCount val="6"/>
                <c:pt idx="0">
                  <c:v>1982.7650000000001</c:v>
                </c:pt>
                <c:pt idx="1">
                  <c:v>5863.4749999999995</c:v>
                </c:pt>
                <c:pt idx="2">
                  <c:v>6630.1950000000024</c:v>
                </c:pt>
                <c:pt idx="3">
                  <c:v>7868.6150000000034</c:v>
                </c:pt>
                <c:pt idx="4">
                  <c:v>8457.3900000000012</c:v>
                </c:pt>
                <c:pt idx="5">
                  <c:v>8693.2649999999903</c:v>
                </c:pt>
              </c:numCache>
            </c:numRef>
          </c:val>
          <c:extLst>
            <c:ext xmlns:c16="http://schemas.microsoft.com/office/drawing/2014/chart" uri="{C3380CC4-5D6E-409C-BE32-E72D297353CC}">
              <c16:uniqueId val="{00000001-7DE6-4FF3-B7D5-135BA1F4CBA1}"/>
            </c:ext>
          </c:extLst>
        </c:ser>
        <c:ser>
          <c:idx val="2"/>
          <c:order val="2"/>
          <c:tx>
            <c:strRef>
              <c:f>Sheet2!$P$7</c:f>
              <c:strCache>
                <c:ptCount val="1"/>
                <c:pt idx="0">
                  <c:v>RCP6.5</c:v>
                </c:pt>
              </c:strCache>
            </c:strRef>
          </c:tx>
          <c:spPr>
            <a:solidFill>
              <a:schemeClr val="bg1">
                <a:lumMod val="65000"/>
              </a:schemeClr>
            </a:solidFill>
            <a:ln>
              <a:solidFill>
                <a:schemeClr val="tx1"/>
              </a:solidFill>
            </a:ln>
            <a:effectLst/>
          </c:spPr>
          <c:invertIfNegative val="0"/>
          <c:errBars>
            <c:errBarType val="both"/>
            <c:errValType val="cust"/>
            <c:noEndCap val="0"/>
            <c:plus>
              <c:numRef>
                <c:f>Sheet2!$Q$15:$V$15</c:f>
                <c:numCache>
                  <c:formatCode>General</c:formatCode>
                  <c:ptCount val="6"/>
                  <c:pt idx="0">
                    <c:v>463.63493817873405</c:v>
                  </c:pt>
                  <c:pt idx="1">
                    <c:v>470.03101163646636</c:v>
                  </c:pt>
                  <c:pt idx="2">
                    <c:v>513.77685671894574</c:v>
                  </c:pt>
                  <c:pt idx="3">
                    <c:v>878.85793304436299</c:v>
                  </c:pt>
                  <c:pt idx="4">
                    <c:v>956.39944681862971</c:v>
                  </c:pt>
                  <c:pt idx="5">
                    <c:v>904.83012494060347</c:v>
                  </c:pt>
                </c:numCache>
              </c:numRef>
            </c:plus>
            <c:minus>
              <c:numRef>
                <c:f>Sheet2!$Q$15:$V$15</c:f>
                <c:numCache>
                  <c:formatCode>General</c:formatCode>
                  <c:ptCount val="6"/>
                  <c:pt idx="0">
                    <c:v>463.63493817873405</c:v>
                  </c:pt>
                  <c:pt idx="1">
                    <c:v>470.03101163646636</c:v>
                  </c:pt>
                  <c:pt idx="2">
                    <c:v>513.77685671894574</c:v>
                  </c:pt>
                  <c:pt idx="3">
                    <c:v>878.85793304436299</c:v>
                  </c:pt>
                  <c:pt idx="4">
                    <c:v>956.39944681862971</c:v>
                  </c:pt>
                  <c:pt idx="5">
                    <c:v>904.83012494060347</c:v>
                  </c:pt>
                </c:numCache>
              </c:numRef>
            </c:minus>
            <c:spPr>
              <a:noFill/>
              <a:ln w="12700" cap="flat" cmpd="sng" algn="ctr">
                <a:solidFill>
                  <a:schemeClr val="tx1"/>
                </a:solidFill>
                <a:round/>
              </a:ln>
              <a:effectLst/>
            </c:spPr>
          </c:errBars>
          <c:cat>
            <c:strRef>
              <c:f>Sheet2!$Q$4:$V$4</c:f>
              <c:strCache>
                <c:ptCount val="6"/>
                <c:pt idx="0">
                  <c:v>N0</c:v>
                </c:pt>
                <c:pt idx="1">
                  <c:v>N40</c:v>
                </c:pt>
                <c:pt idx="2">
                  <c:v>N80</c:v>
                </c:pt>
                <c:pt idx="3">
                  <c:v>N120</c:v>
                </c:pt>
                <c:pt idx="4">
                  <c:v>N160</c:v>
                </c:pt>
                <c:pt idx="5">
                  <c:v>N200</c:v>
                </c:pt>
              </c:strCache>
            </c:strRef>
          </c:cat>
          <c:val>
            <c:numRef>
              <c:f>Sheet2!$Q$7:$V$7</c:f>
              <c:numCache>
                <c:formatCode>General</c:formatCode>
                <c:ptCount val="6"/>
                <c:pt idx="0">
                  <c:v>1909.8100000000002</c:v>
                </c:pt>
                <c:pt idx="1">
                  <c:v>5796.9900000000007</c:v>
                </c:pt>
                <c:pt idx="2">
                  <c:v>6551.75</c:v>
                </c:pt>
                <c:pt idx="3">
                  <c:v>7710.6550000000034</c:v>
                </c:pt>
                <c:pt idx="4">
                  <c:v>8300.7749999999905</c:v>
                </c:pt>
                <c:pt idx="5">
                  <c:v>8625.199999999988</c:v>
                </c:pt>
              </c:numCache>
            </c:numRef>
          </c:val>
          <c:extLst>
            <c:ext xmlns:c16="http://schemas.microsoft.com/office/drawing/2014/chart" uri="{C3380CC4-5D6E-409C-BE32-E72D297353CC}">
              <c16:uniqueId val="{00000002-7DE6-4FF3-B7D5-135BA1F4CBA1}"/>
            </c:ext>
          </c:extLst>
        </c:ser>
        <c:ser>
          <c:idx val="3"/>
          <c:order val="3"/>
          <c:tx>
            <c:strRef>
              <c:f>Sheet2!$P$8</c:f>
              <c:strCache>
                <c:ptCount val="1"/>
                <c:pt idx="0">
                  <c:v>RCP8.5</c:v>
                </c:pt>
              </c:strCache>
            </c:strRef>
          </c:tx>
          <c:spPr>
            <a:solidFill>
              <a:schemeClr val="bg1">
                <a:lumMod val="85000"/>
              </a:schemeClr>
            </a:solidFill>
            <a:ln>
              <a:solidFill>
                <a:schemeClr val="tx1"/>
              </a:solidFill>
            </a:ln>
            <a:effectLst/>
          </c:spPr>
          <c:invertIfNegative val="0"/>
          <c:errBars>
            <c:errBarType val="both"/>
            <c:errValType val="cust"/>
            <c:noEndCap val="0"/>
            <c:plus>
              <c:numRef>
                <c:f>Sheet2!$Q$16:$V$16</c:f>
                <c:numCache>
                  <c:formatCode>General</c:formatCode>
                  <c:ptCount val="6"/>
                  <c:pt idx="0">
                    <c:v>547.39949531854654</c:v>
                  </c:pt>
                  <c:pt idx="1">
                    <c:v>559.26902227371772</c:v>
                  </c:pt>
                  <c:pt idx="2">
                    <c:v>555.8506843343813</c:v>
                  </c:pt>
                  <c:pt idx="3">
                    <c:v>786.07091822239613</c:v>
                  </c:pt>
                  <c:pt idx="4">
                    <c:v>915.05989585381349</c:v>
                  </c:pt>
                  <c:pt idx="5">
                    <c:v>864.33982344908759</c:v>
                  </c:pt>
                </c:numCache>
              </c:numRef>
            </c:plus>
            <c:minus>
              <c:numRef>
                <c:f>Sheet2!$Q$16:$V$16</c:f>
                <c:numCache>
                  <c:formatCode>General</c:formatCode>
                  <c:ptCount val="6"/>
                  <c:pt idx="0">
                    <c:v>547.39949531854654</c:v>
                  </c:pt>
                  <c:pt idx="1">
                    <c:v>559.26902227371772</c:v>
                  </c:pt>
                  <c:pt idx="2">
                    <c:v>555.8506843343813</c:v>
                  </c:pt>
                  <c:pt idx="3">
                    <c:v>786.07091822239613</c:v>
                  </c:pt>
                  <c:pt idx="4">
                    <c:v>915.05989585381349</c:v>
                  </c:pt>
                  <c:pt idx="5">
                    <c:v>864.33982344908759</c:v>
                  </c:pt>
                </c:numCache>
              </c:numRef>
            </c:minus>
            <c:spPr>
              <a:noFill/>
              <a:ln w="12700" cap="flat" cmpd="sng" algn="ctr">
                <a:solidFill>
                  <a:schemeClr val="tx1"/>
                </a:solidFill>
                <a:round/>
              </a:ln>
              <a:effectLst/>
            </c:spPr>
          </c:errBars>
          <c:cat>
            <c:strRef>
              <c:f>Sheet2!$Q$4:$V$4</c:f>
              <c:strCache>
                <c:ptCount val="6"/>
                <c:pt idx="0">
                  <c:v>N0</c:v>
                </c:pt>
                <c:pt idx="1">
                  <c:v>N40</c:v>
                </c:pt>
                <c:pt idx="2">
                  <c:v>N80</c:v>
                </c:pt>
                <c:pt idx="3">
                  <c:v>N120</c:v>
                </c:pt>
                <c:pt idx="4">
                  <c:v>N160</c:v>
                </c:pt>
                <c:pt idx="5">
                  <c:v>N200</c:v>
                </c:pt>
              </c:strCache>
            </c:strRef>
          </c:cat>
          <c:val>
            <c:numRef>
              <c:f>Sheet2!$Q$8:$V$8</c:f>
              <c:numCache>
                <c:formatCode>General</c:formatCode>
                <c:ptCount val="6"/>
                <c:pt idx="0">
                  <c:v>2011.5950000000005</c:v>
                </c:pt>
                <c:pt idx="1">
                  <c:v>5996.5350000000008</c:v>
                </c:pt>
                <c:pt idx="2">
                  <c:v>6808.4850000000015</c:v>
                </c:pt>
                <c:pt idx="3">
                  <c:v>8105.4550000000008</c:v>
                </c:pt>
                <c:pt idx="4">
                  <c:v>8808.7000000000007</c:v>
                </c:pt>
                <c:pt idx="5">
                  <c:v>9134.1400000000049</c:v>
                </c:pt>
              </c:numCache>
            </c:numRef>
          </c:val>
          <c:extLst>
            <c:ext xmlns:c16="http://schemas.microsoft.com/office/drawing/2014/chart" uri="{C3380CC4-5D6E-409C-BE32-E72D297353CC}">
              <c16:uniqueId val="{00000003-7DE6-4FF3-B7D5-135BA1F4CBA1}"/>
            </c:ext>
          </c:extLst>
        </c:ser>
        <c:dLbls>
          <c:showLegendKey val="0"/>
          <c:showVal val="0"/>
          <c:showCatName val="0"/>
          <c:showSerName val="0"/>
          <c:showPercent val="0"/>
          <c:showBubbleSize val="0"/>
        </c:dLbls>
        <c:gapWidth val="219"/>
        <c:overlap val="-27"/>
        <c:axId val="43123456"/>
        <c:axId val="43125376"/>
      </c:barChart>
      <c:catAx>
        <c:axId val="43123456"/>
        <c:scaling>
          <c:orientation val="minMax"/>
        </c:scaling>
        <c:delete val="0"/>
        <c:axPos val="b"/>
        <c:title>
          <c:tx>
            <c:rich>
              <a:bodyPr rot="0" vert="horz"/>
              <a:lstStyle/>
              <a:p>
                <a:pPr>
                  <a:defRPr lang="en-IN"/>
                </a:pPr>
                <a:r>
                  <a:rPr lang="en-IN"/>
                  <a:t>Nitrogen fetilization doses (kg ha</a:t>
                </a:r>
                <a:r>
                  <a:rPr lang="en-IN" baseline="30000"/>
                  <a:t>-1</a:t>
                </a:r>
                <a:r>
                  <a:rPr lang="en-IN"/>
                  <a:t>)</a:t>
                </a:r>
                <a:endParaRPr lang="en-IN" baseline="30000"/>
              </a:p>
            </c:rich>
          </c:tx>
          <c:overlay val="0"/>
          <c:spPr>
            <a:noFill/>
            <a:ln>
              <a:noFill/>
            </a:ln>
            <a:effectLst/>
          </c:spPr>
        </c:title>
        <c:numFmt formatCode="General" sourceLinked="1"/>
        <c:majorTickMark val="none"/>
        <c:minorTickMark val="none"/>
        <c:tickLblPos val="nextTo"/>
        <c:spPr>
          <a:noFill/>
          <a:ln w="15875" cap="flat" cmpd="sng" algn="ctr">
            <a:solidFill>
              <a:sysClr val="windowText" lastClr="000000"/>
            </a:solidFill>
            <a:round/>
          </a:ln>
          <a:effectLst/>
        </c:spPr>
        <c:txPr>
          <a:bodyPr rot="-60000000" vert="horz"/>
          <a:lstStyle/>
          <a:p>
            <a:pPr>
              <a:defRPr lang="en-IN"/>
            </a:pPr>
            <a:endParaRPr lang="en-US"/>
          </a:p>
        </c:txPr>
        <c:crossAx val="43125376"/>
        <c:crosses val="autoZero"/>
        <c:auto val="1"/>
        <c:lblAlgn val="ctr"/>
        <c:lblOffset val="100"/>
        <c:noMultiLvlLbl val="0"/>
      </c:catAx>
      <c:valAx>
        <c:axId val="43125376"/>
        <c:scaling>
          <c:orientation val="minMax"/>
          <c:max val="11000"/>
          <c:min val="0"/>
        </c:scaling>
        <c:delete val="0"/>
        <c:axPos val="l"/>
        <c:title>
          <c:tx>
            <c:rich>
              <a:bodyPr rot="-5400000" vert="horz"/>
              <a:lstStyle/>
              <a:p>
                <a:pPr>
                  <a:defRPr lang="en-IN"/>
                </a:pPr>
                <a:r>
                  <a:rPr lang="en-IN"/>
                  <a:t>Grain yield (kg</a:t>
                </a:r>
                <a:r>
                  <a:rPr lang="en-IN" baseline="0"/>
                  <a:t> </a:t>
                </a:r>
                <a:r>
                  <a:rPr lang="en-IN"/>
                  <a:t>ha</a:t>
                </a:r>
                <a:r>
                  <a:rPr lang="en-IN" baseline="30000"/>
                  <a:t>-1</a:t>
                </a:r>
                <a:r>
                  <a:rPr lang="en-IN"/>
                  <a:t>)</a:t>
                </a:r>
              </a:p>
            </c:rich>
          </c:tx>
          <c:overlay val="0"/>
          <c:spPr>
            <a:noFill/>
            <a:ln>
              <a:noFill/>
            </a:ln>
            <a:effectLst/>
          </c:spPr>
        </c:title>
        <c:numFmt formatCode="General" sourceLinked="1"/>
        <c:majorTickMark val="in"/>
        <c:minorTickMark val="none"/>
        <c:tickLblPos val="nextTo"/>
        <c:spPr>
          <a:noFill/>
          <a:ln w="15875">
            <a:solidFill>
              <a:sysClr val="windowText" lastClr="000000"/>
            </a:solidFill>
          </a:ln>
          <a:effectLst/>
        </c:spPr>
        <c:txPr>
          <a:bodyPr rot="-60000000" vert="horz"/>
          <a:lstStyle/>
          <a:p>
            <a:pPr>
              <a:defRPr lang="en-IN"/>
            </a:pPr>
            <a:endParaRPr lang="en-US"/>
          </a:p>
        </c:txPr>
        <c:crossAx val="43123456"/>
        <c:crosses val="autoZero"/>
        <c:crossBetween val="between"/>
      </c:valAx>
      <c:spPr>
        <a:noFill/>
        <a:ln>
          <a:solidFill>
            <a:schemeClr val="tx1"/>
          </a:solidFill>
        </a:ln>
        <a:effectLst/>
      </c:spPr>
    </c:plotArea>
    <c:legend>
      <c:legendPos val="b"/>
      <c:layout>
        <c:manualLayout>
          <c:xMode val="edge"/>
          <c:yMode val="edge"/>
          <c:x val="0.17954802843522136"/>
          <c:y val="8.4001528831299452E-2"/>
          <c:w val="0.51768696736981967"/>
          <c:h val="6.5313380667711432E-2"/>
        </c:manualLayout>
      </c:layout>
      <c:overlay val="0"/>
      <c:spPr>
        <a:noFill/>
        <a:ln>
          <a:noFill/>
        </a:ln>
        <a:effectLst/>
      </c:spPr>
      <c:txPr>
        <a:bodyPr rot="0" vert="horz"/>
        <a:lstStyle/>
        <a:p>
          <a:pPr>
            <a:defRPr lang="en-IN"/>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b="1">
          <a:solidFill>
            <a:sysClr val="windowText" lastClr="000000"/>
          </a:solidFill>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F3A7D-30DB-4C0A-95A8-7B52E2DD2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2205</Words>
  <Characters>12572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14</cp:revision>
  <dcterms:created xsi:type="dcterms:W3CDTF">2022-09-05T17:57:00Z</dcterms:created>
  <dcterms:modified xsi:type="dcterms:W3CDTF">2022-09-09T10:56:00Z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a6e63c69-175d-332c-b2f9-38addd905c50</vt:lpwstr>
  </property>
  <property fmtid="{D5CDD505-2E9C-101B-9397-08002B2CF9AE}" pid="4" name="Mendeley Citation Style_1">
    <vt:lpwstr>http://www.zotero.org/styles/apa</vt:lpwstr>
  </property>
  <property fmtid="{D5CDD505-2E9C-101B-9397-08002B2CF9AE}" pid="5" name="Mendeley Recent Style Id 0_1">
    <vt:lpwstr>http://www.zotero.org/styles/agriculture</vt:lpwstr>
  </property>
  <property fmtid="{D5CDD505-2E9C-101B-9397-08002B2CF9AE}" pid="6" name="Mendeley Recent Style Name 0_1">
    <vt:lpwstr>Agriculture</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http://www.zotero.org/styles/decision-indian-institute-of-management-calcutta</vt:lpwstr>
  </property>
  <property fmtid="{D5CDD505-2E9C-101B-9397-08002B2CF9AE}" pid="12" name="Mendeley Recent Style Name 3_1">
    <vt:lpwstr>DECISION - Indian Institute of Management Calcutta</vt:lpwstr>
  </property>
  <property fmtid="{D5CDD505-2E9C-101B-9397-08002B2CF9AE}" pid="13" name="Mendeley Recent Style Id 4_1">
    <vt:lpwstr>http://www.zotero.org/styles/field-crops-research</vt:lpwstr>
  </property>
  <property fmtid="{D5CDD505-2E9C-101B-9397-08002B2CF9AE}" pid="14" name="Mendeley Recent Style Name 4_1">
    <vt:lpwstr>Field Crops Research</vt:lpwstr>
  </property>
  <property fmtid="{D5CDD505-2E9C-101B-9397-08002B2CF9AE}" pid="15" name="Mendeley Recent Style Id 5_1">
    <vt:lpwstr>https://csl.mendeley.com/styles/523555361/IJA</vt:lpwstr>
  </property>
  <property fmtid="{D5CDD505-2E9C-101B-9397-08002B2CF9AE}" pid="16" name="Mendeley Recent Style Name 5_1">
    <vt:lpwstr>Indian Journal of Agronomy - Sukamal Sarkar, PhD</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http://www.zotero.org/styles/springer-basic-author-date</vt:lpwstr>
  </property>
  <property fmtid="{D5CDD505-2E9C-101B-9397-08002B2CF9AE}" pid="20" name="Mendeley Recent Style Name 7_1">
    <vt:lpwstr>Springer - Basic (author-date)</vt:lpwstr>
  </property>
  <property fmtid="{D5CDD505-2E9C-101B-9397-08002B2CF9AE}" pid="21" name="Mendeley Recent Style Id 8_1">
    <vt:lpwstr>http://csl.mendeley.com/styles/523555361/water-alternatives</vt:lpwstr>
  </property>
  <property fmtid="{D5CDD505-2E9C-101B-9397-08002B2CF9AE}" pid="22" name="Mendeley Recent Style Name 8_1">
    <vt:lpwstr>Water Alternatives - Sukamal Sarkar, PhD Pursuing</vt:lpwstr>
  </property>
  <property fmtid="{D5CDD505-2E9C-101B-9397-08002B2CF9AE}" pid="23" name="Mendeley Recent Style Id 9_1">
    <vt:lpwstr>http://www.zotero.org/styles/wiley-vch-books</vt:lpwstr>
  </property>
  <property fmtid="{D5CDD505-2E9C-101B-9397-08002B2CF9AE}" pid="24" name="Mendeley Recent Style Name 9_1">
    <vt:lpwstr>Wiley-VCH books</vt:lpwstr>
  </property>
</Properties>
</file>