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0300" w14:textId="45810871" w:rsidR="005818EF" w:rsidRPr="00B90490" w:rsidRDefault="005818EF" w:rsidP="005818EF">
      <w:pPr>
        <w:spacing w:line="480" w:lineRule="auto"/>
        <w:rPr>
          <w:rFonts w:ascii="Times" w:hAnsi="Times" w:cs="Times"/>
          <w:b/>
          <w:bCs/>
          <w:color w:val="000000" w:themeColor="text1"/>
          <w:sz w:val="24"/>
          <w:szCs w:val="24"/>
          <w:shd w:val="clear" w:color="auto" w:fill="FFFFFF"/>
        </w:rPr>
      </w:pPr>
      <w:r w:rsidRPr="00B90490">
        <w:rPr>
          <w:rFonts w:ascii="Times" w:hAnsi="Times" w:cs="Times"/>
          <w:b/>
          <w:bCs/>
          <w:color w:val="000000" w:themeColor="text1"/>
          <w:sz w:val="24"/>
          <w:szCs w:val="24"/>
          <w:shd w:val="clear" w:color="auto" w:fill="FFFFFF"/>
        </w:rPr>
        <w:t>Table S</w:t>
      </w:r>
      <w:r w:rsidR="008A6025" w:rsidRPr="00B90490">
        <w:rPr>
          <w:rFonts w:ascii="Times" w:hAnsi="Times" w:cs="Times"/>
          <w:b/>
          <w:bCs/>
          <w:color w:val="000000" w:themeColor="text1"/>
          <w:sz w:val="24"/>
          <w:szCs w:val="24"/>
          <w:shd w:val="clear" w:color="auto" w:fill="FFFFFF"/>
        </w:rPr>
        <w:t>2</w:t>
      </w:r>
      <w:r w:rsidR="000B715A">
        <w:rPr>
          <w:rFonts w:ascii="Times" w:hAnsi="Times" w:cs="Times"/>
          <w:b/>
          <w:bCs/>
          <w:color w:val="000000" w:themeColor="text1"/>
          <w:sz w:val="24"/>
          <w:szCs w:val="24"/>
          <w:shd w:val="clear" w:color="auto" w:fill="FFFFFF"/>
        </w:rPr>
        <w:t>:</w:t>
      </w:r>
      <w:r w:rsidRPr="00B90490">
        <w:rPr>
          <w:rFonts w:ascii="Times" w:hAnsi="Times" w:cs="Times"/>
          <w:b/>
          <w:bCs/>
          <w:color w:val="000000" w:themeColor="text1"/>
          <w:sz w:val="24"/>
          <w:szCs w:val="24"/>
          <w:shd w:val="clear" w:color="auto" w:fill="FFFFFF"/>
        </w:rPr>
        <w:t xml:space="preserve"> </w:t>
      </w:r>
      <w:r w:rsidRPr="00B90490">
        <w:rPr>
          <w:rFonts w:ascii="Times" w:hAnsi="Times" w:cs="Times"/>
          <w:b/>
          <w:bCs/>
          <w:color w:val="000000" w:themeColor="text1"/>
          <w:sz w:val="24"/>
          <w:szCs w:val="24"/>
        </w:rPr>
        <w:t xml:space="preserve">Relative gene expression fold change of ACE2 mRNAs in different </w:t>
      </w:r>
      <w:r w:rsidRPr="00B90490">
        <w:rPr>
          <w:rFonts w:ascii="Times" w:hAnsi="Times" w:cs="Times"/>
          <w:b/>
          <w:bCs/>
          <w:color w:val="000000" w:themeColor="text1"/>
          <w:sz w:val="24"/>
          <w:szCs w:val="24"/>
          <w:shd w:val="clear" w:color="auto" w:fill="FFFFFF"/>
        </w:rPr>
        <w:t>cell types</w:t>
      </w:r>
      <w:r w:rsidR="00B90490">
        <w:rPr>
          <w:rFonts w:ascii="Times" w:hAnsi="Times" w:cs="Times"/>
          <w:b/>
          <w:bCs/>
          <w:color w:val="000000" w:themeColor="text1"/>
          <w:sz w:val="24"/>
          <w:szCs w:val="24"/>
          <w:shd w:val="clear" w:color="auto" w:fill="FFFFFF"/>
        </w:rPr>
        <w:t>.</w:t>
      </w:r>
    </w:p>
    <w:tbl>
      <w:tblPr>
        <w:tblStyle w:val="TableGrid"/>
        <w:tblW w:w="0" w:type="auto"/>
        <w:tblInd w:w="2290" w:type="dxa"/>
        <w:tblLayout w:type="fixed"/>
        <w:tblLook w:val="04A0" w:firstRow="1" w:lastRow="0" w:firstColumn="1" w:lastColumn="0" w:noHBand="0" w:noVBand="1"/>
      </w:tblPr>
      <w:tblGrid>
        <w:gridCol w:w="1681"/>
        <w:gridCol w:w="2054"/>
        <w:gridCol w:w="1980"/>
      </w:tblGrid>
      <w:tr w:rsidR="003A3B31" w:rsidRPr="00B014BF" w14:paraId="54A59CB1" w14:textId="77777777" w:rsidTr="003D1581">
        <w:tc>
          <w:tcPr>
            <w:tcW w:w="1681" w:type="dxa"/>
          </w:tcPr>
          <w:p w14:paraId="32469536" w14:textId="278D2BAE" w:rsidR="003A3B31" w:rsidRPr="00B014BF" w:rsidRDefault="003A3B31" w:rsidP="003A3B31">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Group</w:t>
            </w:r>
          </w:p>
        </w:tc>
        <w:tc>
          <w:tcPr>
            <w:tcW w:w="4034" w:type="dxa"/>
            <w:gridSpan w:val="2"/>
          </w:tcPr>
          <w:p w14:paraId="4A204FE3" w14:textId="12C19851" w:rsidR="003D1581" w:rsidRPr="00B014BF" w:rsidRDefault="003A3B31" w:rsidP="003D1581">
            <w:pPr>
              <w:spacing w:line="480" w:lineRule="auto"/>
              <w:jc w:val="center"/>
              <w:rPr>
                <w:rFonts w:ascii="Times" w:hAnsi="Times" w:cs="Times"/>
                <w:b/>
                <w:bCs/>
                <w:color w:val="000000" w:themeColor="text1"/>
                <w:sz w:val="24"/>
                <w:szCs w:val="24"/>
                <w:shd w:val="clear" w:color="auto" w:fill="FFFFFF"/>
              </w:rPr>
            </w:pPr>
            <w:r w:rsidRPr="00B014BF">
              <w:rPr>
                <w:rFonts w:ascii="Times" w:hAnsi="Times" w:cs="Times"/>
                <w:b/>
                <w:bCs/>
                <w:color w:val="000000" w:themeColor="text1"/>
                <w:sz w:val="24"/>
                <w:szCs w:val="24"/>
                <w:shd w:val="clear" w:color="auto" w:fill="FFFFFF"/>
              </w:rPr>
              <w:t>Expression Fold Change</w:t>
            </w:r>
            <w:r w:rsidR="003D1581" w:rsidRPr="00B014BF">
              <w:rPr>
                <w:rFonts w:ascii="Times" w:hAnsi="Times" w:cs="Times"/>
                <w:b/>
                <w:bCs/>
                <w:color w:val="000000" w:themeColor="text1"/>
                <w:sz w:val="24"/>
                <w:szCs w:val="24"/>
                <w:shd w:val="clear" w:color="auto" w:fill="FFFFFF"/>
              </w:rPr>
              <w:t xml:space="preserve"> of ACE2</w:t>
            </w:r>
          </w:p>
        </w:tc>
      </w:tr>
      <w:tr w:rsidR="003A3B31" w:rsidRPr="00B014BF" w14:paraId="69391169" w14:textId="77777777" w:rsidTr="003D1581">
        <w:tc>
          <w:tcPr>
            <w:tcW w:w="1681" w:type="dxa"/>
          </w:tcPr>
          <w:p w14:paraId="70791B59" w14:textId="1E3A233A" w:rsidR="003A3B31" w:rsidRPr="00B014BF" w:rsidRDefault="003A3B31" w:rsidP="003A3B31">
            <w:pPr>
              <w:spacing w:line="480" w:lineRule="auto"/>
              <w:jc w:val="center"/>
              <w:rPr>
                <w:rFonts w:ascii="Times" w:hAnsi="Times" w:cs="Times"/>
                <w:color w:val="000000" w:themeColor="text1"/>
                <w:sz w:val="24"/>
                <w:szCs w:val="24"/>
                <w:shd w:val="clear" w:color="auto" w:fill="FFFFFF"/>
              </w:rPr>
            </w:pPr>
            <w:proofErr w:type="spellStart"/>
            <w:r w:rsidRPr="00B014BF">
              <w:rPr>
                <w:rFonts w:ascii="Times" w:hAnsi="Times" w:cs="Times"/>
                <w:color w:val="000000" w:themeColor="text1"/>
                <w:sz w:val="24"/>
                <w:szCs w:val="24"/>
                <w:shd w:val="clear" w:color="auto" w:fill="FFFFFF"/>
              </w:rPr>
              <w:t>iMΦ</w:t>
            </w:r>
            <w:proofErr w:type="spellEnd"/>
          </w:p>
        </w:tc>
        <w:tc>
          <w:tcPr>
            <w:tcW w:w="2054" w:type="dxa"/>
            <w:tcBorders>
              <w:bottom w:val="single" w:sz="4" w:space="0" w:color="auto"/>
              <w:right w:val="nil"/>
            </w:tcBorders>
          </w:tcPr>
          <w:p w14:paraId="711B187F" w14:textId="2C09E3BD"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0.01</w:t>
            </w:r>
          </w:p>
        </w:tc>
        <w:tc>
          <w:tcPr>
            <w:tcW w:w="1980" w:type="dxa"/>
            <w:tcBorders>
              <w:left w:val="nil"/>
            </w:tcBorders>
          </w:tcPr>
          <w:p w14:paraId="3787A105" w14:textId="0892F537"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0.01</w:t>
            </w:r>
          </w:p>
        </w:tc>
      </w:tr>
      <w:tr w:rsidR="003A3B31" w:rsidRPr="00B014BF" w14:paraId="19128207" w14:textId="77777777" w:rsidTr="003D1581">
        <w:tc>
          <w:tcPr>
            <w:tcW w:w="1681" w:type="dxa"/>
          </w:tcPr>
          <w:p w14:paraId="4D5DC5C1" w14:textId="066CC591"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293T/17</w:t>
            </w:r>
          </w:p>
        </w:tc>
        <w:tc>
          <w:tcPr>
            <w:tcW w:w="2054" w:type="dxa"/>
            <w:tcBorders>
              <w:bottom w:val="single" w:sz="4" w:space="0" w:color="auto"/>
              <w:right w:val="nil"/>
            </w:tcBorders>
          </w:tcPr>
          <w:p w14:paraId="21786A70" w14:textId="383F1BD5"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1.05</w:t>
            </w:r>
          </w:p>
        </w:tc>
        <w:tc>
          <w:tcPr>
            <w:tcW w:w="1980" w:type="dxa"/>
            <w:tcBorders>
              <w:left w:val="nil"/>
            </w:tcBorders>
          </w:tcPr>
          <w:p w14:paraId="2397FEB1" w14:textId="3395A98B"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0.95</w:t>
            </w:r>
          </w:p>
        </w:tc>
      </w:tr>
      <w:tr w:rsidR="003A3B31" w:rsidRPr="00B014BF" w14:paraId="5513CE1A" w14:textId="77777777" w:rsidTr="003D1581">
        <w:tc>
          <w:tcPr>
            <w:tcW w:w="1681" w:type="dxa"/>
          </w:tcPr>
          <w:p w14:paraId="76130315" w14:textId="7CE21F65"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A549-ACE2</w:t>
            </w:r>
          </w:p>
        </w:tc>
        <w:tc>
          <w:tcPr>
            <w:tcW w:w="2054" w:type="dxa"/>
            <w:tcBorders>
              <w:right w:val="nil"/>
            </w:tcBorders>
          </w:tcPr>
          <w:p w14:paraId="526A33D7" w14:textId="12B9304A"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80.53</w:t>
            </w:r>
          </w:p>
        </w:tc>
        <w:tc>
          <w:tcPr>
            <w:tcW w:w="1980" w:type="dxa"/>
            <w:tcBorders>
              <w:left w:val="nil"/>
            </w:tcBorders>
          </w:tcPr>
          <w:p w14:paraId="4F5398A5" w14:textId="725DE71C" w:rsidR="003A3B31" w:rsidRPr="00B014BF" w:rsidRDefault="003A3B31" w:rsidP="003A3B31">
            <w:pPr>
              <w:spacing w:line="480" w:lineRule="auto"/>
              <w:jc w:val="center"/>
              <w:rPr>
                <w:rFonts w:ascii="Times" w:hAnsi="Times" w:cs="Times"/>
                <w:color w:val="000000" w:themeColor="text1"/>
                <w:sz w:val="24"/>
                <w:szCs w:val="24"/>
                <w:shd w:val="clear" w:color="auto" w:fill="FFFFFF"/>
              </w:rPr>
            </w:pPr>
            <w:r w:rsidRPr="00B014BF">
              <w:rPr>
                <w:rFonts w:ascii="Times" w:hAnsi="Times" w:cs="Times"/>
                <w:color w:val="000000" w:themeColor="text1"/>
                <w:sz w:val="24"/>
                <w:szCs w:val="24"/>
                <w:shd w:val="clear" w:color="auto" w:fill="FFFFFF"/>
              </w:rPr>
              <w:t>83.49</w:t>
            </w:r>
          </w:p>
        </w:tc>
      </w:tr>
    </w:tbl>
    <w:p w14:paraId="1FF97E8F" w14:textId="3B81EDA1" w:rsidR="005818EF" w:rsidRDefault="005818EF" w:rsidP="009A74B1">
      <w:pPr>
        <w:spacing w:line="480" w:lineRule="auto"/>
        <w:rPr>
          <w:rFonts w:ascii="Times" w:hAnsi="Times" w:cs="Times"/>
          <w:b/>
          <w:bCs/>
          <w:color w:val="000000" w:themeColor="text1"/>
          <w:sz w:val="24"/>
          <w:szCs w:val="24"/>
          <w:shd w:val="clear" w:color="auto" w:fill="FFFFFF"/>
        </w:rPr>
      </w:pPr>
    </w:p>
    <w:p w14:paraId="02861A99" w14:textId="6DB722A4" w:rsidR="006D53CB" w:rsidRDefault="006D53CB" w:rsidP="009A74B1">
      <w:pPr>
        <w:spacing w:line="480" w:lineRule="auto"/>
        <w:rPr>
          <w:rFonts w:ascii="Times" w:hAnsi="Times" w:cs="Times"/>
          <w:b/>
          <w:bCs/>
          <w:color w:val="000000" w:themeColor="text1"/>
          <w:sz w:val="24"/>
          <w:szCs w:val="24"/>
          <w:shd w:val="clear" w:color="auto" w:fill="FFFFFF"/>
        </w:rPr>
      </w:pPr>
    </w:p>
    <w:sectPr w:rsidR="006D53CB" w:rsidSect="00B014B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E66D" w14:textId="77777777" w:rsidR="004D7AC4" w:rsidRDefault="004D7AC4" w:rsidP="009A74B1">
      <w:pPr>
        <w:spacing w:after="0" w:line="240" w:lineRule="auto"/>
      </w:pPr>
      <w:r>
        <w:separator/>
      </w:r>
    </w:p>
  </w:endnote>
  <w:endnote w:type="continuationSeparator" w:id="0">
    <w:p w14:paraId="65728ADC" w14:textId="77777777" w:rsidR="004D7AC4" w:rsidRDefault="004D7AC4" w:rsidP="009A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373E" w14:textId="77777777" w:rsidR="004D7AC4" w:rsidRDefault="004D7AC4" w:rsidP="009A74B1">
      <w:pPr>
        <w:spacing w:after="0" w:line="240" w:lineRule="auto"/>
      </w:pPr>
      <w:r>
        <w:separator/>
      </w:r>
    </w:p>
  </w:footnote>
  <w:footnote w:type="continuationSeparator" w:id="0">
    <w:p w14:paraId="0A63E973" w14:textId="77777777" w:rsidR="004D7AC4" w:rsidRDefault="004D7AC4" w:rsidP="009A7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B1"/>
    <w:rsid w:val="00000ABE"/>
    <w:rsid w:val="000518F7"/>
    <w:rsid w:val="0005567D"/>
    <w:rsid w:val="000A3278"/>
    <w:rsid w:val="000B715A"/>
    <w:rsid w:val="000B799F"/>
    <w:rsid w:val="000F5345"/>
    <w:rsid w:val="00136BFE"/>
    <w:rsid w:val="001A4290"/>
    <w:rsid w:val="00204BFC"/>
    <w:rsid w:val="0021722D"/>
    <w:rsid w:val="00285BC8"/>
    <w:rsid w:val="00287E93"/>
    <w:rsid w:val="002A7229"/>
    <w:rsid w:val="00343998"/>
    <w:rsid w:val="00353935"/>
    <w:rsid w:val="0036793A"/>
    <w:rsid w:val="003A3971"/>
    <w:rsid w:val="003A3B31"/>
    <w:rsid w:val="003A577E"/>
    <w:rsid w:val="003B1588"/>
    <w:rsid w:val="003B2E15"/>
    <w:rsid w:val="003D1581"/>
    <w:rsid w:val="003D243E"/>
    <w:rsid w:val="003E6B3C"/>
    <w:rsid w:val="00417C28"/>
    <w:rsid w:val="0045624C"/>
    <w:rsid w:val="00472579"/>
    <w:rsid w:val="00474B97"/>
    <w:rsid w:val="004A42E8"/>
    <w:rsid w:val="004D0105"/>
    <w:rsid w:val="004D7AC4"/>
    <w:rsid w:val="00542F2B"/>
    <w:rsid w:val="005818EF"/>
    <w:rsid w:val="005864B3"/>
    <w:rsid w:val="00586B17"/>
    <w:rsid w:val="00587548"/>
    <w:rsid w:val="00592F02"/>
    <w:rsid w:val="005B4C34"/>
    <w:rsid w:val="005B5935"/>
    <w:rsid w:val="005D6644"/>
    <w:rsid w:val="005F615D"/>
    <w:rsid w:val="00602B93"/>
    <w:rsid w:val="00604DE6"/>
    <w:rsid w:val="00621218"/>
    <w:rsid w:val="006528A8"/>
    <w:rsid w:val="006846AE"/>
    <w:rsid w:val="00692C29"/>
    <w:rsid w:val="006D53CB"/>
    <w:rsid w:val="00703572"/>
    <w:rsid w:val="00713CF3"/>
    <w:rsid w:val="007457A4"/>
    <w:rsid w:val="0074665B"/>
    <w:rsid w:val="00756153"/>
    <w:rsid w:val="00775B1C"/>
    <w:rsid w:val="007B2CAD"/>
    <w:rsid w:val="007D1392"/>
    <w:rsid w:val="00800BDD"/>
    <w:rsid w:val="0082494F"/>
    <w:rsid w:val="00846A4E"/>
    <w:rsid w:val="008841C5"/>
    <w:rsid w:val="008A6025"/>
    <w:rsid w:val="008C3A44"/>
    <w:rsid w:val="008D1478"/>
    <w:rsid w:val="009346C4"/>
    <w:rsid w:val="0093658C"/>
    <w:rsid w:val="009A74B1"/>
    <w:rsid w:val="009C30ED"/>
    <w:rsid w:val="009F2E16"/>
    <w:rsid w:val="00A0537D"/>
    <w:rsid w:val="00A0692D"/>
    <w:rsid w:val="00A54E0C"/>
    <w:rsid w:val="00AA4521"/>
    <w:rsid w:val="00AB05C9"/>
    <w:rsid w:val="00AE0F4A"/>
    <w:rsid w:val="00B014BF"/>
    <w:rsid w:val="00B57E92"/>
    <w:rsid w:val="00B6346C"/>
    <w:rsid w:val="00B86435"/>
    <w:rsid w:val="00B90490"/>
    <w:rsid w:val="00B94329"/>
    <w:rsid w:val="00BA6BB6"/>
    <w:rsid w:val="00BA6F42"/>
    <w:rsid w:val="00BB03AD"/>
    <w:rsid w:val="00BE4C41"/>
    <w:rsid w:val="00BF3708"/>
    <w:rsid w:val="00BF799E"/>
    <w:rsid w:val="00C04C4D"/>
    <w:rsid w:val="00C5458B"/>
    <w:rsid w:val="00CB152D"/>
    <w:rsid w:val="00D23943"/>
    <w:rsid w:val="00D55A01"/>
    <w:rsid w:val="00D863C2"/>
    <w:rsid w:val="00DC1D25"/>
    <w:rsid w:val="00DC35EC"/>
    <w:rsid w:val="00E23F81"/>
    <w:rsid w:val="00EB66A5"/>
    <w:rsid w:val="00EE4BE2"/>
    <w:rsid w:val="00EF7406"/>
    <w:rsid w:val="00FB42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1046"/>
  <w15:chartTrackingRefBased/>
  <w15:docId w15:val="{32D4EE00-7F6F-40DB-951B-F5990732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B1"/>
  </w:style>
  <w:style w:type="paragraph" w:styleId="Footer">
    <w:name w:val="footer"/>
    <w:basedOn w:val="Normal"/>
    <w:link w:val="FooterChar"/>
    <w:uiPriority w:val="99"/>
    <w:unhideWhenUsed/>
    <w:rsid w:val="009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B1"/>
  </w:style>
  <w:style w:type="character" w:styleId="PageNumber">
    <w:name w:val="page number"/>
    <w:aliases w:val="In table font,Nui -1"/>
    <w:basedOn w:val="DefaultParagraphFont"/>
    <w:rsid w:val="00C5458B"/>
  </w:style>
  <w:style w:type="paragraph" w:customStyle="1" w:styleId="a">
    <w:name w:val="เนื้อเรื่อง"/>
    <w:basedOn w:val="Normal"/>
    <w:rsid w:val="00BF799E"/>
    <w:pPr>
      <w:spacing w:after="0" w:line="240" w:lineRule="auto"/>
      <w:ind w:right="386"/>
    </w:pPr>
    <w:rPr>
      <w:rFonts w:ascii="Cordia New" w:eastAsia="Times New Roman" w:hAnsi="Cordia New" w:cs="Cordia New"/>
      <w:sz w:val="20"/>
      <w:szCs w:val="20"/>
      <w:lang w:val="en-GB" w:bidi="th-TH"/>
    </w:rPr>
  </w:style>
  <w:style w:type="table" w:styleId="TableGrid">
    <w:name w:val="Table Grid"/>
    <w:basedOn w:val="TableNormal"/>
    <w:uiPriority w:val="39"/>
    <w:rsid w:val="00BF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3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80443">
      <w:bodyDiv w:val="1"/>
      <w:marLeft w:val="0"/>
      <w:marRight w:val="0"/>
      <w:marTop w:val="0"/>
      <w:marBottom w:val="0"/>
      <w:divBdr>
        <w:top w:val="none" w:sz="0" w:space="0" w:color="auto"/>
        <w:left w:val="none" w:sz="0" w:space="0" w:color="auto"/>
        <w:bottom w:val="none" w:sz="0" w:space="0" w:color="auto"/>
        <w:right w:val="none" w:sz="0" w:space="0" w:color="auto"/>
      </w:divBdr>
    </w:div>
    <w:div w:id="520166114">
      <w:bodyDiv w:val="1"/>
      <w:marLeft w:val="0"/>
      <w:marRight w:val="0"/>
      <w:marTop w:val="0"/>
      <w:marBottom w:val="0"/>
      <w:divBdr>
        <w:top w:val="none" w:sz="0" w:space="0" w:color="auto"/>
        <w:left w:val="none" w:sz="0" w:space="0" w:color="auto"/>
        <w:bottom w:val="none" w:sz="0" w:space="0" w:color="auto"/>
        <w:right w:val="none" w:sz="0" w:space="0" w:color="auto"/>
      </w:divBdr>
    </w:div>
    <w:div w:id="563415842">
      <w:bodyDiv w:val="1"/>
      <w:marLeft w:val="0"/>
      <w:marRight w:val="0"/>
      <w:marTop w:val="0"/>
      <w:marBottom w:val="0"/>
      <w:divBdr>
        <w:top w:val="none" w:sz="0" w:space="0" w:color="auto"/>
        <w:left w:val="none" w:sz="0" w:space="0" w:color="auto"/>
        <w:bottom w:val="none" w:sz="0" w:space="0" w:color="auto"/>
        <w:right w:val="none" w:sz="0" w:space="0" w:color="auto"/>
      </w:divBdr>
      <w:divsChild>
        <w:div w:id="1374887048">
          <w:marLeft w:val="480"/>
          <w:marRight w:val="0"/>
          <w:marTop w:val="0"/>
          <w:marBottom w:val="0"/>
          <w:divBdr>
            <w:top w:val="none" w:sz="0" w:space="0" w:color="auto"/>
            <w:left w:val="none" w:sz="0" w:space="0" w:color="auto"/>
            <w:bottom w:val="none" w:sz="0" w:space="0" w:color="auto"/>
            <w:right w:val="none" w:sz="0" w:space="0" w:color="auto"/>
          </w:divBdr>
        </w:div>
        <w:div w:id="247427498">
          <w:marLeft w:val="480"/>
          <w:marRight w:val="0"/>
          <w:marTop w:val="0"/>
          <w:marBottom w:val="0"/>
          <w:divBdr>
            <w:top w:val="none" w:sz="0" w:space="0" w:color="auto"/>
            <w:left w:val="none" w:sz="0" w:space="0" w:color="auto"/>
            <w:bottom w:val="none" w:sz="0" w:space="0" w:color="auto"/>
            <w:right w:val="none" w:sz="0" w:space="0" w:color="auto"/>
          </w:divBdr>
        </w:div>
      </w:divsChild>
    </w:div>
    <w:div w:id="864951543">
      <w:bodyDiv w:val="1"/>
      <w:marLeft w:val="0"/>
      <w:marRight w:val="0"/>
      <w:marTop w:val="0"/>
      <w:marBottom w:val="0"/>
      <w:divBdr>
        <w:top w:val="none" w:sz="0" w:space="0" w:color="auto"/>
        <w:left w:val="none" w:sz="0" w:space="0" w:color="auto"/>
        <w:bottom w:val="none" w:sz="0" w:space="0" w:color="auto"/>
        <w:right w:val="none" w:sz="0" w:space="0" w:color="auto"/>
      </w:divBdr>
      <w:divsChild>
        <w:div w:id="1271741491">
          <w:marLeft w:val="640"/>
          <w:marRight w:val="0"/>
          <w:marTop w:val="0"/>
          <w:marBottom w:val="0"/>
          <w:divBdr>
            <w:top w:val="none" w:sz="0" w:space="0" w:color="auto"/>
            <w:left w:val="none" w:sz="0" w:space="0" w:color="auto"/>
            <w:bottom w:val="none" w:sz="0" w:space="0" w:color="auto"/>
            <w:right w:val="none" w:sz="0" w:space="0" w:color="auto"/>
          </w:divBdr>
        </w:div>
        <w:div w:id="101267731">
          <w:marLeft w:val="640"/>
          <w:marRight w:val="0"/>
          <w:marTop w:val="0"/>
          <w:marBottom w:val="0"/>
          <w:divBdr>
            <w:top w:val="none" w:sz="0" w:space="0" w:color="auto"/>
            <w:left w:val="none" w:sz="0" w:space="0" w:color="auto"/>
            <w:bottom w:val="none" w:sz="0" w:space="0" w:color="auto"/>
            <w:right w:val="none" w:sz="0" w:space="0" w:color="auto"/>
          </w:divBdr>
        </w:div>
      </w:divsChild>
    </w:div>
    <w:div w:id="1116951668">
      <w:bodyDiv w:val="1"/>
      <w:marLeft w:val="0"/>
      <w:marRight w:val="0"/>
      <w:marTop w:val="0"/>
      <w:marBottom w:val="0"/>
      <w:divBdr>
        <w:top w:val="none" w:sz="0" w:space="0" w:color="auto"/>
        <w:left w:val="none" w:sz="0" w:space="0" w:color="auto"/>
        <w:bottom w:val="none" w:sz="0" w:space="0" w:color="auto"/>
        <w:right w:val="none" w:sz="0" w:space="0" w:color="auto"/>
      </w:divBdr>
      <w:divsChild>
        <w:div w:id="1103577234">
          <w:marLeft w:val="640"/>
          <w:marRight w:val="0"/>
          <w:marTop w:val="0"/>
          <w:marBottom w:val="0"/>
          <w:divBdr>
            <w:top w:val="none" w:sz="0" w:space="0" w:color="auto"/>
            <w:left w:val="none" w:sz="0" w:space="0" w:color="auto"/>
            <w:bottom w:val="none" w:sz="0" w:space="0" w:color="auto"/>
            <w:right w:val="none" w:sz="0" w:space="0" w:color="auto"/>
          </w:divBdr>
        </w:div>
        <w:div w:id="1059474182">
          <w:marLeft w:val="640"/>
          <w:marRight w:val="0"/>
          <w:marTop w:val="0"/>
          <w:marBottom w:val="0"/>
          <w:divBdr>
            <w:top w:val="none" w:sz="0" w:space="0" w:color="auto"/>
            <w:left w:val="none" w:sz="0" w:space="0" w:color="auto"/>
            <w:bottom w:val="none" w:sz="0" w:space="0" w:color="auto"/>
            <w:right w:val="none" w:sz="0" w:space="0" w:color="auto"/>
          </w:divBdr>
        </w:div>
      </w:divsChild>
    </w:div>
    <w:div w:id="1362977656">
      <w:bodyDiv w:val="1"/>
      <w:marLeft w:val="0"/>
      <w:marRight w:val="0"/>
      <w:marTop w:val="0"/>
      <w:marBottom w:val="0"/>
      <w:divBdr>
        <w:top w:val="none" w:sz="0" w:space="0" w:color="auto"/>
        <w:left w:val="none" w:sz="0" w:space="0" w:color="auto"/>
        <w:bottom w:val="none" w:sz="0" w:space="0" w:color="auto"/>
        <w:right w:val="none" w:sz="0" w:space="0" w:color="auto"/>
      </w:divBdr>
      <w:divsChild>
        <w:div w:id="347609374">
          <w:marLeft w:val="480"/>
          <w:marRight w:val="0"/>
          <w:marTop w:val="0"/>
          <w:marBottom w:val="0"/>
          <w:divBdr>
            <w:top w:val="none" w:sz="0" w:space="0" w:color="auto"/>
            <w:left w:val="none" w:sz="0" w:space="0" w:color="auto"/>
            <w:bottom w:val="none" w:sz="0" w:space="0" w:color="auto"/>
            <w:right w:val="none" w:sz="0" w:space="0" w:color="auto"/>
          </w:divBdr>
        </w:div>
        <w:div w:id="797724406">
          <w:marLeft w:val="480"/>
          <w:marRight w:val="0"/>
          <w:marTop w:val="0"/>
          <w:marBottom w:val="0"/>
          <w:divBdr>
            <w:top w:val="none" w:sz="0" w:space="0" w:color="auto"/>
            <w:left w:val="none" w:sz="0" w:space="0" w:color="auto"/>
            <w:bottom w:val="none" w:sz="0" w:space="0" w:color="auto"/>
            <w:right w:val="none" w:sz="0" w:space="0" w:color="auto"/>
          </w:divBdr>
        </w:div>
      </w:divsChild>
    </w:div>
    <w:div w:id="1392655197">
      <w:bodyDiv w:val="1"/>
      <w:marLeft w:val="0"/>
      <w:marRight w:val="0"/>
      <w:marTop w:val="0"/>
      <w:marBottom w:val="0"/>
      <w:divBdr>
        <w:top w:val="none" w:sz="0" w:space="0" w:color="auto"/>
        <w:left w:val="none" w:sz="0" w:space="0" w:color="auto"/>
        <w:bottom w:val="none" w:sz="0" w:space="0" w:color="auto"/>
        <w:right w:val="none" w:sz="0" w:space="0" w:color="auto"/>
      </w:divBdr>
      <w:divsChild>
        <w:div w:id="1937130468">
          <w:marLeft w:val="480"/>
          <w:marRight w:val="0"/>
          <w:marTop w:val="0"/>
          <w:marBottom w:val="0"/>
          <w:divBdr>
            <w:top w:val="none" w:sz="0" w:space="0" w:color="auto"/>
            <w:left w:val="none" w:sz="0" w:space="0" w:color="auto"/>
            <w:bottom w:val="none" w:sz="0" w:space="0" w:color="auto"/>
            <w:right w:val="none" w:sz="0" w:space="0" w:color="auto"/>
          </w:divBdr>
        </w:div>
        <w:div w:id="750394742">
          <w:marLeft w:val="480"/>
          <w:marRight w:val="0"/>
          <w:marTop w:val="0"/>
          <w:marBottom w:val="0"/>
          <w:divBdr>
            <w:top w:val="none" w:sz="0" w:space="0" w:color="auto"/>
            <w:left w:val="none" w:sz="0" w:space="0" w:color="auto"/>
            <w:bottom w:val="none" w:sz="0" w:space="0" w:color="auto"/>
            <w:right w:val="none" w:sz="0" w:space="0" w:color="auto"/>
          </w:divBdr>
        </w:div>
      </w:divsChild>
    </w:div>
    <w:div w:id="1418940224">
      <w:bodyDiv w:val="1"/>
      <w:marLeft w:val="0"/>
      <w:marRight w:val="0"/>
      <w:marTop w:val="0"/>
      <w:marBottom w:val="0"/>
      <w:divBdr>
        <w:top w:val="none" w:sz="0" w:space="0" w:color="auto"/>
        <w:left w:val="none" w:sz="0" w:space="0" w:color="auto"/>
        <w:bottom w:val="none" w:sz="0" w:space="0" w:color="auto"/>
        <w:right w:val="none" w:sz="0" w:space="0" w:color="auto"/>
      </w:divBdr>
    </w:div>
    <w:div w:id="1949505205">
      <w:bodyDiv w:val="1"/>
      <w:marLeft w:val="0"/>
      <w:marRight w:val="0"/>
      <w:marTop w:val="0"/>
      <w:marBottom w:val="0"/>
      <w:divBdr>
        <w:top w:val="none" w:sz="0" w:space="0" w:color="auto"/>
        <w:left w:val="none" w:sz="0" w:space="0" w:color="auto"/>
        <w:bottom w:val="none" w:sz="0" w:space="0" w:color="auto"/>
        <w:right w:val="none" w:sz="0" w:space="0" w:color="auto"/>
      </w:divBdr>
    </w:div>
    <w:div w:id="2005738863">
      <w:bodyDiv w:val="1"/>
      <w:marLeft w:val="0"/>
      <w:marRight w:val="0"/>
      <w:marTop w:val="0"/>
      <w:marBottom w:val="0"/>
      <w:divBdr>
        <w:top w:val="none" w:sz="0" w:space="0" w:color="auto"/>
        <w:left w:val="none" w:sz="0" w:space="0" w:color="auto"/>
        <w:bottom w:val="none" w:sz="0" w:space="0" w:color="auto"/>
        <w:right w:val="none" w:sz="0" w:space="0" w:color="auto"/>
      </w:divBdr>
      <w:divsChild>
        <w:div w:id="1509367722">
          <w:marLeft w:val="640"/>
          <w:marRight w:val="0"/>
          <w:marTop w:val="0"/>
          <w:marBottom w:val="0"/>
          <w:divBdr>
            <w:top w:val="none" w:sz="0" w:space="0" w:color="auto"/>
            <w:left w:val="none" w:sz="0" w:space="0" w:color="auto"/>
            <w:bottom w:val="none" w:sz="0" w:space="0" w:color="auto"/>
            <w:right w:val="none" w:sz="0" w:space="0" w:color="auto"/>
          </w:divBdr>
        </w:div>
        <w:div w:id="1385183326">
          <w:marLeft w:val="640"/>
          <w:marRight w:val="0"/>
          <w:marTop w:val="0"/>
          <w:marBottom w:val="0"/>
          <w:divBdr>
            <w:top w:val="none" w:sz="0" w:space="0" w:color="auto"/>
            <w:left w:val="none" w:sz="0" w:space="0" w:color="auto"/>
            <w:bottom w:val="none" w:sz="0" w:space="0" w:color="auto"/>
            <w:right w:val="none" w:sz="0" w:space="0" w:color="auto"/>
          </w:divBdr>
        </w:div>
      </w:divsChild>
    </w:div>
    <w:div w:id="2053535642">
      <w:bodyDiv w:val="1"/>
      <w:marLeft w:val="0"/>
      <w:marRight w:val="0"/>
      <w:marTop w:val="0"/>
      <w:marBottom w:val="0"/>
      <w:divBdr>
        <w:top w:val="none" w:sz="0" w:space="0" w:color="auto"/>
        <w:left w:val="none" w:sz="0" w:space="0" w:color="auto"/>
        <w:bottom w:val="none" w:sz="0" w:space="0" w:color="auto"/>
        <w:right w:val="none" w:sz="0" w:space="0" w:color="auto"/>
      </w:divBdr>
    </w:div>
    <w:div w:id="20933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954431-0112-4EBB-A786-3EA1538B12C2}">
  <we:reference id="wa104382081" version="1.46.0.0" store="en-US" storeType="OMEX"/>
  <we:alternateReferences>
    <we:reference id="wa104382081" version="1.46.0.0" store="en-US" storeType="OMEX"/>
  </we:alternateReferences>
  <we:properties>
    <we:property name="MENDELEY_CITATIONS" value="[{&quot;citationID&quot;:&quot;MENDELEY_CITATION_6aec9a84-cd63-4766-aa00-0d8497cd981a&quot;,&quot;properties&quot;:{&quot;noteIndex&quot;:0},&quot;isEdited&quot;:false,&quot;manualOverride&quot;:{&quot;isManuallyOverridden&quot;:false,&quot;citeprocText&quot;:&quot;(Ma et al., 2020)&quot;,&quot;manualOverrideText&quot;:&quot;&quot;},&quot;citationTag&quot;:&quot;MENDELEY_CITATION_v3_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&quot;,&quot;citationItems&quot;:[{&quot;id&quot;:&quot;fa997f8e-d319-3949-aac4-c707d9500b7f&quot;,&quot;itemData&quot;:{&quot;type&quot;:&quot;article-journal&quot;,&quot;id&quot;:&quot;fa997f8e-d319-3949-aac4-c707d9500b7f&quot;,&quot;title&quot;:&quot;Expression of SARS-CoV-2 receptor ACE2 and TMPRSS2 in human primary conjunctival and pterygium cell lines and in mouse cornea&quot;,&quot;author&quot;:[{&quot;family&quot;:&quot;Ma&quot;,&quot;given&quot;:&quot;Di&quot;,&quot;parse-names&quot;:false,&quot;dropping-particle&quot;:&quot;&quot;,&quot;non-dropping-particle&quot;:&quot;&quot;},{&quot;family&quot;:&quot;Chen&quot;,&quot;given&quot;:&quot;Chong-Bo&quot;,&quot;parse-names&quot;:false,&quot;dropping-particle&quot;:&quot;&quot;,&quot;non-dropping-particle&quot;:&quot;&quot;},{&quot;family&quot;:&quot;Jhanji&quot;,&quot;given&quot;:&quot;Vishal&quot;,&quot;parse-names&quot;:false,&quot;dropping-particle&quot;:&quot;&quot;,&quot;non-dropping-particle&quot;:&quot;&quot;},{&quot;family&quot;:&quot;Xu&quot;,&quot;given&quot;:&quot;Ciyan&quot;,&quot;parse-names&quot;:false,&quot;dropping-particle&quot;:&quot;&quot;,&quot;non-dropping-particle&quot;:&quot;&quot;},{&quot;family&quot;:&quot;Yuan&quot;,&quot;given&quot;:&quot;Xiang-Ling&quot;,&quot;parse-names&quot;:false,&quot;dropping-particle&quot;:&quot;&quot;,&quot;non-dropping-particle&quot;:&quot;&quot;},{&quot;family&quot;:&quot;Liang&quot;,&quot;given&quot;:&quot;Jia-Jian&quot;,&quot;parse-names&quot;:false,&quot;dropping-particle&quot;:&quot;&quot;,&quot;non-dropping-particle&quot;:&quot;&quot;},{&quot;family&quot;:&quot;Huang&quot;,&quot;given&quot;:&quot;Yuqiang&quot;,&quot;parse-names&quot;:false,&quot;dropping-particle&quot;:&quot;&quot;,&quot;non-dropping-particle&quot;:&quot;&quot;},{&quot;family&quot;:&quot;Cen&quot;,&quot;given&quot;:&quot;Ling-Ping&quot;,&quot;parse-names&quot;:false,&quot;dropping-particle&quot;:&quot;&quot;,&quot;non-dropping-particle&quot;:&quot;&quot;},{&quot;family&quot;:&quot;Ng&quot;,&quot;given&quot;:&quot;Tsz Kin&quot;,&quot;parse-names&quot;:false,&quot;dropping-particle&quot;:&quot;&quot;,&quot;non-dropping-particle&quot;:&quot;&quot;}],&quot;container-title&quot;:&quot;Eye&quot;,&quot;DOI&quot;:&quot;10.1038/s41433-020-0939-4&quot;,&quot;ISSN&quot;:&quot;0950-222X&quot;,&quot;issued&quot;:{&quot;date-parts&quot;:[[2020,7,7]]},&quot;page&quot;:&quot;1212-1219&quot;,&quot;issue&quot;:&quot;7&quot;,&quot;volume&quot;:&quot;34&quot;,&quot;container-title-short&quot;:&quot;&quot;},&quot;isTemporary&quot;:false}]},{&quot;citationID&quot;:&quot;MENDELEY_CITATION_c264639e-e65e-46ca-a905-b7532418cb63&quot;,&quot;properties&quot;:{&quot;noteIndex&quot;:0},&quot;isEdited&quot;:false,&quot;manualOverride&quot;:{&quot;isManuallyOverridden&quot;:false,&quot;citeprocText&quot;:&quot;(Mikhalkevich et al., 2021)&quot;,&quot;manualOverrideText&quot;:&quot;&quot;},&quot;citationTag&quot;:&quot;MENDELEY_CITATION_v3_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&quot;,&quot;citationItems&quot;:[{&quot;id&quot;:&quot;516cbeb2-aed1-37b8-9b45-486dc0d508f3&quot;,&quot;itemData&quot;:{&quot;type&quot;:&quot;article-journal&quot;,&quot;id&quot;:&quot;516cbeb2-aed1-37b8-9b45-486dc0d508f3&quot;,&quot;title&quot;:&quot;Response of human macrophages to gamma radiation is mediated via expression of endogenous retroviruses&quot;,&quot;author&quot;:[{&quot;family&quot;:&quot;Mikhalkevich&quot;,&quot;given&quot;:&quot;Natallia&quot;,&quot;parse-names&quot;:false,&quot;dropping-particle&quot;:&quot;&quot;,&quot;non-dropping-particle&quot;:&quot;&quot;},{&quot;family&quot;:&quot;O’Carroll&quot;,&quot;given&quot;:&quot;Ina P.&quot;,&quot;parse-names&quot;:false,&quot;dropping-particle&quot;:&quot;&quot;,&quot;non-dropping-particle&quot;:&quot;&quot;},{&quot;family&quot;:&quot;Tkavc&quot;,&quot;given&quot;:&quot;Rok&quot;,&quot;parse-names&quot;:false,&quot;dropping-particle&quot;:&quot;&quot;,&quot;non-dropping-particle&quot;:&quot;&quot;},{&quot;family&quot;:&quot;Lund&quot;,&quot;given&quot;:&quot;Kateryna&quot;,&quot;parse-names&quot;:false,&quot;dropping-particle&quot;:&quot;&quot;,&quot;non-dropping-particle&quot;:&quot;&quot;},{&quot;family&quot;:&quot;Sukumar&quot;,&quot;given&quot;:&quot;Gauthaman&quot;,&quot;parse-names&quot;:false,&quot;dropping-particle&quot;:&quot;&quot;,&quot;non-dropping-particle&quot;:&quot;&quot;},{&quot;family&quot;:&quot;Dalgard&quot;,&quot;given&quot;:&quot;Clifton L.&quot;,&quot;parse-names&quot;:false,&quot;dropping-particle&quot;:&quot;&quot;,&quot;non-dropping-particle&quot;:&quot;&quot;},{&quot;family&quot;:&quot;Johnson&quot;,&quot;given&quot;:&quot;Kory R.&quot;,&quot;parse-names&quot;:false,&quot;dropping-particle&quot;:&quot;&quot;,&quot;non-dropping-particle&quot;:&quot;&quot;},{&quot;family&quot;:&quot;Li&quot;,&quot;given&quot;:&quot;Wenxue&quot;,&quot;parse-names&quot;:false,&quot;dropping-particle&quot;:&quot;&quot;,&quot;non-dropping-particle&quot;:&quot;&quot;},{&quot;family&quot;:&quot;Wang&quot;,&quot;given&quot;:&quot;Tongguang&quot;,&quot;parse-names&quot;:false,&quot;dropping-particle&quot;:&quot;&quot;,&quot;non-dropping-particle&quot;:&quot;&quot;},{&quot;family&quot;:&quot;Nath&quot;,&quot;given&quot;:&quot;Avindra&quot;,&quot;parse-names&quot;:false,&quot;dropping-particle&quot;:&quot;&quot;,&quot;non-dropping-particle&quot;:&quot;&quot;},{&quot;family&quot;:&quot;Iordanskiy&quot;,&quot;given&quot;:&quot;Sergey&quot;,&quot;parse-names&quot;:false,&quot;dropping-particle&quot;:&quot;&quot;,&quot;non-dropping-particle&quot;:&quot;&quot;}],&quot;container-title&quot;:&quot;PLOS Pathogens&quot;,&quot;DOI&quot;:&quot;10.1371/journal.ppat.1009305&quot;,&quot;ISSN&quot;:&quot;1553-7374&quot;,&quot;issued&quot;:{&quot;date-parts&quot;:[[2021,2,8]]},&quot;page&quot;:&quot;e1009305&quot;,&quot;abstract&quot;:&quot;&lt;p&gt;Ionizing radiation-induced tissue damage recruits monocytes into the exposed area where they are differentiated to macrophages. These implement phagocytic removal of dying cells and elicit an acute inflammatory response, but can also facilitate tumorigenesis due to production of anti-inflammatory cytokines. Using primary human monocyte-derived macrophages (MDMs) and the THP1 monocytic cell line, we demonstrate that gamma radiation triggers monocyte differentiation toward the macrophage phenotype with increased expression of type I interferons (IFN-I) and both pro- and anti-inflammatory macrophage activation markers. We found that these changes correlate with significantly upregulated expression of 622 retroelements from various groups, particularly of several clades of human endogenous retroviruses (HERVs). Elevated transcription was detected in both sense and antisense directions in the HERV subgroups tested, including the most genetically homogeneous clade HML-2. The level of antisense transcription was three- to five-fold higher than of the sense strand levels. Using a proximity ligation assay and immunoprecipitation followed by RNA quantification, we identified an increased amount of the dsRNA receptors MDA-5 and TLR3 bound to an equivalent number of copies of sense and antisense chains of HERVK HML-2 RNA. This binding triggered MAVS-associated signaling pathways resulting in increased expression of IFN-I and inflammation related genes that enhanced the cumulative inflammatory effect of radiation-induced senescence. HML-2 knockdown was accompanied with reduced expression and secretion of IFNα, pro-inflammatory (IL-1β, IL-6, CCL2, CCL3, CCL8, and CCL20) and anti-inflammatory (IL10) modulators in irradiated monocytes and MDMs. Taken together, our data indicate that radiation stress-induced HERV expression enhances the IFN-I and cytokine response and results in increased levels of pro-inflammatory modulators along with expression of anti-inflammatory factors associated with the macrophage tumorigenic phenotype.&lt;/p&gt;&quot;,&quot;issue&quot;:&quot;2&quot;,&quot;volume&quot;:&quot;17&quot;,&quot;container-title-short&quot;:&quot;&quot;},&quot;isTemporary&quot;:false}]}]"/>
    <we:property name="MENDELEY_CITATIONS_STYLE" value="{&quot;id&quot;:&quot;https://www.zotero.org/styles/peerj&quot;,&quot;title&quot;:&quot;PeerJ&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132-D25F-4FEF-8C4C-3757A00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27</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Theeradej Thaweerattanasinp</dc:creator>
  <cp:keywords/>
  <dc:description/>
  <cp:lastModifiedBy>Theeradej Thaweerattanasinp</cp:lastModifiedBy>
  <cp:revision>87</cp:revision>
  <cp:lastPrinted>2022-07-13T13:44:00Z</cp:lastPrinted>
  <dcterms:created xsi:type="dcterms:W3CDTF">2022-06-22T14:27:00Z</dcterms:created>
  <dcterms:modified xsi:type="dcterms:W3CDTF">2022-07-13T14:12:00Z</dcterms:modified>
</cp:coreProperties>
</file>