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06D7" w14:textId="40871979" w:rsidR="003D4864" w:rsidRPr="00F641A2" w:rsidRDefault="003D4864" w:rsidP="003D4864">
      <w:pPr>
        <w:rPr>
          <w:rFonts w:eastAsia="宋体"/>
          <w:b/>
          <w:bCs/>
        </w:rPr>
      </w:pPr>
      <w:r>
        <w:rPr>
          <w:b/>
        </w:rPr>
        <w:t xml:space="preserve">Supplementary Table </w:t>
      </w:r>
      <w:r w:rsidR="00856667">
        <w:rPr>
          <w:b/>
        </w:rPr>
        <w:t>2</w:t>
      </w:r>
      <w:r>
        <w:rPr>
          <w:b/>
        </w:rPr>
        <w:t xml:space="preserve">. </w:t>
      </w:r>
      <w:r w:rsidRPr="00F641A2">
        <w:rPr>
          <w:rFonts w:eastAsia="宋体"/>
          <w:b/>
          <w:bCs/>
        </w:rPr>
        <w:t xml:space="preserve">Baseline characteristics for patients with </w:t>
      </w:r>
      <w:r>
        <w:rPr>
          <w:rFonts w:eastAsia="宋体" w:hint="eastAsia"/>
          <w:b/>
          <w:bCs/>
        </w:rPr>
        <w:t>right</w:t>
      </w:r>
      <w:r w:rsidRPr="00F641A2">
        <w:rPr>
          <w:rFonts w:eastAsia="宋体"/>
          <w:b/>
          <w:bCs/>
        </w:rPr>
        <w:t xml:space="preserve"> and </w:t>
      </w:r>
      <w:r>
        <w:rPr>
          <w:rFonts w:eastAsia="宋体"/>
          <w:b/>
          <w:bCs/>
        </w:rPr>
        <w:t>left</w:t>
      </w:r>
      <w:r w:rsidRPr="00F641A2">
        <w:rPr>
          <w:rFonts w:eastAsia="宋体"/>
          <w:b/>
          <w:bCs/>
        </w:rPr>
        <w:t xml:space="preserve"> ventricular myocardial infarction after IPTW versus PSM adjustment.</w:t>
      </w:r>
    </w:p>
    <w:tbl>
      <w:tblPr>
        <w:tblW w:w="14319" w:type="dxa"/>
        <w:tblLook w:val="04A0" w:firstRow="1" w:lastRow="0" w:firstColumn="1" w:lastColumn="0" w:noHBand="0" w:noVBand="1"/>
      </w:tblPr>
      <w:tblGrid>
        <w:gridCol w:w="2268"/>
        <w:gridCol w:w="1650"/>
        <w:gridCol w:w="1661"/>
        <w:gridCol w:w="1661"/>
        <w:gridCol w:w="672"/>
        <w:gridCol w:w="666"/>
        <w:gridCol w:w="1523"/>
        <w:gridCol w:w="1523"/>
        <w:gridCol w:w="1523"/>
        <w:gridCol w:w="672"/>
        <w:gridCol w:w="779"/>
      </w:tblGrid>
      <w:tr w:rsidR="003D4864" w:rsidRPr="00A95746" w14:paraId="07FC44EF" w14:textId="77777777" w:rsidTr="001F22D0">
        <w:trPr>
          <w:trHeight w:val="307"/>
        </w:trPr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095B25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60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A69A4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IPTW adjustment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B53A1F">
              <w:rPr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60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39231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PSM adjustment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B53A1F">
              <w:rPr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3D4864" w:rsidRPr="00A95746" w14:paraId="687E120E" w14:textId="77777777" w:rsidTr="001F22D0">
        <w:trPr>
          <w:trHeight w:val="809"/>
        </w:trPr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ED4436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EBF14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All patients (N=6963.501)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55F05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Left ventricular infarction (N=3506.954)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B2D49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Right ventricular infarction (N=3456.547)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54E12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0C875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SMD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6E1A8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All patients (N=788)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BC9DD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Left ventricular infarction (N=394)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9C0956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Right ventricular infarction (N=394)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1F115E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EA16EC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SMD</w:t>
            </w:r>
          </w:p>
        </w:tc>
      </w:tr>
      <w:tr w:rsidR="003D4864" w:rsidRPr="00A95746" w14:paraId="6F944C5A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976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Age, year (median [IQR])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141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65(57-73)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9F5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64(55-72)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6BC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65(57-73)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A08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0.244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CA4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0.087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2BC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65(56-72)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51E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65(55-72)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0EF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65(57-73)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7F6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0.924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C87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3D4864" w:rsidRPr="00A95746" w14:paraId="0965F34B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11B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Sex, n (%)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0DB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11D4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BE85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B940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AA48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8ADD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F9C2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472A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FF3C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66B4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</w:tr>
      <w:tr w:rsidR="003D4864" w:rsidRPr="00A95746" w14:paraId="0EA8CAD2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26F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A2D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1929.359(27.707)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3A9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944.589(26.935)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ACD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984.770(28.490)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A8F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0.641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462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0.035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F6E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190(24.1)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5F2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95(24.1)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17F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95(24.1)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37A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8C4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3D4864" w:rsidRPr="00A95746" w14:paraId="7B87D7C0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A40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237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5034.142(72.293)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695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2562.365(73.065)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0C8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2471.777(71.510)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2E3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12DF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E5A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598(75.9)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2BA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299(75.9)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86A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299(75.9)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3D6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F50E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</w:tr>
      <w:tr w:rsidR="003D4864" w:rsidRPr="00A95746" w14:paraId="74763531" w14:textId="77777777" w:rsidTr="001F22D0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CD6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BMI, kg/m</w:t>
            </w:r>
            <w:r w:rsidRPr="00A95746">
              <w:rPr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A95746">
              <w:rPr>
                <w:color w:val="000000"/>
                <w:sz w:val="20"/>
                <w:szCs w:val="20"/>
                <w:lang w:val="en-GB"/>
              </w:rPr>
              <w:t xml:space="preserve"> (median [IQR])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843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23.471(22.614-24.845)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1AB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23.580(22.676-24.840)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4F3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23.432(22.537-24.846)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2F0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0.629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DF0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DD9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20CE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2E7D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5F54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1C44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</w:tr>
      <w:tr w:rsidR="003D4864" w:rsidRPr="00A95746" w14:paraId="02064AC4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867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Smoke, n (%)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8CF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3369.202(48.384)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40B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1684.193(48.024)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7E6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1685.010(48.748)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3D4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0.838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195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1A6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421(53.4)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DE4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222(56.3)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2E5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199(50.5)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DD0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0.116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476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0.117</w:t>
            </w:r>
          </w:p>
        </w:tc>
      </w:tr>
      <w:tr w:rsidR="003D4864" w:rsidRPr="00A95746" w14:paraId="7DC5B07C" w14:textId="77777777" w:rsidTr="001F22D0">
        <w:trPr>
          <w:trHeight w:val="266"/>
        </w:trPr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E1B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Health insurance, n (%)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499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9029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27F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0.865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36D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0.081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511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8C50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B24E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1AA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0.876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401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0.078</w:t>
            </w:r>
          </w:p>
        </w:tc>
      </w:tr>
      <w:tr w:rsidR="003D4864" w:rsidRPr="00A95746" w14:paraId="39803395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935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21A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785.912(11.286)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0F7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380.033(10.837)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25D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405.878(11.742)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519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2AE7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D55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88(11.2)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E98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48(12.2)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D81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40(10.2)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76C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6FA6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</w:tr>
      <w:tr w:rsidR="003D4864" w:rsidRPr="00A95746" w14:paraId="1900466B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B3C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URBMI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61D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2565.919(36.848)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1D5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1334.289(38.047)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813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1231.629(35.632)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5F4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7018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31F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319(40.5)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BEF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161(40.9)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77A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158(40.1)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2A2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7376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</w:tr>
      <w:tr w:rsidR="003D4864" w:rsidRPr="00A95746" w14:paraId="2A47EF40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347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UEBMI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788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1228.998(17.649)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58F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641.603(18.295)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E2B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587.395(16.994)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432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CDC4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CFC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124(15.7)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4E5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60(15.2)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AD2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64(16.2)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8E3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7E10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</w:tr>
      <w:tr w:rsidR="003D4864" w:rsidRPr="00A95746" w14:paraId="2E14CEA6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300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NRCMS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9AA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2208.586(31.717)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233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1075.136(30.657)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91B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1133.449(32.791)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AF9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D760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351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240(30.5)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D4E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116(29.4)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6D1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124(31.5)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2C8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DF9F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</w:tr>
      <w:tr w:rsidR="003D4864" w:rsidRPr="00A95746" w14:paraId="07ECB3BD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81C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Others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C5F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174.087(2.500)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A01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75.892(2.164)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8D2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98.195(2.841)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2CD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05A1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BCF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17(2.2)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400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9(2.3)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CAD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8(2.0)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AD4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936E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</w:tr>
      <w:tr w:rsidR="003D4864" w:rsidRPr="00A95746" w14:paraId="1AD54179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05C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ACEIs or ARBs, n (%)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161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5196.294(74.622)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2B1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2636.980(75.193)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216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2559.314(74.043)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B1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0.715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35A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0.026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116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536(68.0)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45B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272(69.0)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E77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264(67.0)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178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0.593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177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0.044</w:t>
            </w:r>
          </w:p>
        </w:tc>
      </w:tr>
      <w:tr w:rsidR="003D4864" w:rsidRPr="00A95746" w14:paraId="5F748D0C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8CB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CCBs, n (%)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D09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1136.212(16.317)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88A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573.529(16.354)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3DF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562.683(16.279)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272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0.974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227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E96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136(17.3)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99B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66(16.8)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03D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70(17.8)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9E6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0.777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ACB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0.027</w:t>
            </w:r>
          </w:p>
        </w:tc>
      </w:tr>
      <w:tr w:rsidR="003D4864" w:rsidRPr="00A95746" w14:paraId="4C04F02A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E86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Beta-blockers, n (%)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094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5098.752(73.221)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537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2574.886(73.422)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F88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2523.866(73.017)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6B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0.882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47B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0F8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505(64.1)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4B9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254(64.5)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C2E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251(63.7)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1D5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0.882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3FC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0.016</w:t>
            </w:r>
          </w:p>
        </w:tc>
      </w:tr>
      <w:tr w:rsidR="003D4864" w:rsidRPr="00A95746" w14:paraId="1F4FD2F2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558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Statins, n (%)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B0F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6795.929(97.594)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4DD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3410.899(97.261)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4E4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3385.030(97.931)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E35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0.579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AA9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0.044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289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774(98.2)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ECF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387(98.2)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C3E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387(98.2)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84B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032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3D4864" w:rsidRPr="00A95746" w14:paraId="784BCE38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4C1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Aspirin, n (%)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788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6733.174(96.692)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DEC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3377.780(96.317)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6F8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3355.394(97.074)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3B1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0.552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4E5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0.042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C0D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762(96.7)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D28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380(96.4)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018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382(97.0)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5D0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0.842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E6F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0.028</w:t>
            </w:r>
          </w:p>
        </w:tc>
      </w:tr>
      <w:tr w:rsidR="003D4864" w:rsidRPr="00A95746" w14:paraId="57A453AD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214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Clopidogrel, n (%)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2A4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5596.026(80.362)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3B6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2777.145(79.190)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FFC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2818.881(81.552)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8C0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0.409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93E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0.060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11A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658(83.5)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0C1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330(83.8)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8E7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328(83.2)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AA6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0.924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A02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0.014</w:t>
            </w:r>
          </w:p>
        </w:tc>
      </w:tr>
      <w:tr w:rsidR="003D4864" w:rsidRPr="00A95746" w14:paraId="0B432779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027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Ticagrelor, n (%)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86C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1095.011(15.725)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AFC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530.057(15.114)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283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564.954(16.344)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349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0.701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A60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0.034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294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85(10.8)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F86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43(10.9)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D00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42(10.7)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739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DDF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0.008</w:t>
            </w:r>
          </w:p>
        </w:tc>
      </w:tr>
      <w:tr w:rsidR="003D4864" w:rsidRPr="00A95746" w14:paraId="66A4B90C" w14:textId="77777777" w:rsidTr="001F22D0">
        <w:trPr>
          <w:trHeight w:val="2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FF2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Intravenous nitrates, n (%)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963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4808.136(69.048)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CEE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2391.550(68.194)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A25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2416.586(69.913)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050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0.566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6E8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0.037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403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502(63.7)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CFC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257(65.2)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CFD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245(62.2)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15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0.415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127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</w:tr>
      <w:tr w:rsidR="003D4864" w:rsidRPr="00A95746" w14:paraId="04C49E7C" w14:textId="77777777" w:rsidTr="001F22D0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BDC5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Inotropes, n (%)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234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1342.440(19.278)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5834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693.323(19.770)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A0EA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649.117(18.779)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066D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0.673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742D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B228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241(30.6)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9077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126(32.0)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F1E7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115(29.2)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09FB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0.439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D2D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</w:tr>
    </w:tbl>
    <w:p w14:paraId="0600B1C0" w14:textId="77777777" w:rsidR="003D4864" w:rsidRDefault="003D4864" w:rsidP="003D4864">
      <w:pPr>
        <w:spacing w:after="160"/>
        <w:rPr>
          <w:b/>
          <w:bCs/>
        </w:rPr>
      </w:pPr>
      <w:r>
        <w:br w:type="page"/>
      </w:r>
      <w:r>
        <w:rPr>
          <w:b/>
        </w:rPr>
        <w:lastRenderedPageBreak/>
        <w:t xml:space="preserve">Supplementary Table </w:t>
      </w:r>
      <w:r>
        <w:rPr>
          <w:b/>
        </w:rPr>
        <w:fldChar w:fldCharType="begin"/>
      </w:r>
      <w:r>
        <w:rPr>
          <w:b/>
        </w:rPr>
        <w:instrText xml:space="preserve"> SEQ Figure \* ARABIC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r>
        <w:rPr>
          <w:b/>
        </w:rPr>
        <w:t xml:space="preserve">. </w:t>
      </w:r>
      <w:r>
        <w:rPr>
          <w:rFonts w:hint="eastAsia"/>
          <w:b/>
          <w:bCs/>
        </w:rPr>
        <w:t>(</w:t>
      </w:r>
      <w:r w:rsidRPr="001D4600">
        <w:rPr>
          <w:b/>
          <w:bCs/>
          <w:i/>
          <w:iCs/>
        </w:rPr>
        <w:t>continued</w:t>
      </w:r>
      <w:r>
        <w:rPr>
          <w:b/>
          <w:bCs/>
        </w:rPr>
        <w:t>).</w:t>
      </w:r>
    </w:p>
    <w:tbl>
      <w:tblPr>
        <w:tblW w:w="14406" w:type="dxa"/>
        <w:tblLook w:val="04A0" w:firstRow="1" w:lastRow="0" w:firstColumn="1" w:lastColumn="0" w:noHBand="0" w:noVBand="1"/>
      </w:tblPr>
      <w:tblGrid>
        <w:gridCol w:w="2410"/>
        <w:gridCol w:w="1650"/>
        <w:gridCol w:w="1650"/>
        <w:gridCol w:w="1650"/>
        <w:gridCol w:w="672"/>
        <w:gridCol w:w="666"/>
        <w:gridCol w:w="1489"/>
        <w:gridCol w:w="1489"/>
        <w:gridCol w:w="1489"/>
        <w:gridCol w:w="672"/>
        <w:gridCol w:w="666"/>
      </w:tblGrid>
      <w:tr w:rsidR="003D4864" w:rsidRPr="00A95746" w14:paraId="0DDEE0F7" w14:textId="77777777" w:rsidTr="001F22D0">
        <w:trPr>
          <w:trHeight w:val="281"/>
        </w:trPr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AFB6CA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6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44B62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IPTW adjustment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B25584">
              <w:rPr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5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CCCF0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PSM adjustment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B25584">
              <w:rPr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3D4864" w:rsidRPr="00A95746" w14:paraId="5DC38102" w14:textId="77777777" w:rsidTr="001F22D0">
        <w:trPr>
          <w:trHeight w:val="741"/>
        </w:trPr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692C09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CB39F8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All patients (N=6963.501)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BE417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Left ventricular infarction (N=3506.954)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A3014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Right ventricular infarction (N=3456.547)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3546B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A6EF3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SMD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F5790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All patients (N=788)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DF0FBF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Left ventricular infarction (N=394)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BE376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Right ventricular infarction (N=394)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1EDE0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F7335" w14:textId="77777777" w:rsidR="003D4864" w:rsidRPr="00A95746" w:rsidRDefault="003D4864" w:rsidP="001F22D0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b/>
                <w:bCs/>
                <w:color w:val="000000"/>
                <w:sz w:val="20"/>
                <w:szCs w:val="20"/>
                <w:lang w:val="en-GB"/>
              </w:rPr>
              <w:t>SMD</w:t>
            </w:r>
          </w:p>
        </w:tc>
      </w:tr>
      <w:tr w:rsidR="003D4864" w:rsidRPr="00A95746" w14:paraId="3030C62F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11E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 xml:space="preserve">Killip </w:t>
            </w:r>
            <w:r w:rsidRPr="00B00184">
              <w:rPr>
                <w:rFonts w:eastAsia="宋体"/>
                <w:sz w:val="20"/>
                <w:szCs w:val="20"/>
              </w:rPr>
              <w:t>class</w:t>
            </w:r>
            <w:r>
              <w:rPr>
                <w:rFonts w:eastAsia="宋体"/>
                <w:sz w:val="20"/>
                <w:szCs w:val="20"/>
              </w:rPr>
              <w:t>ification</w:t>
            </w:r>
            <w:r w:rsidRPr="00A95746">
              <w:rPr>
                <w:color w:val="000000"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AAA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67D7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6C2A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3E8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0.561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A96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0.105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8EE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3B9C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CE13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992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0.864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366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</w:tr>
      <w:tr w:rsidR="003D4864" w:rsidRPr="00A95746" w14:paraId="377B3788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D39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Ⅰ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0B8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4625.849(66.430)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A19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2376.098(67.754)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FC2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2249.751(65.087)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F7C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3D94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22F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548(69.5)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538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271(68.8)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DD7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277(70.3)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41B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3D16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</w:tr>
      <w:tr w:rsidR="003D4864" w:rsidRPr="00A95746" w14:paraId="166E9FD6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1B4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Ⅱ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0F1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1621.751(23.289)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BEB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767.825(21.894)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B9E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853.926(24.705)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F42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C4E6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9D1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141(17.9)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9C7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73(18.5)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8FA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68(17.3)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BEB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91A1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</w:tr>
      <w:tr w:rsidR="003D4864" w:rsidRPr="00A95746" w14:paraId="21BD3FA8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A01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Ⅲ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94C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445.112(6.392)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CBF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203.824(5.812)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956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241.288(6.981)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6B2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9002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46F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39(4.9)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1C7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18(4.6)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092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21(5.3)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E3A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3AC4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</w:tr>
      <w:tr w:rsidR="003D4864" w:rsidRPr="00A95746" w14:paraId="759FE6DA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CA5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Ⅳ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B82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270.790(3.889)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AC1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159.207(4.540)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FF7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111.582(3.228)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324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850B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E55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60(7.6)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100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32(8.1)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B8D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28(7.1)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C13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BAB8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</w:tr>
      <w:tr w:rsidR="003D4864" w:rsidRPr="00A95746" w14:paraId="0D78FB7E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3A6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STEMI, n (%)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2E0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4502.775(64.663)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4C8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2360.491(67.309)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1D3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2142.284(61.978)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24C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663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0.112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453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413(52.4)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24C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204(51.8)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98F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209(53.0)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592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0.775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F8F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0.025</w:t>
            </w:r>
          </w:p>
        </w:tc>
      </w:tr>
      <w:tr w:rsidR="003D4864" w:rsidRPr="00A95746" w14:paraId="67262C11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C97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NSTEMI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D3D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2460.726(35.337)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D77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1146.464(32.691)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FF0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1314.263(38.022)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2AC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EFB6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D46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375(47.6)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A77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190(48.2)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6CD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185(47.0)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8FA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FD2A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</w:tr>
      <w:tr w:rsidR="003D4864" w:rsidRPr="00A95746" w14:paraId="7DD7E4F2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730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HR, beats/min (median [IQR])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87C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78(68-89)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5B3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78(68-88)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63B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78(65-89)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E8B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0.981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F67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0.074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3DB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74(64-84)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C94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74(65-84)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8D0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74(63-85)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E08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0.213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36D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0.053</w:t>
            </w:r>
          </w:p>
        </w:tc>
      </w:tr>
      <w:tr w:rsidR="003D4864" w:rsidRPr="00A95746" w14:paraId="58411C08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133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SBP, mmHg (median [IQR])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312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130(115-146)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7F4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130(115-145)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9AC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131(113-149)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029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0.239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99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0.081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9B3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125(110-141)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1D7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125.00(110-142)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5CB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125(110-140)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A31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0.755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85F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0.013</w:t>
            </w:r>
          </w:p>
        </w:tc>
      </w:tr>
      <w:tr w:rsidR="003D4864" w:rsidRPr="00A95746" w14:paraId="562FF96E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428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DBP, mmHg (median [IQR])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581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80(70-90)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4D8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80(70-90)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99E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80(70-90)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B0F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0.520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FE9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172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77(69-85)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430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76(70-85)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3F8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78(67-84)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E08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0.563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931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0.037</w:t>
            </w:r>
          </w:p>
        </w:tc>
      </w:tr>
      <w:tr w:rsidR="003D4864" w:rsidRPr="00A95746" w14:paraId="5E3890A1" w14:textId="77777777" w:rsidTr="001F22D0">
        <w:trPr>
          <w:trHeight w:val="2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E3C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FBG,</w:t>
            </w:r>
            <w:r w:rsidRPr="00A95746">
              <w:rPr>
                <w:color w:val="000000"/>
                <w:sz w:val="22"/>
                <w:szCs w:val="22"/>
                <w:lang w:val="en-GB"/>
              </w:rPr>
              <w:t xml:space="preserve"> mmol/L</w:t>
            </w:r>
            <w:r w:rsidRPr="00A95746">
              <w:rPr>
                <w:color w:val="000000"/>
                <w:sz w:val="20"/>
                <w:szCs w:val="20"/>
                <w:lang w:val="en-GB"/>
              </w:rPr>
              <w:t xml:space="preserve"> (median [IQR])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211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6.380(5.170-8.300)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DE6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6.440(5.220-8.400)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AD2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6.285(5.110-8.124)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80F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0.199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48A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0.050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59B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6.16(5.11-7.80)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029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5.97(5.07-7.51)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320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6.32(5.17-8.37)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0D1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0.113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D6F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</w:tr>
      <w:tr w:rsidR="003D4864" w:rsidRPr="00A95746" w14:paraId="6DC6A36D" w14:textId="77777777" w:rsidTr="001F22D0">
        <w:trPr>
          <w:trHeight w:val="2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54A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LDL-C,</w:t>
            </w:r>
            <w:r w:rsidRPr="00A95746">
              <w:rPr>
                <w:color w:val="000000"/>
                <w:sz w:val="22"/>
                <w:szCs w:val="22"/>
                <w:lang w:val="en-GB"/>
              </w:rPr>
              <w:t xml:space="preserve"> mmol/L</w:t>
            </w:r>
            <w:r w:rsidRPr="00A95746">
              <w:rPr>
                <w:color w:val="000000"/>
                <w:sz w:val="20"/>
                <w:szCs w:val="20"/>
                <w:lang w:val="en-GB"/>
              </w:rPr>
              <w:t xml:space="preserve"> (median [IQR])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F85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2.660(2.070-3.240)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01B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2.654(2.090-3.130)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8B3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2.654(2.055-3.461)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E23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0.530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85F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0.112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FFA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2.63(2.07-3.11)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D39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2.64(2.11-3.13)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938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2.61(2.04-3.07)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90A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0.504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C10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0.021</w:t>
            </w:r>
          </w:p>
        </w:tc>
      </w:tr>
      <w:tr w:rsidR="003D4864" w:rsidRPr="00A95746" w14:paraId="6816A86B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840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LVEF, % (median [IQR])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156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54(45-60)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CD7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53(45-60)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2F8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54(45-60)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593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0.353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45A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0.010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E36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55(49-62)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B87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54(48-62)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5D0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56(50-61)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D1A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0.757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72F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3D4864" w:rsidRPr="00A95746" w14:paraId="302A7D56" w14:textId="77777777" w:rsidTr="001F22D0">
        <w:trPr>
          <w:trHeight w:val="243"/>
        </w:trPr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106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Medical history, n (%)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F8B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42C8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9725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51E3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5D70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61B5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5CA7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7545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A29F" w14:textId="77777777" w:rsidR="003D4864" w:rsidRPr="00A95746" w:rsidRDefault="003D4864" w:rsidP="001F22D0">
            <w:pPr>
              <w:rPr>
                <w:sz w:val="20"/>
                <w:szCs w:val="20"/>
                <w:lang w:val="en-GB"/>
              </w:rPr>
            </w:pPr>
          </w:p>
        </w:tc>
      </w:tr>
      <w:tr w:rsidR="003D4864" w:rsidRPr="00A95746" w14:paraId="2A993186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225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Diabetes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0BC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1388.245(19.936)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45D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685.362(19.543)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B7D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702.883(20.335)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C86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0.780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912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0.020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489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141(17.9)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01F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70(17.8)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8DB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71(18.0)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752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762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0.007</w:t>
            </w:r>
          </w:p>
        </w:tc>
      </w:tr>
      <w:tr w:rsidR="003D4864" w:rsidRPr="00A95746" w14:paraId="618931CD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B17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805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3250.359(46.677)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8BF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1642.805(46.844)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D21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1607.554(46.508)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DB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0.924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9F9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0.007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23B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380(48.2)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EDF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196(49.7)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E51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184(46.7)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951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0.433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899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</w:tr>
      <w:tr w:rsidR="003D4864" w:rsidRPr="00A95746" w14:paraId="557039E5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732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Cardiac shock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0F7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248.776(3.573)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0FB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130.667(3.726)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9DE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118.109(3.417)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3FC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0.669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344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0.017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401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73(9.3)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8F7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38(9.6)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800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35(8.9)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58E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0.806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4CA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0.026</w:t>
            </w:r>
          </w:p>
        </w:tc>
      </w:tr>
      <w:tr w:rsidR="003D4864" w:rsidRPr="00A95746" w14:paraId="4F6132A3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EBD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Chronic heart failure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902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184.509(2.650)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B5E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76.368(2.178)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5BD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108.141(3.129)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396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0.369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F18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0.059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51A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25(3.2)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974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16(4.1)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807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9(2.3)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BB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0.223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CBE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3D4864" w:rsidRPr="00A95746" w14:paraId="417B79A1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694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COPD or asthma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053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323.479(4.645)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A23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160.251(4.570)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CBC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163.228(4.722)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BEC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0.904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B8B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0.007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628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45(5.7)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858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22(5.6)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6A4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23(5.8)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3F5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C760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0.011</w:t>
            </w:r>
          </w:p>
        </w:tc>
      </w:tr>
      <w:tr w:rsidR="003D4864" w:rsidRPr="00A95746" w14:paraId="611E62CC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E17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Stroke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731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576.893(8.285)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F40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296.031(8.441)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92B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280.862(8.125)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DB03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0.877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DC1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0.012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CAD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55(7.0)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C48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29(7.4)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17A8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26(6.6)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4CB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0.780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DE26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0.030</w:t>
            </w:r>
          </w:p>
        </w:tc>
      </w:tr>
      <w:tr w:rsidR="003D4864" w:rsidRPr="00A95746" w14:paraId="32730D7B" w14:textId="77777777" w:rsidTr="001F22D0">
        <w:trPr>
          <w:trHeight w:val="2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03D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Multivessel lesion, n (%)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909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1170.636(16.811)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0AB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552.862(15.765)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6BA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617.774(17.873)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60C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0.354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999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0.056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08A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181(23.0)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BD7D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89(22.6)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67E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92(23.4)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2717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0.865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8834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0.018</w:t>
            </w:r>
          </w:p>
        </w:tc>
      </w:tr>
      <w:tr w:rsidR="003D4864" w:rsidRPr="00A95746" w14:paraId="7ABDF63E" w14:textId="77777777" w:rsidTr="001F22D0">
        <w:trPr>
          <w:trHeight w:val="253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F251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Revascularization, n (%)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4BD9B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4642.229(66.665)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B549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2386.368(68.047)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9710F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2255.861(65.263)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277E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0.422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EB47C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DD3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562(71.3)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CE4A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276(70.1)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BCD0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286(72.6)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4EE05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0.478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BE7F2" w14:textId="77777777" w:rsidR="003D4864" w:rsidRPr="00A95746" w:rsidRDefault="003D4864" w:rsidP="001F22D0">
            <w:pPr>
              <w:rPr>
                <w:color w:val="000000"/>
                <w:sz w:val="20"/>
                <w:szCs w:val="20"/>
                <w:lang w:val="en-GB"/>
              </w:rPr>
            </w:pPr>
            <w:r w:rsidRPr="00A95746">
              <w:rPr>
                <w:color w:val="000000"/>
                <w:sz w:val="20"/>
                <w:szCs w:val="20"/>
                <w:lang w:val="en-GB"/>
              </w:rPr>
              <w:t>0.056</w:t>
            </w:r>
          </w:p>
        </w:tc>
      </w:tr>
    </w:tbl>
    <w:p w14:paraId="649CA5BA" w14:textId="77777777" w:rsidR="003D4864" w:rsidRPr="008835C9" w:rsidRDefault="003D4864" w:rsidP="003D4864">
      <w:pPr>
        <w:rPr>
          <w:rFonts w:eastAsia="宋体"/>
        </w:rPr>
      </w:pPr>
      <w:bookmarkStart w:id="0" w:name="_Hlk112424705"/>
      <w:r w:rsidRPr="008835C9">
        <w:rPr>
          <w:b/>
          <w:bCs/>
        </w:rPr>
        <w:t>Abbreviation</w:t>
      </w:r>
      <w:r w:rsidRPr="008835C9">
        <w:t xml:space="preserve">: </w:t>
      </w:r>
      <w:bookmarkEnd w:id="0"/>
      <w:r w:rsidRPr="008835C9">
        <w:t xml:space="preserve">IPTW,  inverse probability of treatment weighting; PSM, propensity score matching; SMD, standard mean difference; IQR, inter quartile range; BMI, body mass index; UEBMI, urban employee basic medical insurance; URBMI, urban resident basic medical insurance; NRCMS, new rural </w:t>
      </w:r>
      <w:r w:rsidRPr="008835C9">
        <w:lastRenderedPageBreak/>
        <w:t>cooperative medical scheme; ACEIs or ARBs, angiotensin-converting enzyme inhibitors or angiotensin receptor blockers; CCBs, calcium channel blockers; STEMI, ST-elevation myocardial infarction; NSTEMI, Non-ST-segment elevation myocardial infarction; HR, heart rate; SBP, systolic blood pressure; DBP, diastolic blood pressure; FBG, fast blood glucose; LDL-C, serum low density lipoprotein-cholesterol; COPD, chronic obstructive pulmonary disease.</w:t>
      </w:r>
    </w:p>
    <w:p w14:paraId="688EBE7D" w14:textId="77777777" w:rsidR="003D4864" w:rsidRPr="008835C9" w:rsidRDefault="003D4864" w:rsidP="003D4864">
      <w:pPr>
        <w:spacing w:after="160"/>
        <w:rPr>
          <w:color w:val="000000"/>
        </w:rPr>
      </w:pPr>
      <w:r w:rsidRPr="008835C9">
        <w:rPr>
          <w:rFonts w:eastAsia="宋体"/>
          <w:vertAlign w:val="superscript"/>
        </w:rPr>
        <w:t>1</w:t>
      </w:r>
      <w:r w:rsidRPr="008835C9">
        <w:rPr>
          <w:rFonts w:eastAsia="宋体"/>
        </w:rPr>
        <w:t xml:space="preserve"> </w:t>
      </w:r>
      <w:r w:rsidRPr="008835C9">
        <w:rPr>
          <w:rFonts w:eastAsia="等线"/>
          <w:color w:val="000000"/>
        </w:rPr>
        <w:t xml:space="preserve">Adjusted </w:t>
      </w:r>
      <w:bookmarkStart w:id="1" w:name="OLE_LINK63"/>
      <w:r w:rsidRPr="008835C9">
        <w:rPr>
          <w:rFonts w:eastAsia="等线"/>
          <w:color w:val="000000"/>
        </w:rPr>
        <w:t xml:space="preserve">for confounders including </w:t>
      </w:r>
      <w:bookmarkEnd w:id="1"/>
      <w:r w:rsidRPr="008835C9">
        <w:rPr>
          <w:rFonts w:eastAsia="等线"/>
          <w:color w:val="000000"/>
        </w:rPr>
        <w:t xml:space="preserve">age, sex, health insurance, BMI, smoking status, in-hospital medications (ACEIs or ARBs, CCBs, beta-blockers, statins, aspirin, clopidogrel, intravenous nitrates and inotropes), medical history (diabetes, hypertension, stroke, chronic heart failure and COPD or asthma), STEMI or NSTEMI, cardiogenic shock, multivessel lesion, </w:t>
      </w:r>
      <w:r w:rsidRPr="008835C9">
        <w:rPr>
          <w:color w:val="000000"/>
        </w:rPr>
        <w:t xml:space="preserve">vital parameters and laboratory findings on admission (HR, SBP, DBP, FBG and LDL-C), LVEF, Killip </w:t>
      </w:r>
      <w:r w:rsidRPr="008835C9">
        <w:rPr>
          <w:rFonts w:eastAsia="宋体"/>
        </w:rPr>
        <w:t>classification</w:t>
      </w:r>
      <w:r w:rsidRPr="008835C9">
        <w:rPr>
          <w:color w:val="000000"/>
        </w:rPr>
        <w:t xml:space="preserve"> and status of revascularization.</w:t>
      </w:r>
    </w:p>
    <w:p w14:paraId="65E6DD2A" w14:textId="472EAD28" w:rsidR="00D61E87" w:rsidRDefault="003D4864" w:rsidP="003D4864">
      <w:r w:rsidRPr="008835C9">
        <w:rPr>
          <w:rFonts w:eastAsia="宋体"/>
          <w:vertAlign w:val="superscript"/>
        </w:rPr>
        <w:t>2</w:t>
      </w:r>
      <w:r w:rsidRPr="008835C9">
        <w:rPr>
          <w:rFonts w:eastAsia="宋体"/>
        </w:rPr>
        <w:t xml:space="preserve"> </w:t>
      </w:r>
      <w:r w:rsidRPr="008835C9">
        <w:rPr>
          <w:rFonts w:eastAsia="等线"/>
          <w:color w:val="000000"/>
        </w:rPr>
        <w:t xml:space="preserve">Matched for confounders including age, sex, health insurance, BMI, smoking status, in-hospital medications (ACEIs or ARBs, CCBs, beta-blockers, statins, aspirin, clopidogrel, intravenous nitrates and inotropes), medical history (diabetes, hypertension, stroke, chronic heart failure and COPD or asthma), STEMI or NSTEMI, cardiogenic shock, multivessel lesion, </w:t>
      </w:r>
      <w:r w:rsidRPr="008835C9">
        <w:rPr>
          <w:color w:val="000000"/>
        </w:rPr>
        <w:t xml:space="preserve">vital parameters and laboratory findings on admission (HR, SBP, DBP, FBG and LDL-C), LVEF, Killip </w:t>
      </w:r>
      <w:r w:rsidRPr="008835C9">
        <w:rPr>
          <w:rFonts w:eastAsia="宋体"/>
        </w:rPr>
        <w:t>classification</w:t>
      </w:r>
      <w:r w:rsidRPr="008835C9">
        <w:rPr>
          <w:color w:val="000000"/>
        </w:rPr>
        <w:t xml:space="preserve"> and status of revascularization.</w:t>
      </w:r>
    </w:p>
    <w:sectPr w:rsidR="00D61E87" w:rsidSect="00850476">
      <w:pgSz w:w="16838" w:h="11906" w:orient="landscape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CF5C" w14:textId="77777777" w:rsidR="00AF7CC3" w:rsidRDefault="00AF7CC3" w:rsidP="00850476">
      <w:r>
        <w:separator/>
      </w:r>
    </w:p>
  </w:endnote>
  <w:endnote w:type="continuationSeparator" w:id="0">
    <w:p w14:paraId="7CCEE377" w14:textId="77777777" w:rsidR="00AF7CC3" w:rsidRDefault="00AF7CC3" w:rsidP="008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1E1D" w14:textId="77777777" w:rsidR="00AF7CC3" w:rsidRDefault="00AF7CC3" w:rsidP="00850476">
      <w:r>
        <w:separator/>
      </w:r>
    </w:p>
  </w:footnote>
  <w:footnote w:type="continuationSeparator" w:id="0">
    <w:p w14:paraId="41B684DC" w14:textId="77777777" w:rsidR="00AF7CC3" w:rsidRDefault="00AF7CC3" w:rsidP="0085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64"/>
    <w:rsid w:val="00361AF6"/>
    <w:rsid w:val="003D4864"/>
    <w:rsid w:val="00850476"/>
    <w:rsid w:val="00856667"/>
    <w:rsid w:val="0092073A"/>
    <w:rsid w:val="00AF7CC3"/>
    <w:rsid w:val="00D6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7FADC"/>
  <w15:chartTrackingRefBased/>
  <w15:docId w15:val="{8425C974-6851-4A64-A35E-83169DC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476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8504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850476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8504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圆圆</dc:creator>
  <cp:keywords/>
  <dc:description/>
  <cp:lastModifiedBy>陈 圆圆</cp:lastModifiedBy>
  <cp:revision>3</cp:revision>
  <dcterms:created xsi:type="dcterms:W3CDTF">2022-12-10T13:53:00Z</dcterms:created>
  <dcterms:modified xsi:type="dcterms:W3CDTF">2023-01-18T18:44:00Z</dcterms:modified>
</cp:coreProperties>
</file>