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EF75" w14:textId="630B4553" w:rsidR="007E1809" w:rsidRPr="007D3834" w:rsidRDefault="007E1809" w:rsidP="007E1809">
      <w:pPr>
        <w:spacing w:line="276" w:lineRule="auto"/>
        <w:rPr>
          <w:rFonts w:eastAsia="宋体"/>
          <w:b/>
          <w:bCs/>
        </w:rPr>
      </w:pPr>
      <w:r>
        <w:rPr>
          <w:b/>
        </w:rPr>
        <w:t xml:space="preserve">Supplementary Table </w:t>
      </w:r>
      <w:r w:rsidR="004B3B85">
        <w:rPr>
          <w:b/>
        </w:rPr>
        <w:t>3</w:t>
      </w:r>
      <w:r>
        <w:rPr>
          <w:b/>
        </w:rPr>
        <w:t xml:space="preserve">. </w:t>
      </w:r>
      <w:r w:rsidRPr="007D3834">
        <w:rPr>
          <w:rFonts w:eastAsia="宋体"/>
          <w:b/>
          <w:bCs/>
        </w:rPr>
        <w:t>Adjusted HRs for left and right ventricular myocardial infarction in sensitivity analysis.</w:t>
      </w:r>
    </w:p>
    <w:tbl>
      <w:tblPr>
        <w:tblW w:w="7624" w:type="dxa"/>
        <w:tblLook w:val="04A0" w:firstRow="1" w:lastRow="0" w:firstColumn="1" w:lastColumn="0" w:noHBand="0" w:noVBand="1"/>
      </w:tblPr>
      <w:tblGrid>
        <w:gridCol w:w="2024"/>
        <w:gridCol w:w="2060"/>
        <w:gridCol w:w="779"/>
        <w:gridCol w:w="2060"/>
        <w:gridCol w:w="779"/>
      </w:tblGrid>
      <w:tr w:rsidR="008868DC" w14:paraId="6DA1EEAA" w14:textId="77777777" w:rsidTr="008868DC">
        <w:trPr>
          <w:trHeight w:val="310"/>
        </w:trPr>
        <w:tc>
          <w:tcPr>
            <w:tcW w:w="2024" w:type="dxa"/>
            <w:tcBorders>
              <w:top w:val="single" w:sz="8" w:space="0" w:color="auto"/>
              <w:left w:val="nil"/>
              <w:bottom w:val="single" w:sz="8" w:space="0" w:color="000000"/>
              <w:right w:val="nil"/>
            </w:tcBorders>
            <w:shd w:val="clear" w:color="auto" w:fill="auto"/>
            <w:noWrap/>
            <w:vAlign w:val="center"/>
            <w:hideMark/>
          </w:tcPr>
          <w:p w14:paraId="46509661" w14:textId="77777777" w:rsidR="008868DC" w:rsidRDefault="008868DC">
            <w:pPr>
              <w:rPr>
                <w:b/>
                <w:bCs/>
                <w:color w:val="000000"/>
                <w:sz w:val="20"/>
                <w:szCs w:val="20"/>
                <w:lang w:val="en-GB"/>
              </w:rPr>
            </w:pPr>
            <w:r>
              <w:rPr>
                <w:b/>
                <w:bCs/>
                <w:color w:val="000000"/>
                <w:sz w:val="20"/>
                <w:szCs w:val="20"/>
              </w:rPr>
              <w:t>Outcomes</w:t>
            </w:r>
          </w:p>
        </w:tc>
        <w:tc>
          <w:tcPr>
            <w:tcW w:w="2060" w:type="dxa"/>
            <w:tcBorders>
              <w:top w:val="single" w:sz="8" w:space="0" w:color="auto"/>
              <w:left w:val="nil"/>
              <w:bottom w:val="single" w:sz="8" w:space="0" w:color="auto"/>
              <w:right w:val="nil"/>
            </w:tcBorders>
            <w:shd w:val="clear" w:color="auto" w:fill="auto"/>
            <w:noWrap/>
            <w:vAlign w:val="center"/>
            <w:hideMark/>
          </w:tcPr>
          <w:p w14:paraId="1CA5D46B" w14:textId="77777777" w:rsidR="008868DC" w:rsidRDefault="008868DC">
            <w:pPr>
              <w:rPr>
                <w:b/>
                <w:bCs/>
                <w:color w:val="000000"/>
                <w:sz w:val="20"/>
                <w:szCs w:val="20"/>
              </w:rPr>
            </w:pPr>
            <w:r>
              <w:rPr>
                <w:b/>
                <w:bCs/>
                <w:color w:val="000000"/>
                <w:sz w:val="20"/>
                <w:szCs w:val="20"/>
              </w:rPr>
              <w:t>Model 1 HRs</w:t>
            </w:r>
            <w:r>
              <w:rPr>
                <w:b/>
                <w:bCs/>
                <w:color w:val="000000"/>
                <w:sz w:val="20"/>
                <w:szCs w:val="20"/>
                <w:vertAlign w:val="superscript"/>
              </w:rPr>
              <w:t>1</w:t>
            </w:r>
            <w:r>
              <w:rPr>
                <w:b/>
                <w:bCs/>
                <w:color w:val="000000"/>
                <w:sz w:val="20"/>
                <w:szCs w:val="20"/>
              </w:rPr>
              <w:t xml:space="preserve"> (95%CI)</w:t>
            </w:r>
          </w:p>
        </w:tc>
        <w:tc>
          <w:tcPr>
            <w:tcW w:w="740" w:type="dxa"/>
            <w:tcBorders>
              <w:top w:val="single" w:sz="8" w:space="0" w:color="auto"/>
              <w:left w:val="nil"/>
              <w:bottom w:val="single" w:sz="8" w:space="0" w:color="auto"/>
              <w:right w:val="nil"/>
            </w:tcBorders>
            <w:shd w:val="clear" w:color="auto" w:fill="auto"/>
            <w:noWrap/>
            <w:vAlign w:val="center"/>
            <w:hideMark/>
          </w:tcPr>
          <w:p w14:paraId="20D2C3CC" w14:textId="77777777" w:rsidR="008868DC" w:rsidRDefault="008868DC">
            <w:pPr>
              <w:rPr>
                <w:b/>
                <w:bCs/>
                <w:color w:val="000000"/>
                <w:sz w:val="20"/>
                <w:szCs w:val="20"/>
              </w:rPr>
            </w:pPr>
            <w:r>
              <w:rPr>
                <w:b/>
                <w:bCs/>
                <w:color w:val="000000"/>
                <w:sz w:val="20"/>
                <w:szCs w:val="20"/>
              </w:rPr>
              <w:t>P-value</w:t>
            </w:r>
          </w:p>
        </w:tc>
        <w:tc>
          <w:tcPr>
            <w:tcW w:w="2060" w:type="dxa"/>
            <w:tcBorders>
              <w:top w:val="single" w:sz="8" w:space="0" w:color="auto"/>
              <w:left w:val="nil"/>
              <w:bottom w:val="single" w:sz="8" w:space="0" w:color="auto"/>
              <w:right w:val="nil"/>
            </w:tcBorders>
            <w:shd w:val="clear" w:color="auto" w:fill="auto"/>
            <w:noWrap/>
            <w:vAlign w:val="center"/>
            <w:hideMark/>
          </w:tcPr>
          <w:p w14:paraId="50AE220E" w14:textId="77777777" w:rsidR="008868DC" w:rsidRDefault="008868DC">
            <w:pPr>
              <w:rPr>
                <w:b/>
                <w:bCs/>
                <w:color w:val="000000"/>
                <w:sz w:val="20"/>
                <w:szCs w:val="20"/>
              </w:rPr>
            </w:pPr>
            <w:r>
              <w:rPr>
                <w:b/>
                <w:bCs/>
                <w:color w:val="000000"/>
                <w:sz w:val="20"/>
                <w:szCs w:val="20"/>
              </w:rPr>
              <w:t>Model 2 HRs</w:t>
            </w:r>
            <w:r>
              <w:rPr>
                <w:b/>
                <w:bCs/>
                <w:color w:val="000000"/>
                <w:sz w:val="20"/>
                <w:szCs w:val="20"/>
                <w:vertAlign w:val="superscript"/>
              </w:rPr>
              <w:t>2</w:t>
            </w:r>
            <w:r>
              <w:rPr>
                <w:b/>
                <w:bCs/>
                <w:color w:val="000000"/>
                <w:sz w:val="20"/>
                <w:szCs w:val="20"/>
              </w:rPr>
              <w:t xml:space="preserve"> (95%CI)</w:t>
            </w:r>
          </w:p>
        </w:tc>
        <w:tc>
          <w:tcPr>
            <w:tcW w:w="740" w:type="dxa"/>
            <w:tcBorders>
              <w:top w:val="single" w:sz="8" w:space="0" w:color="auto"/>
              <w:left w:val="nil"/>
              <w:bottom w:val="single" w:sz="8" w:space="0" w:color="auto"/>
              <w:right w:val="nil"/>
            </w:tcBorders>
            <w:shd w:val="clear" w:color="auto" w:fill="auto"/>
            <w:noWrap/>
            <w:vAlign w:val="center"/>
            <w:hideMark/>
          </w:tcPr>
          <w:p w14:paraId="435D4EB9" w14:textId="77777777" w:rsidR="008868DC" w:rsidRDefault="008868DC">
            <w:pPr>
              <w:rPr>
                <w:b/>
                <w:bCs/>
                <w:color w:val="000000"/>
                <w:sz w:val="20"/>
                <w:szCs w:val="20"/>
              </w:rPr>
            </w:pPr>
            <w:r>
              <w:rPr>
                <w:b/>
                <w:bCs/>
                <w:color w:val="000000"/>
                <w:sz w:val="20"/>
                <w:szCs w:val="20"/>
              </w:rPr>
              <w:t>P-value</w:t>
            </w:r>
          </w:p>
        </w:tc>
      </w:tr>
      <w:tr w:rsidR="008868DC" w14:paraId="2A39FDA6" w14:textId="77777777" w:rsidTr="008868DC">
        <w:trPr>
          <w:trHeight w:val="290"/>
        </w:trPr>
        <w:tc>
          <w:tcPr>
            <w:tcW w:w="2024" w:type="dxa"/>
            <w:tcBorders>
              <w:top w:val="nil"/>
              <w:left w:val="nil"/>
              <w:bottom w:val="nil"/>
              <w:right w:val="nil"/>
            </w:tcBorders>
            <w:shd w:val="clear" w:color="auto" w:fill="auto"/>
            <w:noWrap/>
            <w:vAlign w:val="center"/>
            <w:hideMark/>
          </w:tcPr>
          <w:p w14:paraId="784DD954" w14:textId="77777777" w:rsidR="008868DC" w:rsidRDefault="008868DC">
            <w:pPr>
              <w:rPr>
                <w:color w:val="000000"/>
                <w:sz w:val="20"/>
                <w:szCs w:val="20"/>
              </w:rPr>
            </w:pPr>
            <w:r>
              <w:rPr>
                <w:color w:val="000000"/>
                <w:sz w:val="20"/>
                <w:szCs w:val="20"/>
              </w:rPr>
              <w:t>All-cause mortality</w:t>
            </w:r>
          </w:p>
        </w:tc>
        <w:tc>
          <w:tcPr>
            <w:tcW w:w="2060" w:type="dxa"/>
            <w:tcBorders>
              <w:top w:val="nil"/>
              <w:left w:val="nil"/>
              <w:bottom w:val="nil"/>
              <w:right w:val="nil"/>
            </w:tcBorders>
            <w:shd w:val="clear" w:color="auto" w:fill="auto"/>
            <w:noWrap/>
            <w:vAlign w:val="center"/>
            <w:hideMark/>
          </w:tcPr>
          <w:p w14:paraId="5D97692B" w14:textId="77777777" w:rsidR="008868DC" w:rsidRDefault="008868DC">
            <w:pPr>
              <w:rPr>
                <w:color w:val="000000"/>
                <w:sz w:val="20"/>
                <w:szCs w:val="20"/>
              </w:rPr>
            </w:pPr>
            <w:r>
              <w:rPr>
                <w:color w:val="000000"/>
                <w:sz w:val="20"/>
                <w:szCs w:val="20"/>
              </w:rPr>
              <w:t>0.36(0.23-0.51)</w:t>
            </w:r>
          </w:p>
        </w:tc>
        <w:tc>
          <w:tcPr>
            <w:tcW w:w="740" w:type="dxa"/>
            <w:tcBorders>
              <w:top w:val="nil"/>
              <w:left w:val="nil"/>
              <w:bottom w:val="nil"/>
              <w:right w:val="nil"/>
            </w:tcBorders>
            <w:shd w:val="clear" w:color="auto" w:fill="auto"/>
            <w:noWrap/>
            <w:vAlign w:val="center"/>
            <w:hideMark/>
          </w:tcPr>
          <w:p w14:paraId="14AA87FE" w14:textId="77777777" w:rsidR="008868DC" w:rsidRDefault="008868DC">
            <w:pPr>
              <w:rPr>
                <w:color w:val="000000"/>
                <w:sz w:val="20"/>
                <w:szCs w:val="20"/>
              </w:rPr>
            </w:pPr>
            <w:r>
              <w:rPr>
                <w:color w:val="000000"/>
                <w:sz w:val="20"/>
                <w:szCs w:val="20"/>
              </w:rPr>
              <w:t>&lt;0.001</w:t>
            </w:r>
          </w:p>
        </w:tc>
        <w:tc>
          <w:tcPr>
            <w:tcW w:w="2060" w:type="dxa"/>
            <w:tcBorders>
              <w:top w:val="nil"/>
              <w:left w:val="nil"/>
              <w:bottom w:val="nil"/>
              <w:right w:val="nil"/>
            </w:tcBorders>
            <w:shd w:val="clear" w:color="auto" w:fill="auto"/>
            <w:noWrap/>
            <w:vAlign w:val="center"/>
            <w:hideMark/>
          </w:tcPr>
          <w:p w14:paraId="6D2FC7EE" w14:textId="77777777" w:rsidR="008868DC" w:rsidRDefault="008868DC">
            <w:pPr>
              <w:rPr>
                <w:color w:val="000000"/>
                <w:sz w:val="20"/>
                <w:szCs w:val="20"/>
              </w:rPr>
            </w:pPr>
            <w:r>
              <w:rPr>
                <w:color w:val="000000"/>
                <w:sz w:val="20"/>
                <w:szCs w:val="20"/>
              </w:rPr>
              <w:t>0.35(0.25-0.49)</w:t>
            </w:r>
          </w:p>
        </w:tc>
        <w:tc>
          <w:tcPr>
            <w:tcW w:w="740" w:type="dxa"/>
            <w:tcBorders>
              <w:top w:val="nil"/>
              <w:left w:val="nil"/>
              <w:bottom w:val="nil"/>
              <w:right w:val="nil"/>
            </w:tcBorders>
            <w:shd w:val="clear" w:color="auto" w:fill="auto"/>
            <w:noWrap/>
            <w:vAlign w:val="center"/>
            <w:hideMark/>
          </w:tcPr>
          <w:p w14:paraId="5D15D930" w14:textId="77777777" w:rsidR="008868DC" w:rsidRDefault="008868DC">
            <w:pPr>
              <w:rPr>
                <w:color w:val="000000"/>
                <w:sz w:val="20"/>
                <w:szCs w:val="20"/>
              </w:rPr>
            </w:pPr>
            <w:r>
              <w:rPr>
                <w:color w:val="000000"/>
                <w:sz w:val="20"/>
                <w:szCs w:val="20"/>
              </w:rPr>
              <w:t>&lt;0.001</w:t>
            </w:r>
          </w:p>
        </w:tc>
      </w:tr>
      <w:tr w:rsidR="008868DC" w14:paraId="625CDBB9" w14:textId="77777777" w:rsidTr="008868DC">
        <w:trPr>
          <w:trHeight w:val="530"/>
        </w:trPr>
        <w:tc>
          <w:tcPr>
            <w:tcW w:w="2024" w:type="dxa"/>
            <w:tcBorders>
              <w:top w:val="nil"/>
              <w:left w:val="nil"/>
              <w:bottom w:val="nil"/>
              <w:right w:val="nil"/>
            </w:tcBorders>
            <w:shd w:val="clear" w:color="auto" w:fill="auto"/>
            <w:noWrap/>
            <w:vAlign w:val="center"/>
            <w:hideMark/>
          </w:tcPr>
          <w:p w14:paraId="0DC4A2C6" w14:textId="77777777" w:rsidR="008868DC" w:rsidRDefault="008868DC">
            <w:pPr>
              <w:jc w:val="both"/>
              <w:rPr>
                <w:color w:val="000000"/>
                <w:sz w:val="20"/>
                <w:szCs w:val="20"/>
              </w:rPr>
            </w:pPr>
            <w:r>
              <w:rPr>
                <w:color w:val="000000"/>
                <w:sz w:val="20"/>
                <w:szCs w:val="20"/>
              </w:rPr>
              <w:t>Cardiovascular mortality</w:t>
            </w:r>
          </w:p>
        </w:tc>
        <w:tc>
          <w:tcPr>
            <w:tcW w:w="2060" w:type="dxa"/>
            <w:tcBorders>
              <w:top w:val="nil"/>
              <w:left w:val="nil"/>
              <w:bottom w:val="nil"/>
              <w:right w:val="nil"/>
            </w:tcBorders>
            <w:shd w:val="clear" w:color="auto" w:fill="auto"/>
            <w:noWrap/>
            <w:vAlign w:val="center"/>
            <w:hideMark/>
          </w:tcPr>
          <w:p w14:paraId="4BA534C2" w14:textId="77777777" w:rsidR="008868DC" w:rsidRDefault="008868DC">
            <w:pPr>
              <w:jc w:val="both"/>
              <w:rPr>
                <w:color w:val="000000"/>
                <w:sz w:val="20"/>
                <w:szCs w:val="20"/>
              </w:rPr>
            </w:pPr>
            <w:r>
              <w:rPr>
                <w:color w:val="000000"/>
                <w:sz w:val="20"/>
                <w:szCs w:val="20"/>
              </w:rPr>
              <w:t>0.30(0.18-0.51)</w:t>
            </w:r>
          </w:p>
        </w:tc>
        <w:tc>
          <w:tcPr>
            <w:tcW w:w="740" w:type="dxa"/>
            <w:tcBorders>
              <w:top w:val="nil"/>
              <w:left w:val="nil"/>
              <w:bottom w:val="nil"/>
              <w:right w:val="nil"/>
            </w:tcBorders>
            <w:shd w:val="clear" w:color="auto" w:fill="auto"/>
            <w:noWrap/>
            <w:vAlign w:val="center"/>
            <w:hideMark/>
          </w:tcPr>
          <w:p w14:paraId="1BE5E479" w14:textId="77777777" w:rsidR="008868DC" w:rsidRDefault="008868DC">
            <w:pPr>
              <w:rPr>
                <w:color w:val="000000"/>
                <w:sz w:val="20"/>
                <w:szCs w:val="20"/>
              </w:rPr>
            </w:pPr>
            <w:r>
              <w:rPr>
                <w:color w:val="000000"/>
                <w:sz w:val="20"/>
                <w:szCs w:val="20"/>
              </w:rPr>
              <w:t>&lt;0.001</w:t>
            </w:r>
          </w:p>
        </w:tc>
        <w:tc>
          <w:tcPr>
            <w:tcW w:w="2060" w:type="dxa"/>
            <w:tcBorders>
              <w:top w:val="nil"/>
              <w:left w:val="nil"/>
              <w:bottom w:val="nil"/>
              <w:right w:val="nil"/>
            </w:tcBorders>
            <w:shd w:val="clear" w:color="auto" w:fill="auto"/>
            <w:noWrap/>
            <w:vAlign w:val="center"/>
            <w:hideMark/>
          </w:tcPr>
          <w:p w14:paraId="5D7AC24F" w14:textId="77777777" w:rsidR="008868DC" w:rsidRDefault="008868DC">
            <w:pPr>
              <w:jc w:val="both"/>
              <w:rPr>
                <w:color w:val="000000"/>
                <w:sz w:val="20"/>
                <w:szCs w:val="20"/>
              </w:rPr>
            </w:pPr>
            <w:r>
              <w:rPr>
                <w:color w:val="000000"/>
                <w:sz w:val="20"/>
                <w:szCs w:val="20"/>
              </w:rPr>
              <w:t>0.31(0.19-0.48)</w:t>
            </w:r>
          </w:p>
        </w:tc>
        <w:tc>
          <w:tcPr>
            <w:tcW w:w="740" w:type="dxa"/>
            <w:tcBorders>
              <w:top w:val="nil"/>
              <w:left w:val="nil"/>
              <w:bottom w:val="nil"/>
              <w:right w:val="nil"/>
            </w:tcBorders>
            <w:shd w:val="clear" w:color="auto" w:fill="auto"/>
            <w:noWrap/>
            <w:vAlign w:val="center"/>
            <w:hideMark/>
          </w:tcPr>
          <w:p w14:paraId="497D2E0F" w14:textId="77777777" w:rsidR="008868DC" w:rsidRDefault="008868DC">
            <w:pPr>
              <w:jc w:val="both"/>
              <w:rPr>
                <w:color w:val="000000"/>
                <w:sz w:val="20"/>
                <w:szCs w:val="20"/>
              </w:rPr>
            </w:pPr>
            <w:r>
              <w:rPr>
                <w:color w:val="000000"/>
                <w:sz w:val="20"/>
                <w:szCs w:val="20"/>
              </w:rPr>
              <w:t>&lt;0.001</w:t>
            </w:r>
          </w:p>
        </w:tc>
      </w:tr>
      <w:tr w:rsidR="008868DC" w14:paraId="2836001D" w14:textId="77777777" w:rsidTr="008868DC">
        <w:trPr>
          <w:trHeight w:val="310"/>
        </w:trPr>
        <w:tc>
          <w:tcPr>
            <w:tcW w:w="2024" w:type="dxa"/>
            <w:tcBorders>
              <w:top w:val="nil"/>
              <w:left w:val="nil"/>
              <w:bottom w:val="nil"/>
              <w:right w:val="nil"/>
            </w:tcBorders>
            <w:shd w:val="clear" w:color="auto" w:fill="auto"/>
            <w:noWrap/>
            <w:vAlign w:val="center"/>
            <w:hideMark/>
          </w:tcPr>
          <w:p w14:paraId="1F664617" w14:textId="77777777" w:rsidR="008868DC" w:rsidRDefault="008868DC">
            <w:pPr>
              <w:jc w:val="both"/>
              <w:rPr>
                <w:color w:val="000000"/>
                <w:sz w:val="20"/>
                <w:szCs w:val="20"/>
              </w:rPr>
            </w:pPr>
          </w:p>
        </w:tc>
        <w:tc>
          <w:tcPr>
            <w:tcW w:w="2060" w:type="dxa"/>
            <w:tcBorders>
              <w:top w:val="single" w:sz="8" w:space="0" w:color="auto"/>
              <w:left w:val="nil"/>
              <w:bottom w:val="single" w:sz="8" w:space="0" w:color="auto"/>
              <w:right w:val="nil"/>
            </w:tcBorders>
            <w:shd w:val="clear" w:color="auto" w:fill="auto"/>
            <w:noWrap/>
            <w:vAlign w:val="center"/>
            <w:hideMark/>
          </w:tcPr>
          <w:p w14:paraId="319B99D4" w14:textId="77777777" w:rsidR="008868DC" w:rsidRDefault="008868DC">
            <w:pPr>
              <w:rPr>
                <w:b/>
                <w:bCs/>
                <w:color w:val="000000"/>
                <w:sz w:val="20"/>
                <w:szCs w:val="20"/>
              </w:rPr>
            </w:pPr>
            <w:r>
              <w:rPr>
                <w:b/>
                <w:bCs/>
                <w:color w:val="000000"/>
                <w:sz w:val="20"/>
                <w:szCs w:val="20"/>
              </w:rPr>
              <w:t>Model 3 HRs</w:t>
            </w:r>
            <w:r>
              <w:rPr>
                <w:b/>
                <w:bCs/>
                <w:color w:val="000000"/>
                <w:sz w:val="20"/>
                <w:szCs w:val="20"/>
                <w:vertAlign w:val="superscript"/>
              </w:rPr>
              <w:t>3</w:t>
            </w:r>
            <w:r>
              <w:rPr>
                <w:b/>
                <w:bCs/>
                <w:color w:val="000000"/>
                <w:sz w:val="20"/>
                <w:szCs w:val="20"/>
              </w:rPr>
              <w:t xml:space="preserve"> (95%CI)</w:t>
            </w:r>
          </w:p>
        </w:tc>
        <w:tc>
          <w:tcPr>
            <w:tcW w:w="740" w:type="dxa"/>
            <w:tcBorders>
              <w:top w:val="single" w:sz="8" w:space="0" w:color="auto"/>
              <w:left w:val="nil"/>
              <w:bottom w:val="single" w:sz="8" w:space="0" w:color="auto"/>
              <w:right w:val="nil"/>
            </w:tcBorders>
            <w:shd w:val="clear" w:color="auto" w:fill="auto"/>
            <w:noWrap/>
            <w:vAlign w:val="center"/>
            <w:hideMark/>
          </w:tcPr>
          <w:p w14:paraId="396919B5" w14:textId="77777777" w:rsidR="008868DC" w:rsidRDefault="008868DC">
            <w:pPr>
              <w:rPr>
                <w:b/>
                <w:bCs/>
                <w:color w:val="000000"/>
                <w:sz w:val="20"/>
                <w:szCs w:val="20"/>
              </w:rPr>
            </w:pPr>
            <w:r>
              <w:rPr>
                <w:b/>
                <w:bCs/>
                <w:color w:val="000000"/>
                <w:sz w:val="20"/>
                <w:szCs w:val="20"/>
              </w:rPr>
              <w:t>P-value</w:t>
            </w:r>
          </w:p>
        </w:tc>
        <w:tc>
          <w:tcPr>
            <w:tcW w:w="2060" w:type="dxa"/>
            <w:tcBorders>
              <w:top w:val="single" w:sz="8" w:space="0" w:color="auto"/>
              <w:left w:val="nil"/>
              <w:bottom w:val="single" w:sz="8" w:space="0" w:color="auto"/>
              <w:right w:val="nil"/>
            </w:tcBorders>
            <w:shd w:val="clear" w:color="auto" w:fill="auto"/>
            <w:noWrap/>
            <w:vAlign w:val="center"/>
            <w:hideMark/>
          </w:tcPr>
          <w:p w14:paraId="100BF75E" w14:textId="77777777" w:rsidR="008868DC" w:rsidRDefault="008868DC">
            <w:pPr>
              <w:rPr>
                <w:b/>
                <w:bCs/>
                <w:color w:val="000000"/>
                <w:sz w:val="20"/>
                <w:szCs w:val="20"/>
              </w:rPr>
            </w:pPr>
            <w:r>
              <w:rPr>
                <w:b/>
                <w:bCs/>
                <w:color w:val="000000"/>
                <w:sz w:val="20"/>
                <w:szCs w:val="20"/>
              </w:rPr>
              <w:t>Model 4 HRs</w:t>
            </w:r>
            <w:r>
              <w:rPr>
                <w:b/>
                <w:bCs/>
                <w:color w:val="000000"/>
                <w:sz w:val="20"/>
                <w:szCs w:val="20"/>
                <w:vertAlign w:val="superscript"/>
              </w:rPr>
              <w:t>4</w:t>
            </w:r>
            <w:r>
              <w:rPr>
                <w:b/>
                <w:bCs/>
                <w:color w:val="000000"/>
                <w:sz w:val="20"/>
                <w:szCs w:val="20"/>
              </w:rPr>
              <w:t xml:space="preserve"> (95%CI)</w:t>
            </w:r>
          </w:p>
        </w:tc>
        <w:tc>
          <w:tcPr>
            <w:tcW w:w="740" w:type="dxa"/>
            <w:tcBorders>
              <w:top w:val="single" w:sz="8" w:space="0" w:color="auto"/>
              <w:left w:val="nil"/>
              <w:bottom w:val="single" w:sz="8" w:space="0" w:color="auto"/>
              <w:right w:val="nil"/>
            </w:tcBorders>
            <w:shd w:val="clear" w:color="auto" w:fill="auto"/>
            <w:noWrap/>
            <w:vAlign w:val="center"/>
            <w:hideMark/>
          </w:tcPr>
          <w:p w14:paraId="361D96FC" w14:textId="77777777" w:rsidR="008868DC" w:rsidRDefault="008868DC">
            <w:pPr>
              <w:rPr>
                <w:b/>
                <w:bCs/>
                <w:color w:val="000000"/>
                <w:sz w:val="20"/>
                <w:szCs w:val="20"/>
              </w:rPr>
            </w:pPr>
            <w:r>
              <w:rPr>
                <w:b/>
                <w:bCs/>
                <w:color w:val="000000"/>
                <w:sz w:val="20"/>
                <w:szCs w:val="20"/>
              </w:rPr>
              <w:t>P-value</w:t>
            </w:r>
          </w:p>
        </w:tc>
      </w:tr>
      <w:tr w:rsidR="008868DC" w14:paraId="2C49ECB1" w14:textId="77777777" w:rsidTr="008868DC">
        <w:trPr>
          <w:trHeight w:val="290"/>
        </w:trPr>
        <w:tc>
          <w:tcPr>
            <w:tcW w:w="2024" w:type="dxa"/>
            <w:tcBorders>
              <w:top w:val="nil"/>
              <w:left w:val="nil"/>
              <w:bottom w:val="nil"/>
              <w:right w:val="nil"/>
            </w:tcBorders>
            <w:shd w:val="clear" w:color="auto" w:fill="auto"/>
            <w:noWrap/>
            <w:vAlign w:val="center"/>
            <w:hideMark/>
          </w:tcPr>
          <w:p w14:paraId="3AAF25B6" w14:textId="77777777" w:rsidR="008868DC" w:rsidRDefault="008868DC">
            <w:pPr>
              <w:rPr>
                <w:color w:val="000000"/>
                <w:sz w:val="20"/>
                <w:szCs w:val="20"/>
              </w:rPr>
            </w:pPr>
            <w:r>
              <w:rPr>
                <w:color w:val="000000"/>
                <w:sz w:val="20"/>
                <w:szCs w:val="20"/>
              </w:rPr>
              <w:t>All-cause mortality</w:t>
            </w:r>
          </w:p>
        </w:tc>
        <w:tc>
          <w:tcPr>
            <w:tcW w:w="2060" w:type="dxa"/>
            <w:tcBorders>
              <w:top w:val="nil"/>
              <w:left w:val="nil"/>
              <w:bottom w:val="nil"/>
              <w:right w:val="nil"/>
            </w:tcBorders>
            <w:shd w:val="clear" w:color="auto" w:fill="auto"/>
            <w:noWrap/>
            <w:vAlign w:val="center"/>
            <w:hideMark/>
          </w:tcPr>
          <w:p w14:paraId="6C469467" w14:textId="77777777" w:rsidR="008868DC" w:rsidRDefault="008868DC">
            <w:pPr>
              <w:rPr>
                <w:color w:val="000000"/>
                <w:sz w:val="20"/>
                <w:szCs w:val="20"/>
              </w:rPr>
            </w:pPr>
            <w:r>
              <w:rPr>
                <w:color w:val="000000"/>
                <w:sz w:val="20"/>
                <w:szCs w:val="20"/>
              </w:rPr>
              <w:t>0.39(0.26-0.61)</w:t>
            </w:r>
          </w:p>
        </w:tc>
        <w:tc>
          <w:tcPr>
            <w:tcW w:w="740" w:type="dxa"/>
            <w:tcBorders>
              <w:top w:val="nil"/>
              <w:left w:val="nil"/>
              <w:bottom w:val="nil"/>
              <w:right w:val="nil"/>
            </w:tcBorders>
            <w:shd w:val="clear" w:color="auto" w:fill="auto"/>
            <w:noWrap/>
            <w:vAlign w:val="center"/>
            <w:hideMark/>
          </w:tcPr>
          <w:p w14:paraId="6AB812B9" w14:textId="77777777" w:rsidR="008868DC" w:rsidRDefault="008868DC">
            <w:pPr>
              <w:rPr>
                <w:color w:val="000000"/>
                <w:sz w:val="20"/>
                <w:szCs w:val="20"/>
              </w:rPr>
            </w:pPr>
            <w:r>
              <w:rPr>
                <w:color w:val="000000"/>
                <w:sz w:val="20"/>
                <w:szCs w:val="20"/>
              </w:rPr>
              <w:t>&lt;0.001</w:t>
            </w:r>
          </w:p>
        </w:tc>
        <w:tc>
          <w:tcPr>
            <w:tcW w:w="2060" w:type="dxa"/>
            <w:tcBorders>
              <w:top w:val="nil"/>
              <w:left w:val="nil"/>
              <w:bottom w:val="nil"/>
              <w:right w:val="nil"/>
            </w:tcBorders>
            <w:shd w:val="clear" w:color="auto" w:fill="auto"/>
            <w:noWrap/>
            <w:vAlign w:val="center"/>
            <w:hideMark/>
          </w:tcPr>
          <w:p w14:paraId="32B34535" w14:textId="77777777" w:rsidR="008868DC" w:rsidRDefault="008868DC">
            <w:pPr>
              <w:rPr>
                <w:color w:val="000000"/>
                <w:sz w:val="20"/>
                <w:szCs w:val="20"/>
              </w:rPr>
            </w:pPr>
            <w:r>
              <w:rPr>
                <w:color w:val="000000"/>
                <w:sz w:val="20"/>
                <w:szCs w:val="20"/>
              </w:rPr>
              <w:t>0.38(0.25-0.58)</w:t>
            </w:r>
          </w:p>
        </w:tc>
        <w:tc>
          <w:tcPr>
            <w:tcW w:w="740" w:type="dxa"/>
            <w:tcBorders>
              <w:top w:val="nil"/>
              <w:left w:val="nil"/>
              <w:bottom w:val="nil"/>
              <w:right w:val="nil"/>
            </w:tcBorders>
            <w:shd w:val="clear" w:color="auto" w:fill="auto"/>
            <w:noWrap/>
            <w:vAlign w:val="center"/>
            <w:hideMark/>
          </w:tcPr>
          <w:p w14:paraId="2272E1B7" w14:textId="77777777" w:rsidR="008868DC" w:rsidRDefault="008868DC">
            <w:pPr>
              <w:rPr>
                <w:color w:val="000000"/>
                <w:sz w:val="20"/>
                <w:szCs w:val="20"/>
              </w:rPr>
            </w:pPr>
            <w:r>
              <w:rPr>
                <w:color w:val="000000"/>
                <w:sz w:val="20"/>
                <w:szCs w:val="20"/>
              </w:rPr>
              <w:t>&lt;0.001</w:t>
            </w:r>
          </w:p>
        </w:tc>
      </w:tr>
      <w:tr w:rsidR="008868DC" w14:paraId="00DF4C9D" w14:textId="77777777" w:rsidTr="008868DC">
        <w:trPr>
          <w:trHeight w:val="530"/>
        </w:trPr>
        <w:tc>
          <w:tcPr>
            <w:tcW w:w="2024" w:type="dxa"/>
            <w:tcBorders>
              <w:top w:val="nil"/>
              <w:left w:val="nil"/>
              <w:bottom w:val="nil"/>
              <w:right w:val="nil"/>
            </w:tcBorders>
            <w:shd w:val="clear" w:color="auto" w:fill="auto"/>
            <w:noWrap/>
            <w:vAlign w:val="center"/>
            <w:hideMark/>
          </w:tcPr>
          <w:p w14:paraId="2B0A1985" w14:textId="77777777" w:rsidR="008868DC" w:rsidRDefault="008868DC">
            <w:pPr>
              <w:jc w:val="both"/>
              <w:rPr>
                <w:color w:val="000000"/>
                <w:sz w:val="20"/>
                <w:szCs w:val="20"/>
              </w:rPr>
            </w:pPr>
            <w:r>
              <w:rPr>
                <w:color w:val="000000"/>
                <w:sz w:val="20"/>
                <w:szCs w:val="20"/>
              </w:rPr>
              <w:t>Cardiovascular mortality</w:t>
            </w:r>
          </w:p>
        </w:tc>
        <w:tc>
          <w:tcPr>
            <w:tcW w:w="2060" w:type="dxa"/>
            <w:tcBorders>
              <w:top w:val="nil"/>
              <w:left w:val="nil"/>
              <w:bottom w:val="single" w:sz="8" w:space="0" w:color="auto"/>
              <w:right w:val="nil"/>
            </w:tcBorders>
            <w:shd w:val="clear" w:color="auto" w:fill="auto"/>
            <w:noWrap/>
            <w:vAlign w:val="center"/>
            <w:hideMark/>
          </w:tcPr>
          <w:p w14:paraId="3D81C747" w14:textId="77777777" w:rsidR="008868DC" w:rsidRDefault="008868DC">
            <w:pPr>
              <w:jc w:val="both"/>
              <w:rPr>
                <w:color w:val="000000"/>
                <w:sz w:val="20"/>
                <w:szCs w:val="20"/>
              </w:rPr>
            </w:pPr>
            <w:r>
              <w:rPr>
                <w:color w:val="000000"/>
                <w:sz w:val="20"/>
                <w:szCs w:val="20"/>
              </w:rPr>
              <w:t>0.44(0.25-0.77)</w:t>
            </w:r>
          </w:p>
        </w:tc>
        <w:tc>
          <w:tcPr>
            <w:tcW w:w="740" w:type="dxa"/>
            <w:tcBorders>
              <w:top w:val="nil"/>
              <w:left w:val="nil"/>
              <w:bottom w:val="single" w:sz="8" w:space="0" w:color="auto"/>
              <w:right w:val="nil"/>
            </w:tcBorders>
            <w:shd w:val="clear" w:color="auto" w:fill="auto"/>
            <w:noWrap/>
            <w:vAlign w:val="center"/>
            <w:hideMark/>
          </w:tcPr>
          <w:p w14:paraId="36C6BEF8" w14:textId="77777777" w:rsidR="008868DC" w:rsidRDefault="008868DC">
            <w:pPr>
              <w:jc w:val="both"/>
              <w:rPr>
                <w:color w:val="000000"/>
                <w:sz w:val="20"/>
                <w:szCs w:val="20"/>
              </w:rPr>
            </w:pPr>
            <w:r>
              <w:rPr>
                <w:color w:val="000000"/>
                <w:sz w:val="20"/>
                <w:szCs w:val="20"/>
              </w:rPr>
              <w:t>0.004</w:t>
            </w:r>
          </w:p>
        </w:tc>
        <w:tc>
          <w:tcPr>
            <w:tcW w:w="2060" w:type="dxa"/>
            <w:tcBorders>
              <w:top w:val="nil"/>
              <w:left w:val="nil"/>
              <w:bottom w:val="single" w:sz="8" w:space="0" w:color="auto"/>
              <w:right w:val="nil"/>
            </w:tcBorders>
            <w:shd w:val="clear" w:color="auto" w:fill="auto"/>
            <w:noWrap/>
            <w:vAlign w:val="center"/>
            <w:hideMark/>
          </w:tcPr>
          <w:p w14:paraId="0198F136" w14:textId="77777777" w:rsidR="008868DC" w:rsidRDefault="008868DC">
            <w:pPr>
              <w:jc w:val="both"/>
              <w:rPr>
                <w:color w:val="000000"/>
                <w:sz w:val="20"/>
                <w:szCs w:val="20"/>
              </w:rPr>
            </w:pPr>
            <w:r>
              <w:rPr>
                <w:color w:val="000000"/>
                <w:sz w:val="20"/>
                <w:szCs w:val="20"/>
              </w:rPr>
              <w:t>0.43(0.25-0.74)</w:t>
            </w:r>
          </w:p>
        </w:tc>
        <w:tc>
          <w:tcPr>
            <w:tcW w:w="740" w:type="dxa"/>
            <w:tcBorders>
              <w:top w:val="nil"/>
              <w:left w:val="nil"/>
              <w:bottom w:val="single" w:sz="8" w:space="0" w:color="auto"/>
              <w:right w:val="nil"/>
            </w:tcBorders>
            <w:shd w:val="clear" w:color="auto" w:fill="auto"/>
            <w:noWrap/>
            <w:vAlign w:val="center"/>
            <w:hideMark/>
          </w:tcPr>
          <w:p w14:paraId="636A522C" w14:textId="77777777" w:rsidR="008868DC" w:rsidRDefault="008868DC">
            <w:pPr>
              <w:jc w:val="right"/>
              <w:rPr>
                <w:color w:val="000000"/>
                <w:sz w:val="20"/>
                <w:szCs w:val="20"/>
              </w:rPr>
            </w:pPr>
            <w:r>
              <w:rPr>
                <w:color w:val="000000"/>
                <w:sz w:val="20"/>
                <w:szCs w:val="20"/>
              </w:rPr>
              <w:t>0.002</w:t>
            </w:r>
          </w:p>
        </w:tc>
      </w:tr>
      <w:tr w:rsidR="008868DC" w14:paraId="0C611654" w14:textId="77777777" w:rsidTr="008868DC">
        <w:trPr>
          <w:trHeight w:val="310"/>
        </w:trPr>
        <w:tc>
          <w:tcPr>
            <w:tcW w:w="2024" w:type="dxa"/>
            <w:tcBorders>
              <w:top w:val="nil"/>
              <w:left w:val="nil"/>
              <w:bottom w:val="nil"/>
              <w:right w:val="nil"/>
            </w:tcBorders>
            <w:shd w:val="clear" w:color="auto" w:fill="auto"/>
            <w:noWrap/>
            <w:vAlign w:val="center"/>
            <w:hideMark/>
          </w:tcPr>
          <w:p w14:paraId="118ACDD3" w14:textId="77777777" w:rsidR="008868DC" w:rsidRPr="00F2199D" w:rsidRDefault="008868DC">
            <w:pPr>
              <w:jc w:val="right"/>
              <w:rPr>
                <w:color w:val="FF0000"/>
                <w:sz w:val="20"/>
                <w:szCs w:val="20"/>
              </w:rPr>
            </w:pPr>
          </w:p>
        </w:tc>
        <w:tc>
          <w:tcPr>
            <w:tcW w:w="2060" w:type="dxa"/>
            <w:tcBorders>
              <w:top w:val="nil"/>
              <w:left w:val="nil"/>
              <w:bottom w:val="single" w:sz="8" w:space="0" w:color="auto"/>
              <w:right w:val="nil"/>
            </w:tcBorders>
            <w:shd w:val="clear" w:color="auto" w:fill="auto"/>
            <w:noWrap/>
            <w:vAlign w:val="center"/>
            <w:hideMark/>
          </w:tcPr>
          <w:p w14:paraId="1506C045" w14:textId="77777777" w:rsidR="008868DC" w:rsidRPr="00F2199D" w:rsidRDefault="008868DC">
            <w:pPr>
              <w:rPr>
                <w:b/>
                <w:bCs/>
                <w:color w:val="FF0000"/>
                <w:sz w:val="20"/>
                <w:szCs w:val="20"/>
              </w:rPr>
            </w:pPr>
            <w:r w:rsidRPr="00F2199D">
              <w:rPr>
                <w:b/>
                <w:bCs/>
                <w:color w:val="FF0000"/>
                <w:sz w:val="20"/>
                <w:szCs w:val="20"/>
              </w:rPr>
              <w:t>Model 5 HRs</w:t>
            </w:r>
            <w:r w:rsidRPr="00F2199D">
              <w:rPr>
                <w:b/>
                <w:bCs/>
                <w:color w:val="FF0000"/>
                <w:sz w:val="20"/>
                <w:szCs w:val="20"/>
                <w:vertAlign w:val="superscript"/>
              </w:rPr>
              <w:t>5</w:t>
            </w:r>
            <w:r w:rsidRPr="00F2199D">
              <w:rPr>
                <w:b/>
                <w:bCs/>
                <w:color w:val="FF0000"/>
                <w:sz w:val="20"/>
                <w:szCs w:val="20"/>
              </w:rPr>
              <w:t xml:space="preserve"> (95%CI)</w:t>
            </w:r>
          </w:p>
        </w:tc>
        <w:tc>
          <w:tcPr>
            <w:tcW w:w="740" w:type="dxa"/>
            <w:tcBorders>
              <w:top w:val="nil"/>
              <w:left w:val="nil"/>
              <w:bottom w:val="single" w:sz="8" w:space="0" w:color="auto"/>
              <w:right w:val="nil"/>
            </w:tcBorders>
            <w:shd w:val="clear" w:color="auto" w:fill="auto"/>
            <w:noWrap/>
            <w:vAlign w:val="center"/>
            <w:hideMark/>
          </w:tcPr>
          <w:p w14:paraId="3F0AC0EA" w14:textId="77777777" w:rsidR="008868DC" w:rsidRPr="00F2199D" w:rsidRDefault="008868DC">
            <w:pPr>
              <w:rPr>
                <w:b/>
                <w:bCs/>
                <w:color w:val="FF0000"/>
                <w:sz w:val="20"/>
                <w:szCs w:val="20"/>
              </w:rPr>
            </w:pPr>
            <w:r w:rsidRPr="00F2199D">
              <w:rPr>
                <w:b/>
                <w:bCs/>
                <w:color w:val="FF0000"/>
                <w:sz w:val="20"/>
                <w:szCs w:val="20"/>
              </w:rPr>
              <w:t>P-value</w:t>
            </w:r>
          </w:p>
        </w:tc>
        <w:tc>
          <w:tcPr>
            <w:tcW w:w="2060" w:type="dxa"/>
            <w:tcBorders>
              <w:top w:val="nil"/>
              <w:left w:val="nil"/>
              <w:bottom w:val="single" w:sz="8" w:space="0" w:color="auto"/>
              <w:right w:val="nil"/>
            </w:tcBorders>
            <w:shd w:val="clear" w:color="auto" w:fill="auto"/>
            <w:noWrap/>
            <w:vAlign w:val="center"/>
            <w:hideMark/>
          </w:tcPr>
          <w:p w14:paraId="1A97A8CA" w14:textId="77777777" w:rsidR="008868DC" w:rsidRPr="00F2199D" w:rsidRDefault="008868DC">
            <w:pPr>
              <w:rPr>
                <w:b/>
                <w:bCs/>
                <w:color w:val="FF0000"/>
                <w:sz w:val="20"/>
                <w:szCs w:val="20"/>
              </w:rPr>
            </w:pPr>
            <w:r w:rsidRPr="00F2199D">
              <w:rPr>
                <w:b/>
                <w:bCs/>
                <w:color w:val="FF0000"/>
                <w:sz w:val="20"/>
                <w:szCs w:val="20"/>
              </w:rPr>
              <w:t> </w:t>
            </w:r>
          </w:p>
        </w:tc>
        <w:tc>
          <w:tcPr>
            <w:tcW w:w="740" w:type="dxa"/>
            <w:tcBorders>
              <w:top w:val="nil"/>
              <w:left w:val="nil"/>
              <w:bottom w:val="single" w:sz="8" w:space="0" w:color="auto"/>
              <w:right w:val="nil"/>
            </w:tcBorders>
            <w:shd w:val="clear" w:color="auto" w:fill="auto"/>
            <w:noWrap/>
            <w:vAlign w:val="center"/>
            <w:hideMark/>
          </w:tcPr>
          <w:p w14:paraId="47330C06" w14:textId="77777777" w:rsidR="008868DC" w:rsidRDefault="008868DC">
            <w:pPr>
              <w:rPr>
                <w:b/>
                <w:bCs/>
                <w:color w:val="000000"/>
                <w:sz w:val="20"/>
                <w:szCs w:val="20"/>
              </w:rPr>
            </w:pPr>
            <w:r>
              <w:rPr>
                <w:b/>
                <w:bCs/>
                <w:color w:val="000000"/>
                <w:sz w:val="20"/>
                <w:szCs w:val="20"/>
              </w:rPr>
              <w:t> </w:t>
            </w:r>
          </w:p>
        </w:tc>
      </w:tr>
      <w:tr w:rsidR="008868DC" w14:paraId="4882C8FF" w14:textId="77777777" w:rsidTr="008868DC">
        <w:trPr>
          <w:trHeight w:val="290"/>
        </w:trPr>
        <w:tc>
          <w:tcPr>
            <w:tcW w:w="2024" w:type="dxa"/>
            <w:tcBorders>
              <w:top w:val="nil"/>
              <w:left w:val="nil"/>
              <w:bottom w:val="nil"/>
              <w:right w:val="nil"/>
            </w:tcBorders>
            <w:shd w:val="clear" w:color="auto" w:fill="auto"/>
            <w:noWrap/>
            <w:vAlign w:val="center"/>
            <w:hideMark/>
          </w:tcPr>
          <w:p w14:paraId="03A24752" w14:textId="77777777" w:rsidR="008868DC" w:rsidRPr="00F2199D" w:rsidRDefault="008868DC">
            <w:pPr>
              <w:rPr>
                <w:color w:val="FF0000"/>
                <w:sz w:val="20"/>
                <w:szCs w:val="20"/>
              </w:rPr>
            </w:pPr>
            <w:r w:rsidRPr="00F2199D">
              <w:rPr>
                <w:color w:val="FF0000"/>
                <w:sz w:val="20"/>
                <w:szCs w:val="20"/>
              </w:rPr>
              <w:t>All-cause mortality</w:t>
            </w:r>
          </w:p>
        </w:tc>
        <w:tc>
          <w:tcPr>
            <w:tcW w:w="2060" w:type="dxa"/>
            <w:tcBorders>
              <w:top w:val="nil"/>
              <w:left w:val="nil"/>
              <w:bottom w:val="nil"/>
              <w:right w:val="nil"/>
            </w:tcBorders>
            <w:shd w:val="clear" w:color="auto" w:fill="auto"/>
            <w:noWrap/>
            <w:vAlign w:val="center"/>
            <w:hideMark/>
          </w:tcPr>
          <w:p w14:paraId="0396CE1D" w14:textId="77777777" w:rsidR="008868DC" w:rsidRPr="00F2199D" w:rsidRDefault="008868DC">
            <w:pPr>
              <w:rPr>
                <w:color w:val="FF0000"/>
                <w:sz w:val="20"/>
                <w:szCs w:val="20"/>
              </w:rPr>
            </w:pPr>
            <w:r w:rsidRPr="00F2199D">
              <w:rPr>
                <w:color w:val="FF0000"/>
                <w:sz w:val="20"/>
                <w:szCs w:val="20"/>
              </w:rPr>
              <w:t>0.35(0.25-0.49)</w:t>
            </w:r>
          </w:p>
        </w:tc>
        <w:tc>
          <w:tcPr>
            <w:tcW w:w="740" w:type="dxa"/>
            <w:tcBorders>
              <w:top w:val="nil"/>
              <w:left w:val="nil"/>
              <w:bottom w:val="nil"/>
              <w:right w:val="nil"/>
            </w:tcBorders>
            <w:shd w:val="clear" w:color="auto" w:fill="auto"/>
            <w:noWrap/>
            <w:vAlign w:val="center"/>
            <w:hideMark/>
          </w:tcPr>
          <w:p w14:paraId="4B6DE04A" w14:textId="77777777" w:rsidR="008868DC" w:rsidRPr="00F2199D" w:rsidRDefault="008868DC">
            <w:pPr>
              <w:rPr>
                <w:color w:val="FF0000"/>
                <w:sz w:val="20"/>
                <w:szCs w:val="20"/>
              </w:rPr>
            </w:pPr>
            <w:r w:rsidRPr="00F2199D">
              <w:rPr>
                <w:color w:val="FF0000"/>
                <w:sz w:val="20"/>
                <w:szCs w:val="20"/>
              </w:rPr>
              <w:t>&lt;0.001</w:t>
            </w:r>
          </w:p>
        </w:tc>
        <w:tc>
          <w:tcPr>
            <w:tcW w:w="2060" w:type="dxa"/>
            <w:tcBorders>
              <w:top w:val="nil"/>
              <w:left w:val="nil"/>
              <w:bottom w:val="nil"/>
              <w:right w:val="nil"/>
            </w:tcBorders>
            <w:shd w:val="clear" w:color="auto" w:fill="auto"/>
            <w:noWrap/>
            <w:vAlign w:val="center"/>
            <w:hideMark/>
          </w:tcPr>
          <w:p w14:paraId="514241BC" w14:textId="77777777" w:rsidR="008868DC" w:rsidRPr="00F2199D" w:rsidRDefault="008868DC">
            <w:pPr>
              <w:rPr>
                <w:color w:val="FF0000"/>
                <w:sz w:val="20"/>
                <w:szCs w:val="20"/>
              </w:rPr>
            </w:pPr>
          </w:p>
        </w:tc>
        <w:tc>
          <w:tcPr>
            <w:tcW w:w="740" w:type="dxa"/>
            <w:tcBorders>
              <w:top w:val="nil"/>
              <w:left w:val="nil"/>
              <w:bottom w:val="nil"/>
              <w:right w:val="nil"/>
            </w:tcBorders>
            <w:shd w:val="clear" w:color="auto" w:fill="auto"/>
            <w:noWrap/>
            <w:vAlign w:val="center"/>
            <w:hideMark/>
          </w:tcPr>
          <w:p w14:paraId="75E0B4BE" w14:textId="77777777" w:rsidR="008868DC" w:rsidRDefault="008868DC">
            <w:pPr>
              <w:rPr>
                <w:sz w:val="20"/>
                <w:szCs w:val="20"/>
              </w:rPr>
            </w:pPr>
          </w:p>
        </w:tc>
      </w:tr>
      <w:tr w:rsidR="008868DC" w14:paraId="33FF6A80" w14:textId="77777777" w:rsidTr="008868DC">
        <w:trPr>
          <w:trHeight w:val="530"/>
        </w:trPr>
        <w:tc>
          <w:tcPr>
            <w:tcW w:w="2024" w:type="dxa"/>
            <w:tcBorders>
              <w:top w:val="nil"/>
              <w:left w:val="nil"/>
              <w:bottom w:val="single" w:sz="8" w:space="0" w:color="auto"/>
              <w:right w:val="nil"/>
            </w:tcBorders>
            <w:shd w:val="clear" w:color="auto" w:fill="auto"/>
            <w:noWrap/>
            <w:vAlign w:val="center"/>
            <w:hideMark/>
          </w:tcPr>
          <w:p w14:paraId="5C65AEBC" w14:textId="77777777" w:rsidR="008868DC" w:rsidRPr="00F2199D" w:rsidRDefault="008868DC">
            <w:pPr>
              <w:jc w:val="both"/>
              <w:rPr>
                <w:color w:val="FF0000"/>
                <w:sz w:val="20"/>
                <w:szCs w:val="20"/>
              </w:rPr>
            </w:pPr>
            <w:r w:rsidRPr="00F2199D">
              <w:rPr>
                <w:color w:val="FF0000"/>
                <w:sz w:val="20"/>
                <w:szCs w:val="20"/>
              </w:rPr>
              <w:t>Cardiovascular mortality</w:t>
            </w:r>
          </w:p>
        </w:tc>
        <w:tc>
          <w:tcPr>
            <w:tcW w:w="2060" w:type="dxa"/>
            <w:tcBorders>
              <w:top w:val="nil"/>
              <w:left w:val="nil"/>
              <w:bottom w:val="single" w:sz="8" w:space="0" w:color="auto"/>
              <w:right w:val="nil"/>
            </w:tcBorders>
            <w:shd w:val="clear" w:color="auto" w:fill="auto"/>
            <w:noWrap/>
            <w:vAlign w:val="center"/>
            <w:hideMark/>
          </w:tcPr>
          <w:p w14:paraId="43ED42CE" w14:textId="77777777" w:rsidR="008868DC" w:rsidRPr="00F2199D" w:rsidRDefault="008868DC">
            <w:pPr>
              <w:jc w:val="both"/>
              <w:rPr>
                <w:color w:val="FF0000"/>
                <w:sz w:val="20"/>
                <w:szCs w:val="20"/>
              </w:rPr>
            </w:pPr>
            <w:r w:rsidRPr="00F2199D">
              <w:rPr>
                <w:color w:val="FF0000"/>
                <w:sz w:val="20"/>
                <w:szCs w:val="20"/>
              </w:rPr>
              <w:t>0.30(0.19-0.47)</w:t>
            </w:r>
          </w:p>
        </w:tc>
        <w:tc>
          <w:tcPr>
            <w:tcW w:w="740" w:type="dxa"/>
            <w:tcBorders>
              <w:top w:val="nil"/>
              <w:left w:val="nil"/>
              <w:bottom w:val="single" w:sz="8" w:space="0" w:color="auto"/>
              <w:right w:val="nil"/>
            </w:tcBorders>
            <w:shd w:val="clear" w:color="auto" w:fill="auto"/>
            <w:noWrap/>
            <w:vAlign w:val="center"/>
            <w:hideMark/>
          </w:tcPr>
          <w:p w14:paraId="0028B0E2" w14:textId="77777777" w:rsidR="008868DC" w:rsidRPr="00F2199D" w:rsidRDefault="008868DC">
            <w:pPr>
              <w:jc w:val="both"/>
              <w:rPr>
                <w:color w:val="FF0000"/>
                <w:sz w:val="20"/>
                <w:szCs w:val="20"/>
              </w:rPr>
            </w:pPr>
            <w:r w:rsidRPr="00F2199D">
              <w:rPr>
                <w:color w:val="FF0000"/>
                <w:sz w:val="20"/>
                <w:szCs w:val="20"/>
              </w:rPr>
              <w:t>&lt;0.001</w:t>
            </w:r>
          </w:p>
        </w:tc>
        <w:tc>
          <w:tcPr>
            <w:tcW w:w="2060" w:type="dxa"/>
            <w:tcBorders>
              <w:top w:val="nil"/>
              <w:left w:val="nil"/>
              <w:bottom w:val="single" w:sz="8" w:space="0" w:color="auto"/>
              <w:right w:val="nil"/>
            </w:tcBorders>
            <w:shd w:val="clear" w:color="auto" w:fill="auto"/>
            <w:noWrap/>
            <w:vAlign w:val="center"/>
            <w:hideMark/>
          </w:tcPr>
          <w:p w14:paraId="34166BA0" w14:textId="77777777" w:rsidR="008868DC" w:rsidRPr="00F2199D" w:rsidRDefault="008868DC">
            <w:pPr>
              <w:jc w:val="both"/>
              <w:rPr>
                <w:color w:val="FF0000"/>
                <w:sz w:val="20"/>
                <w:szCs w:val="20"/>
              </w:rPr>
            </w:pPr>
            <w:r w:rsidRPr="00F2199D">
              <w:rPr>
                <w:color w:val="FF0000"/>
                <w:sz w:val="20"/>
                <w:szCs w:val="20"/>
              </w:rPr>
              <w:t> </w:t>
            </w:r>
          </w:p>
        </w:tc>
        <w:tc>
          <w:tcPr>
            <w:tcW w:w="740" w:type="dxa"/>
            <w:tcBorders>
              <w:top w:val="nil"/>
              <w:left w:val="nil"/>
              <w:bottom w:val="single" w:sz="8" w:space="0" w:color="auto"/>
              <w:right w:val="nil"/>
            </w:tcBorders>
            <w:shd w:val="clear" w:color="auto" w:fill="auto"/>
            <w:noWrap/>
            <w:vAlign w:val="center"/>
            <w:hideMark/>
          </w:tcPr>
          <w:p w14:paraId="5B2BA254" w14:textId="77777777" w:rsidR="008868DC" w:rsidRDefault="008868DC">
            <w:pPr>
              <w:rPr>
                <w:color w:val="000000"/>
                <w:sz w:val="20"/>
                <w:szCs w:val="20"/>
              </w:rPr>
            </w:pPr>
            <w:r>
              <w:rPr>
                <w:color w:val="000000"/>
                <w:sz w:val="20"/>
                <w:szCs w:val="20"/>
              </w:rPr>
              <w:t> </w:t>
            </w:r>
          </w:p>
        </w:tc>
      </w:tr>
    </w:tbl>
    <w:p w14:paraId="1B92C275" w14:textId="2B6E9E5B" w:rsidR="007E1809" w:rsidRPr="008835C9" w:rsidRDefault="007E1809" w:rsidP="007E1809">
      <w:pPr>
        <w:rPr>
          <w:rFonts w:eastAsia="宋体"/>
          <w:vertAlign w:val="superscript"/>
        </w:rPr>
      </w:pPr>
      <w:r w:rsidRPr="008835C9">
        <w:rPr>
          <w:b/>
          <w:bCs/>
        </w:rPr>
        <w:t>Abbreviation</w:t>
      </w:r>
      <w:r w:rsidRPr="008835C9">
        <w:t>: HR, hazard ratio.</w:t>
      </w:r>
    </w:p>
    <w:p w14:paraId="683AC50A" w14:textId="77777777" w:rsidR="007E1809" w:rsidRPr="008835C9" w:rsidRDefault="007E1809" w:rsidP="007E1809">
      <w:pPr>
        <w:rPr>
          <w:rFonts w:eastAsia="宋体"/>
        </w:rPr>
      </w:pPr>
      <w:r w:rsidRPr="008835C9">
        <w:rPr>
          <w:rFonts w:eastAsia="宋体"/>
          <w:vertAlign w:val="superscript"/>
        </w:rPr>
        <w:t>1</w:t>
      </w:r>
      <w:r w:rsidRPr="008835C9">
        <w:rPr>
          <w:rFonts w:eastAsia="宋体"/>
        </w:rPr>
        <w:t xml:space="preserve"> Model 1 adjusted for confounders, including age, sex, health insurance, BMI, smoking status, in-hospital medications (ACEIs or ARBs, CCBs, beta-blockers, statins, aspirin, clopidogrel, intravenous nitrates and inotropes), medical history (diabetes, hypertension, stroke, chronic heart failure and COPD or asthma), STEMI or NSTEMI, cardiogenic shock, multivessel lesion, vital parameters and laboratory findings on admission (HR, SBP, DBP, FBG and LDL-C), LVEF, Killip classification and status of revascularization, by PSM method with a 1:1 ratio.</w:t>
      </w:r>
    </w:p>
    <w:p w14:paraId="31A5F5DD" w14:textId="6C83999F" w:rsidR="007E1809" w:rsidRPr="008835C9" w:rsidRDefault="007E1809" w:rsidP="007E1809">
      <w:pPr>
        <w:rPr>
          <w:rFonts w:eastAsia="宋体"/>
        </w:rPr>
      </w:pPr>
      <w:r w:rsidRPr="008835C9">
        <w:rPr>
          <w:rFonts w:eastAsia="宋体"/>
          <w:vertAlign w:val="superscript"/>
        </w:rPr>
        <w:t>2</w:t>
      </w:r>
      <w:r w:rsidRPr="008835C9">
        <w:rPr>
          <w:rFonts w:eastAsia="宋体"/>
        </w:rPr>
        <w:t xml:space="preserve"> Model 2 additionally adjusted for confounders including laboratory findings on admission (Hb, WBC, peak </w:t>
      </w:r>
      <w:proofErr w:type="spellStart"/>
      <w:r w:rsidRPr="008835C9">
        <w:rPr>
          <w:rFonts w:eastAsia="宋体"/>
        </w:rPr>
        <w:t>cTnI</w:t>
      </w:r>
      <w:proofErr w:type="spellEnd"/>
      <w:r w:rsidRPr="008835C9">
        <w:rPr>
          <w:rFonts w:eastAsia="宋体"/>
        </w:rPr>
        <w:t xml:space="preserve">, ALT, PLT, Cr and serum </w:t>
      </w:r>
      <w:r w:rsidR="005700A8">
        <w:rPr>
          <w:color w:val="000000"/>
        </w:rPr>
        <w:t>potassium</w:t>
      </w:r>
      <w:r w:rsidRPr="008835C9">
        <w:rPr>
          <w:rFonts w:eastAsia="宋体"/>
        </w:rPr>
        <w:t>), presenting symptoms (chest pain, chest stuffiness, shortness of breath and syncope), arrhythmia (atrial fibrillation,</w:t>
      </w:r>
      <w:r w:rsidRPr="008835C9">
        <w:t xml:space="preserve"> </w:t>
      </w:r>
      <w:r w:rsidRPr="008835C9">
        <w:rPr>
          <w:rFonts w:eastAsia="宋体"/>
        </w:rPr>
        <w:t>atrioventricular block, bundle branch block and bradycardia), echocardiography indices (LV and RV) besides abovementioned confounders.</w:t>
      </w:r>
    </w:p>
    <w:p w14:paraId="46D5E1F9" w14:textId="6FC564A5" w:rsidR="007E1809" w:rsidRPr="008835C9" w:rsidRDefault="007E1809" w:rsidP="007E1809">
      <w:pPr>
        <w:rPr>
          <w:rFonts w:eastAsia="宋体"/>
        </w:rPr>
      </w:pPr>
      <w:r w:rsidRPr="008835C9">
        <w:rPr>
          <w:rFonts w:eastAsia="宋体"/>
          <w:vertAlign w:val="superscript"/>
        </w:rPr>
        <w:t>3</w:t>
      </w:r>
      <w:r w:rsidRPr="008835C9">
        <w:rPr>
          <w:rFonts w:eastAsia="宋体"/>
        </w:rPr>
        <w:t xml:space="preserve"> Model 3 additionally IPTW-adjusted for confounders including laboratory findings on admission (Hb, WBC, peak </w:t>
      </w:r>
      <w:proofErr w:type="spellStart"/>
      <w:r w:rsidRPr="008835C9">
        <w:rPr>
          <w:rFonts w:eastAsia="宋体"/>
        </w:rPr>
        <w:t>cTnI</w:t>
      </w:r>
      <w:proofErr w:type="spellEnd"/>
      <w:r w:rsidRPr="008835C9">
        <w:rPr>
          <w:rFonts w:eastAsia="宋体"/>
        </w:rPr>
        <w:t xml:space="preserve">, ALT, PLT, Cr and serum </w:t>
      </w:r>
      <w:r w:rsidR="005700A8">
        <w:rPr>
          <w:color w:val="000000"/>
        </w:rPr>
        <w:t>potassium</w:t>
      </w:r>
      <w:r w:rsidRPr="008835C9">
        <w:rPr>
          <w:rFonts w:eastAsia="宋体"/>
        </w:rPr>
        <w:t>), presenting symptoms (chest pain, chest stuffiness, shortness of breath and syncope), arrhythmia (atrial fibrillation,</w:t>
      </w:r>
      <w:r w:rsidRPr="008835C9">
        <w:t xml:space="preserve"> </w:t>
      </w:r>
      <w:r w:rsidRPr="008835C9">
        <w:rPr>
          <w:rFonts w:eastAsia="宋体"/>
        </w:rPr>
        <w:t>atrioventricular block, bundle branch block and bradycardia), echocardiography indices (LV and RV) besides abovementioned confounders.</w:t>
      </w:r>
    </w:p>
    <w:p w14:paraId="164ADA43" w14:textId="74EB5A25" w:rsidR="007E1809" w:rsidRDefault="007E1809" w:rsidP="007E1809">
      <w:pPr>
        <w:jc w:val="both"/>
        <w:rPr>
          <w:rFonts w:eastAsia="宋体"/>
        </w:rPr>
      </w:pPr>
      <w:r w:rsidRPr="008835C9">
        <w:rPr>
          <w:rFonts w:eastAsia="宋体"/>
          <w:vertAlign w:val="superscript"/>
        </w:rPr>
        <w:t>4</w:t>
      </w:r>
      <w:r w:rsidRPr="008835C9">
        <w:rPr>
          <w:rFonts w:eastAsia="宋体"/>
        </w:rPr>
        <w:t xml:space="preserve"> Model 4 additionally adjusted confounders with SMD ≥0.05 after IPTW adjustment in model 3, which were age, health insurance, Hb, WBC, peak </w:t>
      </w:r>
      <w:proofErr w:type="spellStart"/>
      <w:r w:rsidRPr="008835C9">
        <w:rPr>
          <w:rFonts w:eastAsia="宋体"/>
        </w:rPr>
        <w:t>cTnI</w:t>
      </w:r>
      <w:proofErr w:type="spellEnd"/>
      <w:r w:rsidRPr="008835C9">
        <w:rPr>
          <w:rFonts w:eastAsia="宋体"/>
        </w:rPr>
        <w:t xml:space="preserve">, PLT, Cr, serum </w:t>
      </w:r>
      <w:r w:rsidR="005700A8">
        <w:rPr>
          <w:color w:val="000000"/>
        </w:rPr>
        <w:t>potassium</w:t>
      </w:r>
      <w:r>
        <w:rPr>
          <w:color w:val="000000"/>
        </w:rPr>
        <w:t>,</w:t>
      </w:r>
      <w:r w:rsidRPr="008835C9">
        <w:rPr>
          <w:rFonts w:eastAsia="宋体"/>
        </w:rPr>
        <w:t xml:space="preserve"> LDL-C, echocardiography indices LV, chest stuffiness, STEMI or NSTEMI, bundle branch block, bradycardia and multivessel lesion.</w:t>
      </w:r>
    </w:p>
    <w:p w14:paraId="03EE2CDD" w14:textId="38909824" w:rsidR="00492D4C" w:rsidRPr="008835C9" w:rsidRDefault="00492D4C" w:rsidP="007E1809">
      <w:pPr>
        <w:jc w:val="both"/>
        <w:rPr>
          <w:rFonts w:eastAsia="宋体"/>
        </w:rPr>
      </w:pPr>
      <w:r w:rsidRPr="00492D4C">
        <w:rPr>
          <w:rFonts w:eastAsia="宋体"/>
          <w:vertAlign w:val="superscript"/>
        </w:rPr>
        <w:t>5</w:t>
      </w:r>
      <w:r>
        <w:rPr>
          <w:rFonts w:eastAsia="宋体"/>
        </w:rPr>
        <w:t xml:space="preserve"> model 5 </w:t>
      </w:r>
      <w:r>
        <w:t xml:space="preserve">used three hospitals as a random effect and </w:t>
      </w:r>
      <w:r w:rsidRPr="008835C9">
        <w:rPr>
          <w:rFonts w:eastAsia="宋体"/>
        </w:rPr>
        <w:t>adjusted for confounders, including age, sex, health insurance, BMI, smoking status, in-hospital medications (ACEIs or ARBs, CCBs, beta-blockers, statins, aspirin, clopidogrel, intravenous nitrates and inotropes), medical history (diabetes, hypertension, stroke, chronic heart failure and COPD or asthma), STEMI or NSTEMI, cardiogenic shock, multivessel lesion, vital parameters and laboratory findings on admission (HR, SBP, DBP, FBG and LDL-C), LVEF, Killip classification and status of revascularization</w:t>
      </w:r>
      <w:r>
        <w:rPr>
          <w:rFonts w:eastAsia="宋体"/>
        </w:rPr>
        <w:t xml:space="preserve"> by performing </w:t>
      </w:r>
      <w:r w:rsidRPr="008C0304">
        <w:rPr>
          <w:rFonts w:eastAsia="宋体"/>
        </w:rPr>
        <w:t xml:space="preserve">the </w:t>
      </w:r>
      <w:r>
        <w:rPr>
          <w:rFonts w:eastAsia="宋体"/>
        </w:rPr>
        <w:t>mixed effects COX model.</w:t>
      </w:r>
    </w:p>
    <w:p w14:paraId="50A3F6C9" w14:textId="77777777" w:rsidR="007E1809" w:rsidRDefault="007E1809" w:rsidP="007E1809"/>
    <w:p w14:paraId="14938D4F" w14:textId="77777777" w:rsidR="00D61E87" w:rsidRDefault="00D61E87"/>
    <w:sectPr w:rsidR="00D61E87" w:rsidSect="00432E88">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1968" w14:textId="77777777" w:rsidR="00E3512A" w:rsidRDefault="00E3512A" w:rsidP="005700A8">
      <w:r>
        <w:separator/>
      </w:r>
    </w:p>
  </w:endnote>
  <w:endnote w:type="continuationSeparator" w:id="0">
    <w:p w14:paraId="3EC2D39B" w14:textId="77777777" w:rsidR="00E3512A" w:rsidRDefault="00E3512A" w:rsidP="0057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AFBAE" w14:textId="77777777" w:rsidR="00E3512A" w:rsidRDefault="00E3512A" w:rsidP="005700A8">
      <w:r>
        <w:separator/>
      </w:r>
    </w:p>
  </w:footnote>
  <w:footnote w:type="continuationSeparator" w:id="0">
    <w:p w14:paraId="04B7F796" w14:textId="77777777" w:rsidR="00E3512A" w:rsidRDefault="00E3512A" w:rsidP="00570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09"/>
    <w:rsid w:val="000B539F"/>
    <w:rsid w:val="00361AF6"/>
    <w:rsid w:val="00492D4C"/>
    <w:rsid w:val="004B3B85"/>
    <w:rsid w:val="004D0309"/>
    <w:rsid w:val="005700A8"/>
    <w:rsid w:val="007E1809"/>
    <w:rsid w:val="008868DC"/>
    <w:rsid w:val="00D61E87"/>
    <w:rsid w:val="00DD7AAC"/>
    <w:rsid w:val="00E3512A"/>
    <w:rsid w:val="00F219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10CE5"/>
  <w15:chartTrackingRefBased/>
  <w15:docId w15:val="{B313BCE3-79D7-4D3E-B724-C8FB1A50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809"/>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0A8"/>
    <w:pPr>
      <w:tabs>
        <w:tab w:val="center" w:pos="4153"/>
        <w:tab w:val="right" w:pos="8306"/>
      </w:tabs>
    </w:pPr>
  </w:style>
  <w:style w:type="character" w:customStyle="1" w:styleId="a4">
    <w:name w:val="页眉 字符"/>
    <w:basedOn w:val="a0"/>
    <w:link w:val="a3"/>
    <w:uiPriority w:val="99"/>
    <w:rsid w:val="005700A8"/>
    <w:rPr>
      <w:rFonts w:ascii="Times New Roman" w:eastAsia="Times New Roman" w:hAnsi="Times New Roman" w:cs="Times New Roman"/>
      <w:sz w:val="24"/>
      <w:szCs w:val="24"/>
      <w:lang w:val="en-US"/>
    </w:rPr>
  </w:style>
  <w:style w:type="paragraph" w:styleId="a5">
    <w:name w:val="footer"/>
    <w:basedOn w:val="a"/>
    <w:link w:val="a6"/>
    <w:uiPriority w:val="99"/>
    <w:unhideWhenUsed/>
    <w:rsid w:val="005700A8"/>
    <w:pPr>
      <w:tabs>
        <w:tab w:val="center" w:pos="4153"/>
        <w:tab w:val="right" w:pos="8306"/>
      </w:tabs>
    </w:pPr>
  </w:style>
  <w:style w:type="character" w:customStyle="1" w:styleId="a6">
    <w:name w:val="页脚 字符"/>
    <w:basedOn w:val="a0"/>
    <w:link w:val="a5"/>
    <w:uiPriority w:val="99"/>
    <w:rsid w:val="005700A8"/>
    <w:rPr>
      <w:rFonts w:ascii="Times New Roman" w:eastAsia="Times New Roman" w:hAnsi="Times New Roman" w:cs="Times New Roman"/>
      <w:sz w:val="24"/>
      <w:szCs w:val="24"/>
      <w:lang w:val="en-US"/>
    </w:rPr>
  </w:style>
  <w:style w:type="table" w:styleId="a7">
    <w:name w:val="Table Grid"/>
    <w:basedOn w:val="a1"/>
    <w:uiPriority w:val="39"/>
    <w:rsid w:val="0088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6166">
      <w:bodyDiv w:val="1"/>
      <w:marLeft w:val="0"/>
      <w:marRight w:val="0"/>
      <w:marTop w:val="0"/>
      <w:marBottom w:val="0"/>
      <w:divBdr>
        <w:top w:val="none" w:sz="0" w:space="0" w:color="auto"/>
        <w:left w:val="none" w:sz="0" w:space="0" w:color="auto"/>
        <w:bottom w:val="none" w:sz="0" w:space="0" w:color="auto"/>
        <w:right w:val="none" w:sz="0" w:space="0" w:color="auto"/>
      </w:divBdr>
    </w:div>
    <w:div w:id="724839925">
      <w:bodyDiv w:val="1"/>
      <w:marLeft w:val="0"/>
      <w:marRight w:val="0"/>
      <w:marTop w:val="0"/>
      <w:marBottom w:val="0"/>
      <w:divBdr>
        <w:top w:val="none" w:sz="0" w:space="0" w:color="auto"/>
        <w:left w:val="none" w:sz="0" w:space="0" w:color="auto"/>
        <w:bottom w:val="none" w:sz="0" w:space="0" w:color="auto"/>
        <w:right w:val="none" w:sz="0" w:space="0" w:color="auto"/>
      </w:divBdr>
    </w:div>
    <w:div w:id="1391535104">
      <w:bodyDiv w:val="1"/>
      <w:marLeft w:val="0"/>
      <w:marRight w:val="0"/>
      <w:marTop w:val="0"/>
      <w:marBottom w:val="0"/>
      <w:divBdr>
        <w:top w:val="none" w:sz="0" w:space="0" w:color="auto"/>
        <w:left w:val="none" w:sz="0" w:space="0" w:color="auto"/>
        <w:bottom w:val="none" w:sz="0" w:space="0" w:color="auto"/>
        <w:right w:val="none" w:sz="0" w:space="0" w:color="auto"/>
      </w:divBdr>
    </w:div>
    <w:div w:id="1489784001">
      <w:bodyDiv w:val="1"/>
      <w:marLeft w:val="0"/>
      <w:marRight w:val="0"/>
      <w:marTop w:val="0"/>
      <w:marBottom w:val="0"/>
      <w:divBdr>
        <w:top w:val="none" w:sz="0" w:space="0" w:color="auto"/>
        <w:left w:val="none" w:sz="0" w:space="0" w:color="auto"/>
        <w:bottom w:val="none" w:sz="0" w:space="0" w:color="auto"/>
        <w:right w:val="none" w:sz="0" w:space="0" w:color="auto"/>
      </w:divBdr>
    </w:div>
    <w:div w:id="1709984545">
      <w:bodyDiv w:val="1"/>
      <w:marLeft w:val="0"/>
      <w:marRight w:val="0"/>
      <w:marTop w:val="0"/>
      <w:marBottom w:val="0"/>
      <w:divBdr>
        <w:top w:val="none" w:sz="0" w:space="0" w:color="auto"/>
        <w:left w:val="none" w:sz="0" w:space="0" w:color="auto"/>
        <w:bottom w:val="none" w:sz="0" w:space="0" w:color="auto"/>
        <w:right w:val="none" w:sz="0" w:space="0" w:color="auto"/>
      </w:divBdr>
    </w:div>
    <w:div w:id="21463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圆圆</dc:creator>
  <cp:keywords/>
  <dc:description/>
  <cp:lastModifiedBy>陈 圆圆</cp:lastModifiedBy>
  <cp:revision>7</cp:revision>
  <dcterms:created xsi:type="dcterms:W3CDTF">2022-12-10T13:53:00Z</dcterms:created>
  <dcterms:modified xsi:type="dcterms:W3CDTF">2023-01-18T19:59:00Z</dcterms:modified>
</cp:coreProperties>
</file>