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FB64" w14:textId="5762951E" w:rsidR="00F90A22" w:rsidRDefault="00835A30" w:rsidP="00F90A22">
      <w:pPr>
        <w:rPr>
          <w:rFonts w:ascii="Times New Roman" w:hAnsi="Times New Roman"/>
          <w:b/>
          <w:bCs/>
        </w:rPr>
      </w:pPr>
      <w:bookmarkStart w:id="0" w:name="_Toc110516340"/>
      <w:r>
        <w:rPr>
          <w:rFonts w:ascii="Times New Roman" w:hAnsi="Times New Roman"/>
          <w:b/>
          <w:bCs/>
        </w:rPr>
        <w:t>Plasmids used in this study</w:t>
      </w:r>
      <w:bookmarkEnd w:id="0"/>
    </w:p>
    <w:p w14:paraId="231A9144" w14:textId="77777777" w:rsidR="00835A30" w:rsidRPr="00F90A22" w:rsidRDefault="00835A30" w:rsidP="00F90A22">
      <w:pPr>
        <w:rPr>
          <w:rFonts w:ascii="Times New Roman" w:hAnsi="Times New Roman"/>
          <w:b/>
          <w:bCs/>
        </w:rPr>
      </w:pPr>
    </w:p>
    <w:tbl>
      <w:tblPr>
        <w:tblStyle w:val="PlainTable4"/>
        <w:tblW w:w="5000" w:type="pct"/>
        <w:tblLook w:val="04A0" w:firstRow="1" w:lastRow="0" w:firstColumn="1" w:lastColumn="0" w:noHBand="0" w:noVBand="1"/>
      </w:tblPr>
      <w:tblGrid>
        <w:gridCol w:w="1668"/>
        <w:gridCol w:w="4468"/>
        <w:gridCol w:w="1486"/>
        <w:gridCol w:w="1728"/>
      </w:tblGrid>
      <w:tr w:rsidR="00835A30" w:rsidRPr="00140B6F" w14:paraId="454BEF21" w14:textId="77777777" w:rsidTr="00921B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auto"/>
              <w:left w:val="single" w:sz="4" w:space="0" w:color="auto"/>
              <w:bottom w:val="single" w:sz="4" w:space="0" w:color="auto"/>
              <w:right w:val="single" w:sz="4" w:space="0" w:color="auto"/>
            </w:tcBorders>
            <w:noWrap/>
            <w:hideMark/>
          </w:tcPr>
          <w:p w14:paraId="76EFB573"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Plasmid Name</w:t>
            </w:r>
          </w:p>
        </w:tc>
        <w:tc>
          <w:tcPr>
            <w:tcW w:w="2219" w:type="pct"/>
            <w:tcBorders>
              <w:top w:val="single" w:sz="4" w:space="0" w:color="auto"/>
              <w:left w:val="single" w:sz="4" w:space="0" w:color="auto"/>
              <w:bottom w:val="single" w:sz="4" w:space="0" w:color="auto"/>
              <w:right w:val="single" w:sz="4" w:space="0" w:color="D9D9D9" w:themeColor="background1" w:themeShade="D9"/>
            </w:tcBorders>
            <w:noWrap/>
            <w:hideMark/>
          </w:tcPr>
          <w:p w14:paraId="6510E59A" w14:textId="77777777" w:rsidR="00835A30" w:rsidRPr="00835A30" w:rsidRDefault="00835A30" w:rsidP="00921B20">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Description</w:t>
            </w:r>
          </w:p>
        </w:tc>
        <w:tc>
          <w:tcPr>
            <w:tcW w:w="1423" w:type="pct"/>
            <w:tcBorders>
              <w:top w:val="single" w:sz="4" w:space="0" w:color="auto"/>
              <w:left w:val="single" w:sz="4" w:space="0" w:color="D9D9D9" w:themeColor="background1" w:themeShade="D9"/>
              <w:bottom w:val="single" w:sz="4" w:space="0" w:color="auto"/>
              <w:right w:val="single" w:sz="4" w:space="0" w:color="D9D9D9" w:themeColor="background1" w:themeShade="D9"/>
            </w:tcBorders>
            <w:noWrap/>
            <w:hideMark/>
          </w:tcPr>
          <w:p w14:paraId="54452347" w14:textId="77777777" w:rsidR="00835A30" w:rsidRPr="00835A30" w:rsidRDefault="00835A30" w:rsidP="00921B20">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Purpose</w:t>
            </w:r>
          </w:p>
        </w:tc>
        <w:tc>
          <w:tcPr>
            <w:tcW w:w="680" w:type="pct"/>
            <w:tcBorders>
              <w:top w:val="single" w:sz="4" w:space="0" w:color="auto"/>
              <w:left w:val="single" w:sz="4" w:space="0" w:color="D9D9D9" w:themeColor="background1" w:themeShade="D9"/>
              <w:bottom w:val="single" w:sz="4" w:space="0" w:color="auto"/>
              <w:right w:val="single" w:sz="4" w:space="0" w:color="auto"/>
            </w:tcBorders>
            <w:noWrap/>
            <w:hideMark/>
          </w:tcPr>
          <w:p w14:paraId="7B674EEE" w14:textId="77777777" w:rsidR="00835A30" w:rsidRPr="00835A30" w:rsidRDefault="00835A30" w:rsidP="00921B20">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Source</w:t>
            </w:r>
          </w:p>
        </w:tc>
      </w:tr>
      <w:tr w:rsidR="00835A30" w:rsidRPr="00140B6F" w14:paraId="4BE919CC" w14:textId="77777777" w:rsidTr="00921B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auto"/>
              <w:left w:val="single" w:sz="4" w:space="0" w:color="auto"/>
              <w:bottom w:val="single" w:sz="4" w:space="0" w:color="D9D9D9" w:themeColor="background1" w:themeShade="D9"/>
              <w:right w:val="single" w:sz="4" w:space="0" w:color="auto"/>
            </w:tcBorders>
            <w:noWrap/>
            <w:hideMark/>
          </w:tcPr>
          <w:p w14:paraId="0D21A9C5"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pGRG</w:t>
            </w:r>
            <w:proofErr w:type="gramStart"/>
            <w:r w:rsidRPr="00835A30">
              <w:rPr>
                <w:rFonts w:ascii="Times New Roman" w:hAnsi="Times New Roman"/>
                <w:color w:val="000000"/>
                <w:sz w:val="22"/>
                <w:szCs w:val="22"/>
              </w:rPr>
              <w:t>36::</w:t>
            </w:r>
            <w:proofErr w:type="gramEnd"/>
            <w:r w:rsidRPr="00835A30">
              <w:rPr>
                <w:rFonts w:ascii="Times New Roman" w:hAnsi="Times New Roman"/>
                <w:color w:val="000000"/>
                <w:sz w:val="22"/>
                <w:szCs w:val="22"/>
              </w:rPr>
              <w:t>PA1-GFP</w:t>
            </w:r>
          </w:p>
        </w:tc>
        <w:tc>
          <w:tcPr>
            <w:tcW w:w="2219" w:type="pct"/>
            <w:tcBorders>
              <w:top w:val="single" w:sz="4" w:space="0" w:color="auto"/>
              <w:left w:val="single" w:sz="4" w:space="0" w:color="auto"/>
              <w:bottom w:val="single" w:sz="4" w:space="0" w:color="D9D9D9" w:themeColor="background1" w:themeShade="D9"/>
              <w:right w:val="single" w:sz="4" w:space="0" w:color="D9D9D9" w:themeColor="background1" w:themeShade="D9"/>
            </w:tcBorders>
            <w:noWrap/>
            <w:hideMark/>
          </w:tcPr>
          <w:p w14:paraId="5F7AA9CE"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for genome integration of GFP and CamR</w:t>
            </w:r>
          </w:p>
        </w:tc>
        <w:tc>
          <w:tcPr>
            <w:tcW w:w="1423"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7FD1295C"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Strain construction</w:t>
            </w:r>
          </w:p>
        </w:tc>
        <w:tc>
          <w:tcPr>
            <w:tcW w:w="680" w:type="pct"/>
            <w:tcBorders>
              <w:top w:val="single" w:sz="4" w:space="0" w:color="auto"/>
              <w:left w:val="single" w:sz="4" w:space="0" w:color="D9D9D9" w:themeColor="background1" w:themeShade="D9"/>
              <w:right w:val="single" w:sz="4" w:space="0" w:color="auto"/>
            </w:tcBorders>
            <w:noWrap/>
            <w:hideMark/>
          </w:tcPr>
          <w:p w14:paraId="162CB359"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Tim Cooper</w:t>
            </w:r>
          </w:p>
        </w:tc>
      </w:tr>
      <w:tr w:rsidR="00835A30" w:rsidRPr="00140B6F" w14:paraId="3819E56B" w14:textId="77777777" w:rsidTr="00921B20">
        <w:trPr>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D9D9D9" w:themeColor="background1" w:themeShade="D9"/>
              <w:right w:val="single" w:sz="4" w:space="0" w:color="auto"/>
            </w:tcBorders>
            <w:noWrap/>
            <w:hideMark/>
          </w:tcPr>
          <w:p w14:paraId="488F975A"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pYTK095</w:t>
            </w:r>
          </w:p>
        </w:tc>
        <w:tc>
          <w:tcPr>
            <w:tcW w:w="2219"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noWrap/>
            <w:hideMark/>
          </w:tcPr>
          <w:p w14:paraId="47AE3548"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Golden Gate compatible plasmid, ColE1 origin, AmpR</w:t>
            </w:r>
          </w:p>
        </w:tc>
        <w:tc>
          <w:tcPr>
            <w:tcW w:w="14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13EDFFB"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assembly</w:t>
            </w:r>
          </w:p>
        </w:tc>
        <w:tc>
          <w:tcPr>
            <w:tcW w:w="680" w:type="pct"/>
            <w:tcBorders>
              <w:left w:val="single" w:sz="4" w:space="0" w:color="D9D9D9" w:themeColor="background1" w:themeShade="D9"/>
              <w:right w:val="single" w:sz="4" w:space="0" w:color="auto"/>
            </w:tcBorders>
            <w:noWrap/>
            <w:hideMark/>
          </w:tcPr>
          <w:p w14:paraId="642344F9"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fldChar w:fldCharType="begin" w:fldLock="1"/>
            </w:r>
            <w:r w:rsidRPr="00835A30">
              <w:rPr>
                <w:rFonts w:ascii="Times New Roman" w:hAnsi="Times New Roman"/>
                <w:color w:val="000000"/>
                <w:sz w:val="22"/>
                <w:szCs w:val="22"/>
              </w:rPr>
              <w:instrText>ADDIN CSL_CITATION {"citationItems":[{"id":"ITEM-1","itemData":{"DOI":"10.1021/sb500366v","ISSN":"2161-5063","author":[{"dropping-particle":"","family":"Lee","given":"Michael E.","non-dropping-particle":"","parse-names":false,"suffix":""},{"dropping-particle":"","family":"DeLoache","given":"William C.","non-dropping-particle":"","parse-names":false,"suffix":""},{"dropping-particle":"","family":"Cervantes","given":"Bernardo","non-dropping-particle":"","parse-names":false,"suffix":""},{"dropping-particle":"","family":"Dueber","given":"John E.","non-dropping-particle":"","parse-names":false,"suffix":""}],"container-title":"ACS Synthetic Biology","id":"ITEM-1","issue":"9","issued":{"date-parts":[["2015","9","18"]]},"page":"975-986","title":"A highly characterized yeast toolkit for modular, multipart assembly","type":"article-journal","volume":"4"},"uris":["http://www.mendeley.com/documents/?uuid=e6aceb6a-fb5c-44b8-adfe-b9a4cd4b4045"]}],"mendeley":{"formattedCitation":"(Lee et al., 2015)","plainTextFormattedCitation":"(Lee et al., 2015)","previouslyFormattedCitation":"(&lt;i&gt;72&lt;/i&gt;)"},"properties":{"noteIndex":0},"schema":"https://github.com/citation-style-language/schema/raw/master/csl-citation.json"}</w:instrText>
            </w:r>
            <w:r w:rsidRPr="00835A30">
              <w:rPr>
                <w:rFonts w:ascii="Times New Roman" w:hAnsi="Times New Roman"/>
                <w:color w:val="000000"/>
                <w:sz w:val="22"/>
                <w:szCs w:val="22"/>
              </w:rPr>
              <w:fldChar w:fldCharType="separate"/>
            </w:r>
            <w:r w:rsidRPr="00835A30">
              <w:rPr>
                <w:rFonts w:ascii="Times New Roman" w:hAnsi="Times New Roman"/>
                <w:noProof/>
                <w:color w:val="000000"/>
                <w:sz w:val="22"/>
                <w:szCs w:val="22"/>
              </w:rPr>
              <w:t>(Lee et al., 2015)</w:t>
            </w:r>
            <w:r w:rsidRPr="00835A30">
              <w:rPr>
                <w:rFonts w:ascii="Times New Roman" w:hAnsi="Times New Roman"/>
                <w:color w:val="000000"/>
                <w:sz w:val="22"/>
                <w:szCs w:val="22"/>
              </w:rPr>
              <w:fldChar w:fldCharType="end"/>
            </w:r>
          </w:p>
        </w:tc>
      </w:tr>
      <w:tr w:rsidR="00835A30" w:rsidRPr="00140B6F" w14:paraId="044A1CF0" w14:textId="77777777" w:rsidTr="00921B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D9D9D9" w:themeColor="background1" w:themeShade="D9"/>
              <w:right w:val="single" w:sz="4" w:space="0" w:color="auto"/>
            </w:tcBorders>
            <w:noWrap/>
            <w:hideMark/>
          </w:tcPr>
          <w:p w14:paraId="5482FA75"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pBTK800</w:t>
            </w:r>
          </w:p>
        </w:tc>
        <w:tc>
          <w:tcPr>
            <w:tcW w:w="2219"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noWrap/>
            <w:hideMark/>
          </w:tcPr>
          <w:p w14:paraId="3FCF4A5F"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Golden Gate compatible plasmid, RSF1010 origin, SpecR</w:t>
            </w:r>
          </w:p>
        </w:tc>
        <w:tc>
          <w:tcPr>
            <w:tcW w:w="14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E64FF9F"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assembly</w:t>
            </w:r>
          </w:p>
        </w:tc>
        <w:tc>
          <w:tcPr>
            <w:tcW w:w="680" w:type="pct"/>
            <w:tcBorders>
              <w:left w:val="single" w:sz="4" w:space="0" w:color="D9D9D9" w:themeColor="background1" w:themeShade="D9"/>
              <w:right w:val="single" w:sz="4" w:space="0" w:color="auto"/>
            </w:tcBorders>
            <w:noWrap/>
            <w:hideMark/>
          </w:tcPr>
          <w:p w14:paraId="53AF39D2"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fldChar w:fldCharType="begin" w:fldLock="1"/>
            </w:r>
            <w:r w:rsidRPr="00835A30">
              <w:rPr>
                <w:rFonts w:ascii="Times New Roman" w:hAnsi="Times New Roman"/>
                <w:color w:val="000000"/>
                <w:sz w:val="22"/>
                <w:szCs w:val="22"/>
              </w:rPr>
              <w:instrText>ADDIN CSL_CITATION {"citationItems":[{"id":"ITEM-1","itemData":{"DOI":"10.1101/2022.04.22.489157","abstract":"Bees are indispensable pollinators and model organisms for studying social behavior, development, and cognition. However, their eusociality makes it difficult to use standard forward genetic approaches to study gene function. To fill this gap, we engineered the bee gut bacterium Snodgrassella alvi to induce a host RNA interference response that reduces expression of a targeted gene. To employ this FUGUES (FUnctional Genomics Using Engineered Symbionts) procedure, a double-stranded RNA expression plasmid is cloned in Escherichia coli using Golden Gate assembly and then transferred to S. alvi. Adult worker bees are then colonized with engineered S. alvi. Finally, gene knockdown is verified through qRT-PCR, and bee phenotypes of interest can be further assessed. Expression of targeted genes is reduced by as much as 50-75% throughout the entire bee body by five days after colonization. This protocol can be accomplished in four weeks by bee researchers with microbiology and molecular cloning skills.","author":[{"dropping-particle":"","family":"Lariviere","given":"Patrick J.","non-dropping-particle":"","parse-names":false,"suffix":""},{"dropping-particle":"","family":"Leonard","given":"Sean P.","non-dropping-particle":"","parse-names":false,"suffix":""},{"dropping-particle":"","family":"Horak","given":"Richard D.","non-dropping-particle":"","parse-names":false,"suffix":""},{"dropping-particle":"","family":"Powell","given":"J. Elijah","non-dropping-particle":"","parse-names":false,"suffix":""},{"dropping-particle":"","family":"Barrick","given":"Jeffrey E.","non-dropping-particle":"","parse-names":false,"suffix":""}],"container-title":"bioRxiv","id":"ITEM-1","issued":{"date-parts":[["2022","4","25"]]},"page":"2022.04.22.489157","publisher":"Cold Spring Harbor Laboratory","title":"Honey bee functional genomics using symbiont-mediated RNAi","type":"article-journal"},"uris":["http://www.mendeley.com/documents/?uuid=b28a32e2-b4a6-3ad8-ac6b-15ca204bb029"]}],"mendeley":{"formattedCitation":"(Lariviere et al., 2022)","plainTextFormattedCitation":"(Lariviere et al., 2022)","previouslyFormattedCitation":"(&lt;i&gt;47&lt;/i&gt;)"},"properties":{"noteIndex":0},"schema":"https://github.com/citation-style-language/schema/raw/master/csl-citation.json"}</w:instrText>
            </w:r>
            <w:r w:rsidRPr="00835A30">
              <w:rPr>
                <w:rFonts w:ascii="Times New Roman" w:hAnsi="Times New Roman"/>
                <w:color w:val="000000"/>
                <w:sz w:val="22"/>
                <w:szCs w:val="22"/>
              </w:rPr>
              <w:fldChar w:fldCharType="separate"/>
            </w:r>
            <w:r w:rsidRPr="00835A30">
              <w:rPr>
                <w:rFonts w:ascii="Times New Roman" w:hAnsi="Times New Roman"/>
                <w:noProof/>
                <w:color w:val="000000"/>
                <w:sz w:val="22"/>
                <w:szCs w:val="22"/>
              </w:rPr>
              <w:t>(Lariviere et al., 2022)</w:t>
            </w:r>
            <w:r w:rsidRPr="00835A30">
              <w:rPr>
                <w:rFonts w:ascii="Times New Roman" w:hAnsi="Times New Roman"/>
                <w:color w:val="000000"/>
                <w:sz w:val="22"/>
                <w:szCs w:val="22"/>
              </w:rPr>
              <w:fldChar w:fldCharType="end"/>
            </w:r>
          </w:p>
        </w:tc>
      </w:tr>
      <w:tr w:rsidR="00835A30" w:rsidRPr="00140B6F" w14:paraId="38CCD87B" w14:textId="77777777" w:rsidTr="00921B20">
        <w:trPr>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D9D9D9" w:themeColor="background1" w:themeShade="D9"/>
              <w:right w:val="single" w:sz="4" w:space="0" w:color="auto"/>
            </w:tcBorders>
            <w:noWrap/>
            <w:hideMark/>
          </w:tcPr>
          <w:p w14:paraId="2A44C907"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dsC002-800</w:t>
            </w:r>
          </w:p>
        </w:tc>
        <w:tc>
          <w:tcPr>
            <w:tcW w:w="2219"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noWrap/>
            <w:hideMark/>
          </w:tcPr>
          <w:p w14:paraId="2BE0E0F8"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with an RSF1010 origin, SpecR, expression of dsC002</w:t>
            </w:r>
          </w:p>
        </w:tc>
        <w:tc>
          <w:tcPr>
            <w:tcW w:w="14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6D23523F"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dsRNA expression</w:t>
            </w:r>
          </w:p>
        </w:tc>
        <w:tc>
          <w:tcPr>
            <w:tcW w:w="680" w:type="pct"/>
            <w:tcBorders>
              <w:left w:val="single" w:sz="4" w:space="0" w:color="D9D9D9" w:themeColor="background1" w:themeShade="D9"/>
              <w:right w:val="single" w:sz="4" w:space="0" w:color="auto"/>
            </w:tcBorders>
            <w:noWrap/>
            <w:hideMark/>
          </w:tcPr>
          <w:p w14:paraId="7F173803"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This paper</w:t>
            </w:r>
          </w:p>
        </w:tc>
      </w:tr>
      <w:tr w:rsidR="00835A30" w:rsidRPr="00140B6F" w14:paraId="5D281457" w14:textId="77777777" w:rsidTr="00921B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D9D9D9" w:themeColor="background1" w:themeShade="D9"/>
              <w:right w:val="single" w:sz="4" w:space="0" w:color="auto"/>
            </w:tcBorders>
            <w:noWrap/>
            <w:hideMark/>
          </w:tcPr>
          <w:p w14:paraId="2599B73C"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dsE2C-800</w:t>
            </w:r>
          </w:p>
        </w:tc>
        <w:tc>
          <w:tcPr>
            <w:tcW w:w="2219"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noWrap/>
            <w:hideMark/>
          </w:tcPr>
          <w:p w14:paraId="15173664"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with an RSF1010 origin, SpecR, expression of dsE2C</w:t>
            </w:r>
          </w:p>
        </w:tc>
        <w:tc>
          <w:tcPr>
            <w:tcW w:w="14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68E59A5"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dsRNA expression</w:t>
            </w:r>
          </w:p>
        </w:tc>
        <w:tc>
          <w:tcPr>
            <w:tcW w:w="680" w:type="pct"/>
            <w:tcBorders>
              <w:left w:val="single" w:sz="4" w:space="0" w:color="D9D9D9" w:themeColor="background1" w:themeShade="D9"/>
              <w:right w:val="single" w:sz="4" w:space="0" w:color="auto"/>
            </w:tcBorders>
            <w:noWrap/>
            <w:hideMark/>
          </w:tcPr>
          <w:p w14:paraId="0E11D514"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This paper</w:t>
            </w:r>
          </w:p>
        </w:tc>
      </w:tr>
      <w:tr w:rsidR="00835A30" w:rsidRPr="00140B6F" w14:paraId="764BDB27" w14:textId="77777777" w:rsidTr="00921B20">
        <w:trPr>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D9D9D9" w:themeColor="background1" w:themeShade="D9"/>
              <w:right w:val="single" w:sz="4" w:space="0" w:color="auto"/>
            </w:tcBorders>
            <w:noWrap/>
            <w:hideMark/>
          </w:tcPr>
          <w:p w14:paraId="65A130A9"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dsNuc1-800</w:t>
            </w:r>
          </w:p>
        </w:tc>
        <w:tc>
          <w:tcPr>
            <w:tcW w:w="2219"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noWrap/>
            <w:hideMark/>
          </w:tcPr>
          <w:p w14:paraId="73D4A22D"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with an RSF1010 origin, SpecR, expression of dsNucI</w:t>
            </w:r>
          </w:p>
        </w:tc>
        <w:tc>
          <w:tcPr>
            <w:tcW w:w="142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F5E8FEF"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dsRNA expression</w:t>
            </w:r>
          </w:p>
        </w:tc>
        <w:tc>
          <w:tcPr>
            <w:tcW w:w="680" w:type="pct"/>
            <w:tcBorders>
              <w:left w:val="single" w:sz="4" w:space="0" w:color="D9D9D9" w:themeColor="background1" w:themeShade="D9"/>
              <w:right w:val="single" w:sz="4" w:space="0" w:color="auto"/>
            </w:tcBorders>
            <w:noWrap/>
            <w:hideMark/>
          </w:tcPr>
          <w:p w14:paraId="29C499C5" w14:textId="77777777" w:rsidR="00835A30" w:rsidRPr="00835A30" w:rsidRDefault="00835A30" w:rsidP="00921B2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This paper</w:t>
            </w:r>
          </w:p>
        </w:tc>
      </w:tr>
      <w:tr w:rsidR="00835A30" w:rsidRPr="00140B6F" w14:paraId="6487ED05" w14:textId="77777777" w:rsidTr="00921B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8" w:type="pct"/>
            <w:tcBorders>
              <w:top w:val="single" w:sz="4" w:space="0" w:color="D9D9D9" w:themeColor="background1" w:themeShade="D9"/>
              <w:left w:val="single" w:sz="4" w:space="0" w:color="auto"/>
              <w:bottom w:val="single" w:sz="4" w:space="0" w:color="auto"/>
              <w:right w:val="single" w:sz="4" w:space="0" w:color="auto"/>
            </w:tcBorders>
            <w:noWrap/>
            <w:hideMark/>
          </w:tcPr>
          <w:p w14:paraId="57235709" w14:textId="77777777" w:rsidR="00835A30" w:rsidRPr="00835A30" w:rsidRDefault="00835A30" w:rsidP="00921B20">
            <w:pPr>
              <w:overflowPunct/>
              <w:autoSpaceDE/>
              <w:autoSpaceDN/>
              <w:adjustRightInd/>
              <w:textAlignment w:val="auto"/>
              <w:rPr>
                <w:rFonts w:ascii="Times New Roman" w:hAnsi="Times New Roman"/>
                <w:color w:val="000000"/>
                <w:sz w:val="22"/>
                <w:szCs w:val="22"/>
              </w:rPr>
            </w:pPr>
            <w:r w:rsidRPr="00835A30">
              <w:rPr>
                <w:rFonts w:ascii="Times New Roman" w:hAnsi="Times New Roman"/>
                <w:color w:val="000000"/>
                <w:sz w:val="22"/>
                <w:szCs w:val="22"/>
              </w:rPr>
              <w:t>dsE2C-095</w:t>
            </w:r>
          </w:p>
        </w:tc>
        <w:tc>
          <w:tcPr>
            <w:tcW w:w="2219" w:type="pct"/>
            <w:tcBorders>
              <w:top w:val="single" w:sz="4" w:space="0" w:color="D9D9D9" w:themeColor="background1" w:themeShade="D9"/>
              <w:left w:val="single" w:sz="4" w:space="0" w:color="auto"/>
              <w:bottom w:val="single" w:sz="4" w:space="0" w:color="auto"/>
              <w:right w:val="single" w:sz="4" w:space="0" w:color="D9D9D9" w:themeColor="background1" w:themeShade="D9"/>
            </w:tcBorders>
            <w:noWrap/>
            <w:hideMark/>
          </w:tcPr>
          <w:p w14:paraId="01CED575"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Plasmid with a ColE1 origin, AmpR, expression of dsE2C</w:t>
            </w:r>
          </w:p>
        </w:tc>
        <w:tc>
          <w:tcPr>
            <w:tcW w:w="1423"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noWrap/>
            <w:hideMark/>
          </w:tcPr>
          <w:p w14:paraId="76DF8D2B"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qPCR standard</w:t>
            </w:r>
          </w:p>
        </w:tc>
        <w:tc>
          <w:tcPr>
            <w:tcW w:w="680" w:type="pct"/>
            <w:tcBorders>
              <w:left w:val="single" w:sz="4" w:space="0" w:color="D9D9D9" w:themeColor="background1" w:themeShade="D9"/>
              <w:bottom w:val="single" w:sz="4" w:space="0" w:color="auto"/>
              <w:right w:val="single" w:sz="4" w:space="0" w:color="auto"/>
            </w:tcBorders>
            <w:noWrap/>
            <w:hideMark/>
          </w:tcPr>
          <w:p w14:paraId="79379624" w14:textId="77777777" w:rsidR="00835A30" w:rsidRPr="00835A30" w:rsidRDefault="00835A30" w:rsidP="00921B2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835A30">
              <w:rPr>
                <w:rFonts w:ascii="Times New Roman" w:hAnsi="Times New Roman"/>
                <w:color w:val="000000"/>
                <w:sz w:val="22"/>
                <w:szCs w:val="22"/>
              </w:rPr>
              <w:t>This paper</w:t>
            </w:r>
          </w:p>
        </w:tc>
      </w:tr>
    </w:tbl>
    <w:p w14:paraId="7E1A078D" w14:textId="61FDC652" w:rsidR="00095B2E" w:rsidRPr="00F90A22" w:rsidRDefault="00095B2E" w:rsidP="00F90A22"/>
    <w:sectPr w:rsidR="00095B2E" w:rsidRPr="00F9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2E"/>
    <w:rsid w:val="00095B2E"/>
    <w:rsid w:val="000B014D"/>
    <w:rsid w:val="000F5147"/>
    <w:rsid w:val="002A779D"/>
    <w:rsid w:val="00316F5D"/>
    <w:rsid w:val="003A16E0"/>
    <w:rsid w:val="003F344F"/>
    <w:rsid w:val="005364F2"/>
    <w:rsid w:val="00674F06"/>
    <w:rsid w:val="00835A30"/>
    <w:rsid w:val="0088550F"/>
    <w:rsid w:val="00C700A3"/>
    <w:rsid w:val="00F1095B"/>
    <w:rsid w:val="00F9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DF00"/>
  <w15:chartTrackingRefBased/>
  <w15:docId w15:val="{09A32FCA-F941-491A-A0FA-57765AFE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7">
    <w:name w:val="heading 7"/>
    <w:basedOn w:val="Normal"/>
    <w:next w:val="Normal"/>
    <w:link w:val="Heading7Char"/>
    <w:uiPriority w:val="9"/>
    <w:semiHidden/>
    <w:unhideWhenUsed/>
    <w:qFormat/>
    <w:rsid w:val="00095B2E"/>
    <w:pPr>
      <w:keepNext/>
      <w:keepLines/>
      <w:overflowPunct/>
      <w:autoSpaceDE/>
      <w:autoSpaceDN/>
      <w:adjustRightInd/>
      <w:spacing w:before="40" w:line="259" w:lineRule="auto"/>
      <w:textAlignment w:val="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aliases w:val="h8"/>
    <w:basedOn w:val="Heading7"/>
    <w:next w:val="Normal"/>
    <w:link w:val="Heading8Char"/>
    <w:qFormat/>
    <w:rsid w:val="00095B2E"/>
    <w:pPr>
      <w:keepNext w:val="0"/>
      <w:tabs>
        <w:tab w:val="left" w:pos="1260"/>
      </w:tabs>
      <w:overflowPunct w:val="0"/>
      <w:autoSpaceDE w:val="0"/>
      <w:autoSpaceDN w:val="0"/>
      <w:adjustRightInd w:val="0"/>
      <w:spacing w:before="360" w:after="120" w:line="240" w:lineRule="auto"/>
      <w:ind w:left="1260" w:hanging="1260"/>
      <w:textAlignment w:val="baseline"/>
      <w:outlineLvl w:val="7"/>
    </w:pPr>
    <w:rPr>
      <w:rFonts w:ascii="Arial" w:eastAsia="Times New Roman" w:hAnsi="Arial" w:cs="Times New Roman"/>
      <w:i w:val="0"/>
      <w:i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8 Char"/>
    <w:basedOn w:val="DefaultParagraphFont"/>
    <w:link w:val="Heading8"/>
    <w:rsid w:val="00095B2E"/>
    <w:rPr>
      <w:rFonts w:ascii="Arial" w:eastAsia="Times New Roman" w:hAnsi="Arial" w:cs="Times New Roman"/>
      <w:sz w:val="24"/>
      <w:szCs w:val="20"/>
    </w:rPr>
  </w:style>
  <w:style w:type="paragraph" w:customStyle="1" w:styleId="textnoindent">
    <w:name w:val="text no indent"/>
    <w:aliases w:val="tn"/>
    <w:basedOn w:val="Normal"/>
    <w:rsid w:val="00095B2E"/>
    <w:pPr>
      <w:spacing w:line="480" w:lineRule="atLeast"/>
      <w:jc w:val="both"/>
    </w:pPr>
  </w:style>
  <w:style w:type="character" w:customStyle="1" w:styleId="Heading7Char">
    <w:name w:val="Heading 7 Char"/>
    <w:basedOn w:val="DefaultParagraphFont"/>
    <w:link w:val="Heading7"/>
    <w:uiPriority w:val="9"/>
    <w:semiHidden/>
    <w:rsid w:val="00095B2E"/>
    <w:rPr>
      <w:rFonts w:asciiTheme="majorHAnsi" w:eastAsiaTheme="majorEastAsia" w:hAnsiTheme="majorHAnsi" w:cstheme="majorBidi"/>
      <w:i/>
      <w:iCs/>
      <w:color w:val="1F3763" w:themeColor="accent1" w:themeShade="7F"/>
    </w:rPr>
  </w:style>
  <w:style w:type="table" w:styleId="PlainTable4">
    <w:name w:val="Plain Table 4"/>
    <w:basedOn w:val="TableNormal"/>
    <w:uiPriority w:val="44"/>
    <w:rsid w:val="00F90A22"/>
    <w:pPr>
      <w:spacing w:after="0" w:line="240" w:lineRule="auto"/>
    </w:pPr>
    <w:rPr>
      <w:rFonts w:ascii="New York" w:eastAsia="Times New Roman" w:hAnsi="New York"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Elston</dc:creator>
  <cp:keywords/>
  <dc:description/>
  <cp:lastModifiedBy>Jeffrey E Barrick</cp:lastModifiedBy>
  <cp:revision>3</cp:revision>
  <dcterms:created xsi:type="dcterms:W3CDTF">2022-08-17T20:22:00Z</dcterms:created>
  <dcterms:modified xsi:type="dcterms:W3CDTF">2022-08-28T21:25:00Z</dcterms:modified>
</cp:coreProperties>
</file>