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736F" w14:textId="5AD2D1AD" w:rsidR="008A6298" w:rsidRPr="008A6298" w:rsidRDefault="008A6298" w:rsidP="008A6298">
      <w:pPr>
        <w:rPr>
          <w:b/>
          <w:bCs/>
        </w:rPr>
      </w:pPr>
      <w:r w:rsidRPr="008A6298">
        <w:rPr>
          <w:rFonts w:hint="eastAsia"/>
          <w:b/>
          <w:bCs/>
        </w:rPr>
        <w:t>S</w:t>
      </w:r>
      <w:r w:rsidRPr="008A6298">
        <w:rPr>
          <w:b/>
          <w:bCs/>
        </w:rPr>
        <w:t>upplementary Table 1</w:t>
      </w:r>
      <w:r w:rsidRPr="008A6298">
        <w:rPr>
          <w:rFonts w:hint="eastAsia"/>
          <w:b/>
          <w:bCs/>
        </w:rPr>
        <w:t>.</w:t>
      </w:r>
      <w:r w:rsidRPr="008A6298">
        <w:rPr>
          <w:b/>
          <w:bCs/>
        </w:rPr>
        <w:t xml:space="preserve"> </w:t>
      </w:r>
      <w:r w:rsidRPr="008A6298">
        <w:rPr>
          <w:b/>
          <w:bCs/>
        </w:rPr>
        <w:t>Comparison between patients with and without significant thyroid volume increase</w:t>
      </w:r>
      <w:r>
        <w:rPr>
          <w:b/>
          <w:bCs/>
        </w:rPr>
        <w:t xml:space="preserve"> (excluding one patient who had thyroid volume decrease)</w:t>
      </w:r>
    </w:p>
    <w:tbl>
      <w:tblPr>
        <w:tblStyle w:val="a3"/>
        <w:tblpPr w:leftFromText="180" w:rightFromText="180" w:vertAnchor="text" w:horzAnchor="margin" w:tblpY="266"/>
        <w:tblW w:w="8926" w:type="dxa"/>
        <w:tblLook w:val="04A0" w:firstRow="1" w:lastRow="0" w:firstColumn="1" w:lastColumn="0" w:noHBand="0" w:noVBand="1"/>
      </w:tblPr>
      <w:tblGrid>
        <w:gridCol w:w="2997"/>
        <w:gridCol w:w="2338"/>
        <w:gridCol w:w="2346"/>
        <w:gridCol w:w="1245"/>
      </w:tblGrid>
      <w:tr w:rsidR="008A6298" w14:paraId="4FA6DC61" w14:textId="77777777" w:rsidTr="00A06C13">
        <w:trPr>
          <w:trHeight w:val="707"/>
        </w:trPr>
        <w:tc>
          <w:tcPr>
            <w:tcW w:w="2997" w:type="dxa"/>
          </w:tcPr>
          <w:p w14:paraId="414931C8" w14:textId="77777777" w:rsidR="008A6298" w:rsidRDefault="008A6298" w:rsidP="00A06C13">
            <w:pPr>
              <w:tabs>
                <w:tab w:val="left" w:pos="3741"/>
              </w:tabs>
            </w:pPr>
          </w:p>
        </w:tc>
        <w:tc>
          <w:tcPr>
            <w:tcW w:w="2338" w:type="dxa"/>
          </w:tcPr>
          <w:p w14:paraId="300791EF" w14:textId="77777777" w:rsidR="008A6298" w:rsidRPr="00D0539F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increase in thyroid volume</w:t>
            </w:r>
          </w:p>
        </w:tc>
        <w:tc>
          <w:tcPr>
            <w:tcW w:w="2346" w:type="dxa"/>
          </w:tcPr>
          <w:p w14:paraId="2D765438" w14:textId="77777777" w:rsidR="008A6298" w:rsidRPr="00D0539F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significant increase in thyroid volume</w:t>
            </w:r>
          </w:p>
        </w:tc>
        <w:tc>
          <w:tcPr>
            <w:tcW w:w="1245" w:type="dxa"/>
            <w:vAlign w:val="center"/>
          </w:tcPr>
          <w:p w14:paraId="2F89AC61" w14:textId="77777777" w:rsidR="008A6298" w:rsidRPr="00D0539F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 w:rsidRPr="00D0539F">
              <w:rPr>
                <w:b/>
                <w:bCs/>
              </w:rPr>
              <w:t>P value</w:t>
            </w:r>
          </w:p>
        </w:tc>
      </w:tr>
      <w:tr w:rsidR="008A6298" w14:paraId="2BE1C1E4" w14:textId="77777777" w:rsidTr="00A06C13">
        <w:trPr>
          <w:trHeight w:val="353"/>
        </w:trPr>
        <w:tc>
          <w:tcPr>
            <w:tcW w:w="2997" w:type="dxa"/>
          </w:tcPr>
          <w:p w14:paraId="4F615898" w14:textId="77777777" w:rsidR="008A6298" w:rsidRDefault="008A6298" w:rsidP="00A06C13">
            <w:pPr>
              <w:tabs>
                <w:tab w:val="left" w:pos="3741"/>
              </w:tabs>
            </w:pPr>
            <w:r>
              <w:rPr>
                <w:rFonts w:hint="eastAsia"/>
              </w:rPr>
              <w:t>N</w:t>
            </w:r>
            <w:r>
              <w:t>umber of patients</w:t>
            </w:r>
          </w:p>
        </w:tc>
        <w:tc>
          <w:tcPr>
            <w:tcW w:w="2338" w:type="dxa"/>
          </w:tcPr>
          <w:p w14:paraId="64909383" w14:textId="77777777" w:rsidR="008A6298" w:rsidRPr="001725E8" w:rsidRDefault="008A6298" w:rsidP="00A06C13">
            <w:pPr>
              <w:tabs>
                <w:tab w:val="left" w:pos="3741"/>
              </w:tabs>
              <w:jc w:val="center"/>
            </w:pPr>
            <w:r w:rsidRPr="001725E8">
              <w:t>32</w:t>
            </w:r>
          </w:p>
        </w:tc>
        <w:tc>
          <w:tcPr>
            <w:tcW w:w="2346" w:type="dxa"/>
          </w:tcPr>
          <w:p w14:paraId="1977EFB2" w14:textId="561AC31A" w:rsidR="008A6298" w:rsidRPr="001725E8" w:rsidRDefault="008A6298" w:rsidP="00A06C13">
            <w:pPr>
              <w:tabs>
                <w:tab w:val="left" w:pos="3741"/>
              </w:tabs>
              <w:jc w:val="center"/>
            </w:pPr>
            <w:r w:rsidRPr="001725E8">
              <w:t>2</w:t>
            </w:r>
            <w:r w:rsidR="003036AC">
              <w:t>1</w:t>
            </w:r>
          </w:p>
        </w:tc>
        <w:tc>
          <w:tcPr>
            <w:tcW w:w="1245" w:type="dxa"/>
          </w:tcPr>
          <w:p w14:paraId="293330BE" w14:textId="77777777" w:rsidR="008A6298" w:rsidRPr="003C4A3F" w:rsidRDefault="008A6298" w:rsidP="00A06C13">
            <w:pPr>
              <w:tabs>
                <w:tab w:val="left" w:pos="3741"/>
              </w:tabs>
              <w:jc w:val="center"/>
            </w:pPr>
            <w:r>
              <w:t>--</w:t>
            </w:r>
          </w:p>
        </w:tc>
      </w:tr>
      <w:tr w:rsidR="008A6298" w14:paraId="2A7C41D2" w14:textId="77777777" w:rsidTr="00A06C13">
        <w:trPr>
          <w:trHeight w:val="353"/>
        </w:trPr>
        <w:tc>
          <w:tcPr>
            <w:tcW w:w="2997" w:type="dxa"/>
          </w:tcPr>
          <w:p w14:paraId="0ED80BA4" w14:textId="77777777" w:rsidR="008A6298" w:rsidDel="00DC284B" w:rsidRDefault="008A6298" w:rsidP="00A06C13">
            <w:pPr>
              <w:tabs>
                <w:tab w:val="left" w:pos="3741"/>
              </w:tabs>
            </w:pPr>
            <w:r>
              <w:rPr>
                <w:rFonts w:hint="eastAsia"/>
              </w:rPr>
              <w:t>A</w:t>
            </w:r>
            <w:r>
              <w:t>ge (year)</w:t>
            </w:r>
          </w:p>
        </w:tc>
        <w:tc>
          <w:tcPr>
            <w:tcW w:w="2338" w:type="dxa"/>
          </w:tcPr>
          <w:p w14:paraId="114354D1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4</w:t>
            </w:r>
            <w:r>
              <w:t>8.7±16.1</w:t>
            </w:r>
          </w:p>
        </w:tc>
        <w:tc>
          <w:tcPr>
            <w:tcW w:w="2346" w:type="dxa"/>
          </w:tcPr>
          <w:p w14:paraId="5F199F47" w14:textId="6360E1FE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4</w:t>
            </w:r>
            <w:r>
              <w:t>7.</w:t>
            </w:r>
            <w:r w:rsidR="003036AC">
              <w:t>7</w:t>
            </w:r>
            <w:r>
              <w:t>±12.</w:t>
            </w:r>
            <w:r w:rsidR="003036AC">
              <w:t>8</w:t>
            </w:r>
          </w:p>
        </w:tc>
        <w:tc>
          <w:tcPr>
            <w:tcW w:w="1245" w:type="dxa"/>
          </w:tcPr>
          <w:p w14:paraId="75006053" w14:textId="70FC6046" w:rsidR="008A6298" w:rsidRPr="00DE50E3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0</w:t>
            </w:r>
            <w:r>
              <w:t>.</w:t>
            </w:r>
            <w:r w:rsidR="003036AC">
              <w:t>942</w:t>
            </w:r>
          </w:p>
        </w:tc>
      </w:tr>
      <w:tr w:rsidR="008A6298" w14:paraId="5F7150C5" w14:textId="77777777" w:rsidTr="00A06C13">
        <w:trPr>
          <w:trHeight w:val="365"/>
        </w:trPr>
        <w:tc>
          <w:tcPr>
            <w:tcW w:w="2997" w:type="dxa"/>
          </w:tcPr>
          <w:p w14:paraId="7BF5DDE4" w14:textId="77777777" w:rsidR="008A6298" w:rsidDel="00DC284B" w:rsidRDefault="008A6298" w:rsidP="00A06C13">
            <w:pPr>
              <w:tabs>
                <w:tab w:val="left" w:pos="3741"/>
              </w:tabs>
            </w:pPr>
            <w:r>
              <w:t>Male</w:t>
            </w:r>
          </w:p>
        </w:tc>
        <w:tc>
          <w:tcPr>
            <w:tcW w:w="2338" w:type="dxa"/>
          </w:tcPr>
          <w:p w14:paraId="224E7468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20 (62.5%)</w:t>
            </w:r>
          </w:p>
        </w:tc>
        <w:tc>
          <w:tcPr>
            <w:tcW w:w="2346" w:type="dxa"/>
          </w:tcPr>
          <w:p w14:paraId="36D487EF" w14:textId="7AFF72B2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1</w:t>
            </w:r>
            <w:r w:rsidR="003036AC">
              <w:t>3</w:t>
            </w:r>
            <w:r>
              <w:t xml:space="preserve"> (6</w:t>
            </w:r>
            <w:r w:rsidR="003036AC">
              <w:t>1.9</w:t>
            </w:r>
            <w:r>
              <w:t>%)</w:t>
            </w:r>
          </w:p>
        </w:tc>
        <w:tc>
          <w:tcPr>
            <w:tcW w:w="1245" w:type="dxa"/>
          </w:tcPr>
          <w:p w14:paraId="126FA09D" w14:textId="6F2DE8BD" w:rsidR="008A6298" w:rsidRPr="00DE50E3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0</w:t>
            </w:r>
            <w:r>
              <w:t>.9</w:t>
            </w:r>
            <w:r w:rsidR="003036AC">
              <w:t>65</w:t>
            </w:r>
          </w:p>
        </w:tc>
      </w:tr>
      <w:tr w:rsidR="008A6298" w14:paraId="7BE0FA71" w14:textId="77777777" w:rsidTr="00A06C13">
        <w:trPr>
          <w:trHeight w:val="353"/>
        </w:trPr>
        <w:tc>
          <w:tcPr>
            <w:tcW w:w="2997" w:type="dxa"/>
          </w:tcPr>
          <w:p w14:paraId="19347614" w14:textId="77777777" w:rsidR="008A6298" w:rsidRDefault="008A6298" w:rsidP="00A06C13">
            <w:pPr>
              <w:tabs>
                <w:tab w:val="left" w:pos="3741"/>
              </w:tabs>
            </w:pPr>
            <w:r>
              <w:rPr>
                <w:rFonts w:hint="eastAsia"/>
              </w:rPr>
              <w:t>B</w:t>
            </w:r>
            <w:r>
              <w:t>MI (kg/m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a</w:t>
            </w:r>
          </w:p>
        </w:tc>
        <w:tc>
          <w:tcPr>
            <w:tcW w:w="2338" w:type="dxa"/>
          </w:tcPr>
          <w:p w14:paraId="0CA28EF2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2</w:t>
            </w:r>
            <w:r>
              <w:t>5.7 (22.6 – 29.1)</w:t>
            </w:r>
          </w:p>
        </w:tc>
        <w:tc>
          <w:tcPr>
            <w:tcW w:w="2346" w:type="dxa"/>
          </w:tcPr>
          <w:p w14:paraId="53529DCC" w14:textId="64DD4CA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2</w:t>
            </w:r>
            <w:r w:rsidR="003036AC">
              <w:t>7.0</w:t>
            </w:r>
            <w:r>
              <w:t xml:space="preserve"> (23.5 – 30.1)</w:t>
            </w:r>
          </w:p>
        </w:tc>
        <w:tc>
          <w:tcPr>
            <w:tcW w:w="1245" w:type="dxa"/>
          </w:tcPr>
          <w:p w14:paraId="237C8AAE" w14:textId="2F0E33C2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.4</w:t>
            </w:r>
            <w:r w:rsidR="003036AC">
              <w:t>52</w:t>
            </w:r>
          </w:p>
        </w:tc>
      </w:tr>
      <w:tr w:rsidR="008A6298" w14:paraId="1AC4AD30" w14:textId="77777777" w:rsidTr="00A06C13">
        <w:trPr>
          <w:trHeight w:val="353"/>
        </w:trPr>
        <w:tc>
          <w:tcPr>
            <w:tcW w:w="2997" w:type="dxa"/>
          </w:tcPr>
          <w:p w14:paraId="00F4BAF7" w14:textId="77777777" w:rsidR="008A6298" w:rsidRDefault="008A6298" w:rsidP="00A06C13">
            <w:pPr>
              <w:tabs>
                <w:tab w:val="left" w:pos="3741"/>
              </w:tabs>
            </w:pPr>
            <w:proofErr w:type="spellStart"/>
            <w:r w:rsidRPr="00D0539F">
              <w:rPr>
                <w:color w:val="000000" w:themeColor="text1"/>
              </w:rPr>
              <w:t>Charlson</w:t>
            </w:r>
            <w:proofErr w:type="spellEnd"/>
            <w:r w:rsidRPr="00D0539F">
              <w:rPr>
                <w:color w:val="000000" w:themeColor="text1"/>
              </w:rPr>
              <w:t xml:space="preserve"> Comorbidity index ≥1</w:t>
            </w:r>
          </w:p>
        </w:tc>
        <w:tc>
          <w:tcPr>
            <w:tcW w:w="2338" w:type="dxa"/>
          </w:tcPr>
          <w:p w14:paraId="47B53739" w14:textId="77777777" w:rsidR="008A6298" w:rsidRPr="00D0539F" w:rsidRDefault="008A6298" w:rsidP="00A06C13">
            <w:pPr>
              <w:tabs>
                <w:tab w:val="center" w:pos="1393"/>
                <w:tab w:val="right" w:pos="2786"/>
                <w:tab w:val="left" w:pos="3741"/>
              </w:tabs>
              <w:jc w:val="center"/>
              <w:rPr>
                <w:rFonts w:ascii="Cambria Math" w:eastAsia="Cambria Math" w:hAnsi="Cambria Math"/>
                <w:lang w:eastAsia="zh-CN"/>
              </w:rPr>
            </w:pPr>
            <w:r>
              <w:t>5 (15.6%)</w:t>
            </w:r>
          </w:p>
        </w:tc>
        <w:tc>
          <w:tcPr>
            <w:tcW w:w="2346" w:type="dxa"/>
          </w:tcPr>
          <w:p w14:paraId="0E1466F8" w14:textId="08001922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3 (1</w:t>
            </w:r>
            <w:r w:rsidR="00546F98">
              <w:t>4.3</w:t>
            </w:r>
            <w:r>
              <w:t>%)</w:t>
            </w:r>
          </w:p>
        </w:tc>
        <w:tc>
          <w:tcPr>
            <w:tcW w:w="1245" w:type="dxa"/>
          </w:tcPr>
          <w:p w14:paraId="3FBEEE31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&gt;0.999</w:t>
            </w:r>
          </w:p>
        </w:tc>
      </w:tr>
      <w:tr w:rsidR="008A6298" w14:paraId="138EEEEA" w14:textId="77777777" w:rsidTr="00A06C13">
        <w:trPr>
          <w:trHeight w:val="353"/>
        </w:trPr>
        <w:tc>
          <w:tcPr>
            <w:tcW w:w="2997" w:type="dxa"/>
          </w:tcPr>
          <w:p w14:paraId="0634C6AF" w14:textId="77777777" w:rsidR="008A6298" w:rsidRPr="00D0539F" w:rsidRDefault="008A6298" w:rsidP="00A06C13">
            <w:pPr>
              <w:tabs>
                <w:tab w:val="left" w:pos="374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  <w:r>
              <w:rPr>
                <w:color w:val="000000" w:themeColor="text1"/>
              </w:rPr>
              <w:t>ypertension</w:t>
            </w:r>
          </w:p>
        </w:tc>
        <w:tc>
          <w:tcPr>
            <w:tcW w:w="2338" w:type="dxa"/>
          </w:tcPr>
          <w:p w14:paraId="31B6DC8D" w14:textId="77777777" w:rsidR="008A6298" w:rsidRDefault="008A6298" w:rsidP="00A06C13">
            <w:pPr>
              <w:tabs>
                <w:tab w:val="center" w:pos="1393"/>
                <w:tab w:val="right" w:pos="2786"/>
                <w:tab w:val="left" w:pos="3741"/>
              </w:tabs>
              <w:jc w:val="center"/>
            </w:pPr>
            <w:r>
              <w:rPr>
                <w:rFonts w:hint="eastAsia"/>
              </w:rPr>
              <w:t>5</w:t>
            </w:r>
            <w:r>
              <w:t xml:space="preserve"> (15.6%)</w:t>
            </w:r>
          </w:p>
        </w:tc>
        <w:tc>
          <w:tcPr>
            <w:tcW w:w="2346" w:type="dxa"/>
          </w:tcPr>
          <w:p w14:paraId="4F37D0CF" w14:textId="3AD7A095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5</w:t>
            </w:r>
            <w:r>
              <w:t xml:space="preserve"> (2</w:t>
            </w:r>
            <w:r w:rsidR="00546F98">
              <w:t>3.8</w:t>
            </w:r>
            <w:r>
              <w:t>%)</w:t>
            </w:r>
          </w:p>
        </w:tc>
        <w:tc>
          <w:tcPr>
            <w:tcW w:w="1245" w:type="dxa"/>
          </w:tcPr>
          <w:p w14:paraId="2B5268E5" w14:textId="7FEF3CD6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546F98">
              <w:t>456</w:t>
            </w:r>
          </w:p>
        </w:tc>
      </w:tr>
      <w:tr w:rsidR="008A6298" w14:paraId="79314756" w14:textId="77777777" w:rsidTr="00A06C13">
        <w:trPr>
          <w:trHeight w:val="353"/>
        </w:trPr>
        <w:tc>
          <w:tcPr>
            <w:tcW w:w="2997" w:type="dxa"/>
          </w:tcPr>
          <w:p w14:paraId="6D7032B0" w14:textId="77777777" w:rsidR="008A6298" w:rsidRDefault="008A6298" w:rsidP="00A06C13">
            <w:pPr>
              <w:tabs>
                <w:tab w:val="left" w:pos="374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iabetes mellitus</w:t>
            </w:r>
          </w:p>
        </w:tc>
        <w:tc>
          <w:tcPr>
            <w:tcW w:w="2338" w:type="dxa"/>
          </w:tcPr>
          <w:p w14:paraId="0455862C" w14:textId="77777777" w:rsidR="008A6298" w:rsidRDefault="008A6298" w:rsidP="00A06C13">
            <w:pPr>
              <w:tabs>
                <w:tab w:val="center" w:pos="1165"/>
                <w:tab w:val="center" w:pos="1393"/>
                <w:tab w:val="right" w:pos="2330"/>
              </w:tabs>
            </w:pPr>
            <w:r>
              <w:tab/>
            </w:r>
            <w:r>
              <w:rPr>
                <w:rFonts w:hint="eastAsia"/>
              </w:rPr>
              <w:t>1</w:t>
            </w:r>
            <w:r>
              <w:t xml:space="preserve"> (3.1%)</w:t>
            </w:r>
          </w:p>
        </w:tc>
        <w:tc>
          <w:tcPr>
            <w:tcW w:w="2346" w:type="dxa"/>
          </w:tcPr>
          <w:p w14:paraId="6008FFC1" w14:textId="013B3E76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1</w:t>
            </w:r>
            <w:r>
              <w:t xml:space="preserve"> (4.</w:t>
            </w:r>
            <w:r w:rsidR="00546F98">
              <w:t>8</w:t>
            </w:r>
            <w:r>
              <w:t>%)</w:t>
            </w:r>
          </w:p>
        </w:tc>
        <w:tc>
          <w:tcPr>
            <w:tcW w:w="1245" w:type="dxa"/>
          </w:tcPr>
          <w:p w14:paraId="54486AAD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&gt;0.999</w:t>
            </w:r>
          </w:p>
        </w:tc>
      </w:tr>
      <w:tr w:rsidR="008A6298" w14:paraId="30133585" w14:textId="77777777" w:rsidTr="00A06C13">
        <w:trPr>
          <w:trHeight w:val="353"/>
        </w:trPr>
        <w:tc>
          <w:tcPr>
            <w:tcW w:w="2997" w:type="dxa"/>
          </w:tcPr>
          <w:p w14:paraId="728A9BEF" w14:textId="77777777" w:rsidR="008A6298" w:rsidRDefault="008A6298" w:rsidP="00A06C13">
            <w:pPr>
              <w:tabs>
                <w:tab w:val="left" w:pos="374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moking</w:t>
            </w:r>
          </w:p>
        </w:tc>
        <w:tc>
          <w:tcPr>
            <w:tcW w:w="2338" w:type="dxa"/>
          </w:tcPr>
          <w:p w14:paraId="4A8D1D07" w14:textId="77777777" w:rsidR="008A6298" w:rsidRDefault="008A6298" w:rsidP="00A06C13">
            <w:pPr>
              <w:tabs>
                <w:tab w:val="center" w:pos="1393"/>
                <w:tab w:val="right" w:pos="2786"/>
                <w:tab w:val="left" w:pos="3741"/>
              </w:tabs>
              <w:jc w:val="center"/>
            </w:pPr>
            <w:r>
              <w:rPr>
                <w:rFonts w:hint="eastAsia"/>
              </w:rPr>
              <w:t>5</w:t>
            </w:r>
            <w:r>
              <w:t xml:space="preserve"> (15.6%)</w:t>
            </w:r>
          </w:p>
        </w:tc>
        <w:tc>
          <w:tcPr>
            <w:tcW w:w="2346" w:type="dxa"/>
          </w:tcPr>
          <w:p w14:paraId="229F8377" w14:textId="715C045E" w:rsidR="008A6298" w:rsidRDefault="00546F98" w:rsidP="00751D6A">
            <w:pPr>
              <w:tabs>
                <w:tab w:val="left" w:pos="3741"/>
              </w:tabs>
              <w:jc w:val="center"/>
            </w:pPr>
            <w:r>
              <w:t>0</w:t>
            </w:r>
            <w:r w:rsidR="008A6298">
              <w:t xml:space="preserve"> (</w:t>
            </w:r>
            <w:r>
              <w:t>0%</w:t>
            </w:r>
            <w:r w:rsidR="008A6298">
              <w:t>)</w:t>
            </w:r>
          </w:p>
        </w:tc>
        <w:tc>
          <w:tcPr>
            <w:tcW w:w="1245" w:type="dxa"/>
          </w:tcPr>
          <w:p w14:paraId="5C83319D" w14:textId="10749EA7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546F98">
              <w:t>144</w:t>
            </w:r>
          </w:p>
        </w:tc>
      </w:tr>
      <w:tr w:rsidR="008A6298" w14:paraId="4A12FFBA" w14:textId="77777777" w:rsidTr="00A06C13">
        <w:trPr>
          <w:trHeight w:val="353"/>
        </w:trPr>
        <w:tc>
          <w:tcPr>
            <w:tcW w:w="2997" w:type="dxa"/>
          </w:tcPr>
          <w:p w14:paraId="6BF8EEDA" w14:textId="77777777" w:rsidR="008A6298" w:rsidRDefault="008A6298" w:rsidP="00A06C13">
            <w:pPr>
              <w:tabs>
                <w:tab w:val="left" w:pos="374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rinking</w:t>
            </w:r>
          </w:p>
        </w:tc>
        <w:tc>
          <w:tcPr>
            <w:tcW w:w="2338" w:type="dxa"/>
          </w:tcPr>
          <w:p w14:paraId="47F02299" w14:textId="77777777" w:rsidR="008A6298" w:rsidRDefault="008A6298" w:rsidP="00A06C13">
            <w:pPr>
              <w:tabs>
                <w:tab w:val="center" w:pos="1393"/>
                <w:tab w:val="right" w:pos="2786"/>
                <w:tab w:val="left" w:pos="3741"/>
              </w:tabs>
              <w:jc w:val="center"/>
            </w:pPr>
            <w:r>
              <w:rPr>
                <w:rFonts w:hint="eastAsia"/>
              </w:rPr>
              <w:t>6</w:t>
            </w:r>
            <w:r>
              <w:t xml:space="preserve"> (18.8%)</w:t>
            </w:r>
          </w:p>
        </w:tc>
        <w:tc>
          <w:tcPr>
            <w:tcW w:w="2346" w:type="dxa"/>
          </w:tcPr>
          <w:p w14:paraId="626C15BB" w14:textId="14D1FA70" w:rsidR="008A6298" w:rsidRDefault="00751D6A" w:rsidP="00A06C13">
            <w:pPr>
              <w:tabs>
                <w:tab w:val="left" w:pos="3741"/>
              </w:tabs>
              <w:jc w:val="center"/>
            </w:pPr>
            <w:r>
              <w:t>3</w:t>
            </w:r>
            <w:r w:rsidR="008A6298">
              <w:t xml:space="preserve"> (1</w:t>
            </w:r>
            <w:r>
              <w:t>4.3</w:t>
            </w:r>
            <w:r w:rsidR="008A6298">
              <w:t>%)</w:t>
            </w:r>
          </w:p>
        </w:tc>
        <w:tc>
          <w:tcPr>
            <w:tcW w:w="1245" w:type="dxa"/>
          </w:tcPr>
          <w:p w14:paraId="678A9214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&gt;</w:t>
            </w:r>
            <w:r>
              <w:t>0.999</w:t>
            </w:r>
          </w:p>
        </w:tc>
      </w:tr>
      <w:tr w:rsidR="008A6298" w14:paraId="758ACE4E" w14:textId="77777777" w:rsidTr="00A06C13">
        <w:trPr>
          <w:trHeight w:val="353"/>
        </w:trPr>
        <w:tc>
          <w:tcPr>
            <w:tcW w:w="8926" w:type="dxa"/>
            <w:gridSpan w:val="4"/>
          </w:tcPr>
          <w:p w14:paraId="55E96314" w14:textId="77777777" w:rsidR="008A6298" w:rsidRPr="00D0539F" w:rsidRDefault="008A6298" w:rsidP="00A06C13">
            <w:pPr>
              <w:tabs>
                <w:tab w:val="left" w:pos="3741"/>
              </w:tabs>
              <w:rPr>
                <w:b/>
                <w:bCs/>
              </w:rPr>
            </w:pPr>
            <w:r w:rsidRPr="00D0539F">
              <w:rPr>
                <w:b/>
                <w:bCs/>
              </w:rPr>
              <w:t>Parameters in acute COVID-19</w:t>
            </w:r>
          </w:p>
        </w:tc>
      </w:tr>
      <w:tr w:rsidR="008A6298" w14:paraId="2A0ECCA7" w14:textId="77777777" w:rsidTr="00A06C13">
        <w:trPr>
          <w:trHeight w:val="353"/>
        </w:trPr>
        <w:tc>
          <w:tcPr>
            <w:tcW w:w="2997" w:type="dxa"/>
          </w:tcPr>
          <w:p w14:paraId="69197095" w14:textId="77777777" w:rsidR="008A6298" w:rsidRPr="00F25F0B" w:rsidRDefault="008A6298" w:rsidP="00A06C13">
            <w:pPr>
              <w:tabs>
                <w:tab w:val="left" w:pos="3741"/>
              </w:tabs>
            </w:pPr>
            <w:r w:rsidRPr="005E3C7C">
              <w:t xml:space="preserve">SARS-CoV-2 </w:t>
            </w:r>
            <w:r w:rsidRPr="005E3C7C">
              <w:rPr>
                <w:rFonts w:hint="eastAsia"/>
              </w:rPr>
              <w:t xml:space="preserve">PCR </w:t>
            </w:r>
            <w:r w:rsidRPr="005E3C7C">
              <w:t xml:space="preserve">Ct </w:t>
            </w:r>
            <w:proofErr w:type="spellStart"/>
            <w:r w:rsidRPr="005E3C7C">
              <w:t>value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338" w:type="dxa"/>
          </w:tcPr>
          <w:p w14:paraId="1000F3DA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19.9 (15.6 – 28.3)</w:t>
            </w:r>
          </w:p>
        </w:tc>
        <w:tc>
          <w:tcPr>
            <w:tcW w:w="2346" w:type="dxa"/>
          </w:tcPr>
          <w:p w14:paraId="0F979F01" w14:textId="1682306D" w:rsidR="008A6298" w:rsidRDefault="00751D6A" w:rsidP="00A06C13">
            <w:pPr>
              <w:tabs>
                <w:tab w:val="left" w:pos="3741"/>
              </w:tabs>
              <w:jc w:val="center"/>
            </w:pPr>
            <w:r>
              <w:t>26.8</w:t>
            </w:r>
            <w:r w:rsidR="008A6298">
              <w:t xml:space="preserve"> (21.0 – 29.1)</w:t>
            </w:r>
          </w:p>
        </w:tc>
        <w:tc>
          <w:tcPr>
            <w:tcW w:w="1245" w:type="dxa"/>
          </w:tcPr>
          <w:p w14:paraId="46BBB4AB" w14:textId="16F9768D" w:rsidR="008A6298" w:rsidRPr="00DE50E3" w:rsidRDefault="008A6298" w:rsidP="00A06C13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 w:rsidRPr="00DE50E3">
              <w:rPr>
                <w:rFonts w:hint="eastAsia"/>
                <w:b/>
                <w:bCs/>
              </w:rPr>
              <w:t>0</w:t>
            </w:r>
            <w:r w:rsidRPr="00DE50E3">
              <w:rPr>
                <w:b/>
                <w:bCs/>
              </w:rPr>
              <w:t>.0</w:t>
            </w:r>
            <w:r w:rsidR="00751D6A">
              <w:rPr>
                <w:b/>
                <w:bCs/>
              </w:rPr>
              <w:t>06</w:t>
            </w:r>
          </w:p>
        </w:tc>
      </w:tr>
      <w:tr w:rsidR="008A6298" w14:paraId="370DBA5C" w14:textId="77777777" w:rsidTr="00A06C13">
        <w:trPr>
          <w:trHeight w:val="353"/>
        </w:trPr>
        <w:tc>
          <w:tcPr>
            <w:tcW w:w="2997" w:type="dxa"/>
          </w:tcPr>
          <w:p w14:paraId="14CDF5EB" w14:textId="77777777" w:rsidR="008A6298" w:rsidDel="00E9693B" w:rsidRDefault="008A6298" w:rsidP="00A06C13">
            <w:pPr>
              <w:tabs>
                <w:tab w:val="left" w:pos="3741"/>
              </w:tabs>
            </w:pPr>
            <w:r>
              <w:t>CRP (mg/dL)</w:t>
            </w:r>
            <w:r>
              <w:rPr>
                <w:vertAlign w:val="superscript"/>
              </w:rPr>
              <w:t>a</w:t>
            </w:r>
          </w:p>
        </w:tc>
        <w:tc>
          <w:tcPr>
            <w:tcW w:w="2338" w:type="dxa"/>
          </w:tcPr>
          <w:p w14:paraId="3C5FE448" w14:textId="77777777" w:rsidR="008A6298" w:rsidRPr="00CA2FC7" w:rsidDel="00E9693B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rPr>
                <w:rFonts w:hint="eastAsia"/>
              </w:rPr>
              <w:t>1</w:t>
            </w:r>
            <w:r w:rsidRPr="00CA2FC7">
              <w:t>.02 (0.32 – 2.82)</w:t>
            </w:r>
          </w:p>
        </w:tc>
        <w:tc>
          <w:tcPr>
            <w:tcW w:w="2346" w:type="dxa"/>
          </w:tcPr>
          <w:p w14:paraId="45C56291" w14:textId="46DF88AB" w:rsidR="008A6298" w:rsidRPr="00670977" w:rsidDel="00E9693B" w:rsidRDefault="008A6298" w:rsidP="00A06C13">
            <w:pPr>
              <w:tabs>
                <w:tab w:val="left" w:pos="3741"/>
              </w:tabs>
              <w:jc w:val="center"/>
            </w:pPr>
            <w:r w:rsidRPr="00670977">
              <w:t>2.</w:t>
            </w:r>
            <w:r w:rsidR="00670977" w:rsidRPr="00670977">
              <w:t>02</w:t>
            </w:r>
            <w:r w:rsidRPr="00670977">
              <w:t xml:space="preserve"> (0.5</w:t>
            </w:r>
            <w:r w:rsidR="00670977" w:rsidRPr="00670977">
              <w:t>3</w:t>
            </w:r>
            <w:r w:rsidRPr="00670977">
              <w:t xml:space="preserve"> – </w:t>
            </w:r>
            <w:r w:rsidR="00670977" w:rsidRPr="00670977">
              <w:t>7.50</w:t>
            </w:r>
            <w:r w:rsidRPr="00670977">
              <w:t>)</w:t>
            </w:r>
          </w:p>
        </w:tc>
        <w:tc>
          <w:tcPr>
            <w:tcW w:w="1245" w:type="dxa"/>
          </w:tcPr>
          <w:p w14:paraId="4063284C" w14:textId="4E3506EE" w:rsidR="008A6298" w:rsidRPr="00490663" w:rsidRDefault="008A6298" w:rsidP="00A06C13">
            <w:pPr>
              <w:tabs>
                <w:tab w:val="left" w:pos="3741"/>
              </w:tabs>
              <w:jc w:val="center"/>
            </w:pPr>
            <w:r w:rsidRPr="00DE50E3">
              <w:rPr>
                <w:rFonts w:hint="eastAsia"/>
                <w:b/>
                <w:bCs/>
              </w:rPr>
              <w:t>0</w:t>
            </w:r>
            <w:r w:rsidRPr="00DE50E3">
              <w:rPr>
                <w:b/>
                <w:bCs/>
              </w:rPr>
              <w:t>.01</w:t>
            </w:r>
            <w:r w:rsidR="000A445E">
              <w:rPr>
                <w:b/>
                <w:bCs/>
              </w:rPr>
              <w:t>7</w:t>
            </w:r>
          </w:p>
        </w:tc>
      </w:tr>
      <w:tr w:rsidR="008A6298" w14:paraId="7E278650" w14:textId="77777777" w:rsidTr="00A06C13">
        <w:trPr>
          <w:trHeight w:val="353"/>
        </w:trPr>
        <w:tc>
          <w:tcPr>
            <w:tcW w:w="2997" w:type="dxa"/>
          </w:tcPr>
          <w:p w14:paraId="24B33197" w14:textId="77777777" w:rsidR="008A6298" w:rsidRDefault="008A6298" w:rsidP="00A06C13">
            <w:pPr>
              <w:tabs>
                <w:tab w:val="left" w:pos="3741"/>
              </w:tabs>
            </w:pPr>
            <w:r>
              <w:t>TSH (</w:t>
            </w:r>
            <w:proofErr w:type="spellStart"/>
            <w:r>
              <w:t>mIU</w:t>
            </w:r>
            <w:proofErr w:type="spellEnd"/>
            <w:r>
              <w:t>/L)</w:t>
            </w:r>
            <w:r>
              <w:rPr>
                <w:vertAlign w:val="superscript"/>
              </w:rPr>
              <w:t>a</w:t>
            </w:r>
          </w:p>
        </w:tc>
        <w:tc>
          <w:tcPr>
            <w:tcW w:w="2338" w:type="dxa"/>
          </w:tcPr>
          <w:p w14:paraId="0982435A" w14:textId="77777777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t>0.87 (0.73 – 1.50)</w:t>
            </w:r>
            <w:r>
              <w:rPr>
                <w:vertAlign w:val="superscript"/>
              </w:rPr>
              <w:t>b</w:t>
            </w:r>
          </w:p>
        </w:tc>
        <w:tc>
          <w:tcPr>
            <w:tcW w:w="2346" w:type="dxa"/>
          </w:tcPr>
          <w:p w14:paraId="655E90D6" w14:textId="601A75D9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t>0.</w:t>
            </w:r>
            <w:r w:rsidR="00670977">
              <w:t>93</w:t>
            </w:r>
            <w:r w:rsidRPr="00CA2FC7">
              <w:t xml:space="preserve"> (0.</w:t>
            </w:r>
            <w:r w:rsidR="00670977">
              <w:t>57</w:t>
            </w:r>
            <w:r w:rsidRPr="00CA2FC7">
              <w:t xml:space="preserve"> – 1.</w:t>
            </w:r>
            <w:r w:rsidR="00670977">
              <w:t>45</w:t>
            </w:r>
            <w:r w:rsidRPr="00CA2FC7">
              <w:t>)</w:t>
            </w:r>
            <w:r>
              <w:rPr>
                <w:vertAlign w:val="superscript"/>
              </w:rPr>
              <w:t>c</w:t>
            </w:r>
          </w:p>
        </w:tc>
        <w:tc>
          <w:tcPr>
            <w:tcW w:w="1245" w:type="dxa"/>
          </w:tcPr>
          <w:p w14:paraId="77E743F8" w14:textId="2AA5B638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670977">
              <w:t>744</w:t>
            </w:r>
          </w:p>
        </w:tc>
      </w:tr>
      <w:tr w:rsidR="008A6298" w14:paraId="5BDBFA09" w14:textId="77777777" w:rsidTr="00A06C13">
        <w:trPr>
          <w:trHeight w:val="353"/>
        </w:trPr>
        <w:tc>
          <w:tcPr>
            <w:tcW w:w="2997" w:type="dxa"/>
          </w:tcPr>
          <w:p w14:paraId="4D58A9C4" w14:textId="77777777" w:rsidR="008A6298" w:rsidRPr="00DE50E3" w:rsidRDefault="008A6298" w:rsidP="00A06C13">
            <w:pPr>
              <w:tabs>
                <w:tab w:val="left" w:pos="3741"/>
              </w:tabs>
            </w:pPr>
            <w:r>
              <w:t>fT4 (</w:t>
            </w:r>
            <w:proofErr w:type="spellStart"/>
            <w:r>
              <w:t>pmol</w:t>
            </w:r>
            <w:proofErr w:type="spellEnd"/>
            <w:r>
              <w:t>/L)</w:t>
            </w:r>
          </w:p>
        </w:tc>
        <w:tc>
          <w:tcPr>
            <w:tcW w:w="2338" w:type="dxa"/>
          </w:tcPr>
          <w:p w14:paraId="5D75A409" w14:textId="77777777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>
              <w:t>17.0 (15.0 – 18.5)</w:t>
            </w:r>
            <w:r>
              <w:rPr>
                <w:vertAlign w:val="superscript"/>
              </w:rPr>
              <w:t>b</w:t>
            </w:r>
          </w:p>
        </w:tc>
        <w:tc>
          <w:tcPr>
            <w:tcW w:w="2346" w:type="dxa"/>
          </w:tcPr>
          <w:p w14:paraId="0522D353" w14:textId="6DB7B687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>
              <w:t>1</w:t>
            </w:r>
            <w:r w:rsidR="00670977">
              <w:t>7</w:t>
            </w:r>
            <w:r>
              <w:t>.0 (1</w:t>
            </w:r>
            <w:r w:rsidR="00670977">
              <w:t>5</w:t>
            </w:r>
            <w:r>
              <w:t>.0 – 19.0)</w:t>
            </w:r>
            <w:r>
              <w:rPr>
                <w:vertAlign w:val="superscript"/>
              </w:rPr>
              <w:t>c</w:t>
            </w:r>
          </w:p>
        </w:tc>
        <w:tc>
          <w:tcPr>
            <w:tcW w:w="1245" w:type="dxa"/>
          </w:tcPr>
          <w:p w14:paraId="2411D9C4" w14:textId="2B44117A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  <w:r w:rsidR="00670977">
              <w:t>31</w:t>
            </w:r>
          </w:p>
        </w:tc>
      </w:tr>
      <w:tr w:rsidR="008A6298" w14:paraId="5637412B" w14:textId="77777777" w:rsidTr="00A06C13">
        <w:trPr>
          <w:trHeight w:val="353"/>
        </w:trPr>
        <w:tc>
          <w:tcPr>
            <w:tcW w:w="2997" w:type="dxa"/>
          </w:tcPr>
          <w:p w14:paraId="21141033" w14:textId="77777777" w:rsidR="008A6298" w:rsidRDefault="008A6298" w:rsidP="00A06C13">
            <w:pPr>
              <w:tabs>
                <w:tab w:val="left" w:pos="3741"/>
              </w:tabs>
            </w:pPr>
            <w:r>
              <w:t>fT3 (</w:t>
            </w:r>
            <w:proofErr w:type="spellStart"/>
            <w:r>
              <w:t>pmol</w:t>
            </w:r>
            <w:proofErr w:type="spellEnd"/>
            <w:r>
              <w:t>/L)</w:t>
            </w:r>
          </w:p>
        </w:tc>
        <w:tc>
          <w:tcPr>
            <w:tcW w:w="2338" w:type="dxa"/>
          </w:tcPr>
          <w:p w14:paraId="19BE41B5" w14:textId="77777777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>
              <w:t>3.8 (3.4 – 4.4)</w:t>
            </w:r>
            <w:r>
              <w:rPr>
                <w:vertAlign w:val="superscript"/>
              </w:rPr>
              <w:t>b</w:t>
            </w:r>
          </w:p>
        </w:tc>
        <w:tc>
          <w:tcPr>
            <w:tcW w:w="2346" w:type="dxa"/>
          </w:tcPr>
          <w:p w14:paraId="32EB73AD" w14:textId="77777777" w:rsidR="008A6298" w:rsidRPr="00571B3A" w:rsidRDefault="008A6298" w:rsidP="00A06C13">
            <w:pPr>
              <w:tabs>
                <w:tab w:val="left" w:pos="3741"/>
              </w:tabs>
              <w:jc w:val="center"/>
            </w:pPr>
            <w:r>
              <w:t>4.1 (3.8 – 4.3)</w:t>
            </w:r>
            <w:r>
              <w:rPr>
                <w:vertAlign w:val="superscript"/>
              </w:rPr>
              <w:t>c</w:t>
            </w:r>
          </w:p>
        </w:tc>
        <w:tc>
          <w:tcPr>
            <w:tcW w:w="1245" w:type="dxa"/>
          </w:tcPr>
          <w:p w14:paraId="0DC19329" w14:textId="1A18DB80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670977">
              <w:t>287</w:t>
            </w:r>
          </w:p>
        </w:tc>
      </w:tr>
      <w:tr w:rsidR="008A6298" w14:paraId="3C33A9B6" w14:textId="77777777" w:rsidTr="00A06C13">
        <w:trPr>
          <w:trHeight w:val="353"/>
        </w:trPr>
        <w:tc>
          <w:tcPr>
            <w:tcW w:w="2997" w:type="dxa"/>
          </w:tcPr>
          <w:p w14:paraId="20CBEE15" w14:textId="77777777" w:rsidR="008A6298" w:rsidRDefault="008A6298" w:rsidP="00A06C13">
            <w:pPr>
              <w:tabs>
                <w:tab w:val="left" w:pos="3741"/>
              </w:tabs>
            </w:pPr>
            <w:r>
              <w:t>Anti-TPO positivity</w:t>
            </w:r>
          </w:p>
        </w:tc>
        <w:tc>
          <w:tcPr>
            <w:tcW w:w="2338" w:type="dxa"/>
          </w:tcPr>
          <w:p w14:paraId="4A795ED7" w14:textId="77777777" w:rsidR="008A6298" w:rsidRPr="00CA2FC7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rPr>
                <w:rFonts w:hint="eastAsia"/>
              </w:rPr>
              <w:t>3</w:t>
            </w:r>
            <w:r w:rsidRPr="00CA2FC7">
              <w:t>/21 (14.3%)</w:t>
            </w:r>
          </w:p>
        </w:tc>
        <w:tc>
          <w:tcPr>
            <w:tcW w:w="2346" w:type="dxa"/>
          </w:tcPr>
          <w:p w14:paraId="2D383553" w14:textId="58E5860A" w:rsidR="008A6298" w:rsidRPr="00CA2FC7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rPr>
                <w:rFonts w:hint="eastAsia"/>
              </w:rPr>
              <w:t>1</w:t>
            </w:r>
            <w:r w:rsidRPr="00CA2FC7">
              <w:t>/1</w:t>
            </w:r>
            <w:r w:rsidR="00B03BE4">
              <w:t>2</w:t>
            </w:r>
            <w:r w:rsidRPr="00CA2FC7">
              <w:t xml:space="preserve"> (</w:t>
            </w:r>
            <w:r w:rsidR="00B03BE4">
              <w:t>8.3</w:t>
            </w:r>
            <w:r w:rsidRPr="00CA2FC7">
              <w:t>%)</w:t>
            </w:r>
          </w:p>
        </w:tc>
        <w:tc>
          <w:tcPr>
            <w:tcW w:w="1245" w:type="dxa"/>
          </w:tcPr>
          <w:p w14:paraId="6062751C" w14:textId="5FF4161A" w:rsidR="008A6298" w:rsidRDefault="00B03BE4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&gt;</w:t>
            </w:r>
            <w:r>
              <w:t>0.999</w:t>
            </w:r>
          </w:p>
        </w:tc>
      </w:tr>
      <w:tr w:rsidR="008A6298" w14:paraId="60ABCDF2" w14:textId="77777777" w:rsidTr="00A06C13">
        <w:trPr>
          <w:trHeight w:val="353"/>
        </w:trPr>
        <w:tc>
          <w:tcPr>
            <w:tcW w:w="2997" w:type="dxa"/>
          </w:tcPr>
          <w:p w14:paraId="25026C3B" w14:textId="77777777" w:rsidR="008A6298" w:rsidRDefault="008A6298" w:rsidP="00A06C13">
            <w:pPr>
              <w:tabs>
                <w:tab w:val="left" w:pos="3741"/>
              </w:tabs>
            </w:pPr>
            <w:r>
              <w:t>Anti-</w:t>
            </w:r>
            <w:proofErr w:type="spellStart"/>
            <w:r>
              <w:t>Tg</w:t>
            </w:r>
            <w:proofErr w:type="spellEnd"/>
            <w:r>
              <w:t xml:space="preserve"> positivity</w:t>
            </w:r>
          </w:p>
        </w:tc>
        <w:tc>
          <w:tcPr>
            <w:tcW w:w="2338" w:type="dxa"/>
          </w:tcPr>
          <w:p w14:paraId="68FEE75A" w14:textId="77777777" w:rsidR="008A6298" w:rsidRPr="00CA2FC7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t>3/21 (14.3%)</w:t>
            </w:r>
          </w:p>
        </w:tc>
        <w:tc>
          <w:tcPr>
            <w:tcW w:w="2346" w:type="dxa"/>
          </w:tcPr>
          <w:p w14:paraId="15FE5252" w14:textId="4EC00FD0" w:rsidR="008A6298" w:rsidRPr="00CA2FC7" w:rsidRDefault="008A6298" w:rsidP="00A06C13">
            <w:pPr>
              <w:tabs>
                <w:tab w:val="left" w:pos="3741"/>
              </w:tabs>
              <w:jc w:val="center"/>
            </w:pPr>
            <w:r w:rsidRPr="00CA2FC7">
              <w:rPr>
                <w:rFonts w:hint="eastAsia"/>
              </w:rPr>
              <w:t>0</w:t>
            </w:r>
            <w:r w:rsidRPr="00CA2FC7">
              <w:t>/1</w:t>
            </w:r>
            <w:r w:rsidR="00B03BE4">
              <w:t>2</w:t>
            </w:r>
            <w:r w:rsidRPr="00CA2FC7">
              <w:t xml:space="preserve"> (0%)</w:t>
            </w:r>
          </w:p>
        </w:tc>
        <w:tc>
          <w:tcPr>
            <w:tcW w:w="1245" w:type="dxa"/>
          </w:tcPr>
          <w:p w14:paraId="58A8D979" w14:textId="68CDA77E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B03BE4">
              <w:t>284</w:t>
            </w:r>
          </w:p>
        </w:tc>
      </w:tr>
      <w:tr w:rsidR="008A6298" w14:paraId="1F77C7E2" w14:textId="77777777" w:rsidTr="00A06C13">
        <w:trPr>
          <w:trHeight w:val="353"/>
        </w:trPr>
        <w:tc>
          <w:tcPr>
            <w:tcW w:w="7681" w:type="dxa"/>
            <w:gridSpan w:val="3"/>
          </w:tcPr>
          <w:p w14:paraId="3A08B8B2" w14:textId="77777777" w:rsidR="008A6298" w:rsidRPr="00F75B2F" w:rsidRDefault="008A6298" w:rsidP="00A06C13">
            <w:pPr>
              <w:tabs>
                <w:tab w:val="left" w:pos="3741"/>
              </w:tabs>
              <w:rPr>
                <w:b/>
                <w:bCs/>
              </w:rPr>
            </w:pPr>
            <w:r w:rsidRPr="00F75B2F">
              <w:rPr>
                <w:b/>
                <w:bCs/>
              </w:rPr>
              <w:t>Baseline COVID-19 severity</w:t>
            </w:r>
          </w:p>
        </w:tc>
        <w:tc>
          <w:tcPr>
            <w:tcW w:w="1245" w:type="dxa"/>
            <w:tcBorders>
              <w:bottom w:val="nil"/>
            </w:tcBorders>
          </w:tcPr>
          <w:p w14:paraId="7BA26132" w14:textId="6618146F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272757">
              <w:t>157</w:t>
            </w:r>
          </w:p>
        </w:tc>
      </w:tr>
      <w:tr w:rsidR="008A6298" w14:paraId="6CA8D29A" w14:textId="77777777" w:rsidTr="00A06C13">
        <w:trPr>
          <w:trHeight w:val="365"/>
        </w:trPr>
        <w:tc>
          <w:tcPr>
            <w:tcW w:w="2997" w:type="dxa"/>
          </w:tcPr>
          <w:p w14:paraId="513BE15F" w14:textId="77777777" w:rsidR="008A6298" w:rsidRDefault="008A6298" w:rsidP="00A06C13">
            <w:pPr>
              <w:tabs>
                <w:tab w:val="left" w:pos="3741"/>
              </w:tabs>
              <w:ind w:firstLineChars="71" w:firstLine="170"/>
            </w:pPr>
            <w:r>
              <w:rPr>
                <w:rFonts w:hint="eastAsia"/>
              </w:rPr>
              <w:t>M</w:t>
            </w:r>
            <w:r>
              <w:t>ild</w:t>
            </w:r>
          </w:p>
        </w:tc>
        <w:tc>
          <w:tcPr>
            <w:tcW w:w="2338" w:type="dxa"/>
          </w:tcPr>
          <w:p w14:paraId="0141E32A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22 (68.8%)</w:t>
            </w:r>
          </w:p>
        </w:tc>
        <w:tc>
          <w:tcPr>
            <w:tcW w:w="2346" w:type="dxa"/>
          </w:tcPr>
          <w:p w14:paraId="57B47A14" w14:textId="4609158F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10 (4</w:t>
            </w:r>
            <w:r w:rsidR="00272757">
              <w:t>7.6</w:t>
            </w:r>
            <w:r>
              <w:t>%)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14:paraId="41BC3778" w14:textId="77777777" w:rsidR="008A6298" w:rsidRDefault="008A6298" w:rsidP="00A06C13">
            <w:pPr>
              <w:tabs>
                <w:tab w:val="left" w:pos="3741"/>
              </w:tabs>
              <w:jc w:val="center"/>
            </w:pPr>
          </w:p>
        </w:tc>
      </w:tr>
      <w:tr w:rsidR="008A6298" w14:paraId="00101400" w14:textId="77777777" w:rsidTr="00A06C13">
        <w:trPr>
          <w:trHeight w:val="353"/>
        </w:trPr>
        <w:tc>
          <w:tcPr>
            <w:tcW w:w="2997" w:type="dxa"/>
          </w:tcPr>
          <w:p w14:paraId="23A4603F" w14:textId="77777777" w:rsidR="008A6298" w:rsidRDefault="008A6298" w:rsidP="00A06C13">
            <w:pPr>
              <w:tabs>
                <w:tab w:val="left" w:pos="3741"/>
              </w:tabs>
              <w:ind w:firstLineChars="71" w:firstLine="170"/>
            </w:pPr>
            <w:r>
              <w:t>Non-mild</w:t>
            </w:r>
          </w:p>
        </w:tc>
        <w:tc>
          <w:tcPr>
            <w:tcW w:w="2338" w:type="dxa"/>
          </w:tcPr>
          <w:p w14:paraId="740D25ED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10 (31.2%)</w:t>
            </w:r>
          </w:p>
        </w:tc>
        <w:tc>
          <w:tcPr>
            <w:tcW w:w="2346" w:type="dxa"/>
          </w:tcPr>
          <w:p w14:paraId="3774FB85" w14:textId="38C1998E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1</w:t>
            </w:r>
            <w:r w:rsidR="00272757">
              <w:t>1</w:t>
            </w:r>
            <w:r>
              <w:t xml:space="preserve"> (5</w:t>
            </w:r>
            <w:r w:rsidR="00272757">
              <w:t>2.4</w:t>
            </w:r>
            <w:r>
              <w:t>%)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14:paraId="1DE1F210" w14:textId="77777777" w:rsidR="008A6298" w:rsidRDefault="008A6298" w:rsidP="00A06C13">
            <w:pPr>
              <w:tabs>
                <w:tab w:val="left" w:pos="3741"/>
              </w:tabs>
            </w:pPr>
          </w:p>
        </w:tc>
      </w:tr>
      <w:tr w:rsidR="008A6298" w14:paraId="2A610199" w14:textId="77777777" w:rsidTr="00A06C13">
        <w:trPr>
          <w:trHeight w:val="353"/>
        </w:trPr>
        <w:tc>
          <w:tcPr>
            <w:tcW w:w="8926" w:type="dxa"/>
            <w:gridSpan w:val="4"/>
          </w:tcPr>
          <w:p w14:paraId="03DC02B8" w14:textId="77777777" w:rsidR="008A6298" w:rsidRPr="00D0539F" w:rsidRDefault="008A6298" w:rsidP="00A06C13">
            <w:pPr>
              <w:tabs>
                <w:tab w:val="left" w:pos="3741"/>
              </w:tabs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COVID-19 treatments</w:t>
            </w:r>
          </w:p>
        </w:tc>
      </w:tr>
      <w:tr w:rsidR="008A6298" w14:paraId="051A2948" w14:textId="77777777" w:rsidTr="00A06C13">
        <w:trPr>
          <w:trHeight w:val="353"/>
        </w:trPr>
        <w:tc>
          <w:tcPr>
            <w:tcW w:w="2997" w:type="dxa"/>
          </w:tcPr>
          <w:p w14:paraId="668706EA" w14:textId="77777777" w:rsidR="008A6298" w:rsidRDefault="008A6298" w:rsidP="00A06C13">
            <w:pPr>
              <w:tabs>
                <w:tab w:val="left" w:pos="3741"/>
              </w:tabs>
            </w:pPr>
            <w:proofErr w:type="spellStart"/>
            <w:r w:rsidRPr="006E135B">
              <w:rPr>
                <w:rFonts w:hint="eastAsia"/>
                <w:color w:val="000000" w:themeColor="text1"/>
              </w:rPr>
              <w:t>R</w:t>
            </w:r>
            <w:r w:rsidRPr="006E135B">
              <w:rPr>
                <w:color w:val="000000" w:themeColor="text1"/>
              </w:rPr>
              <w:t>emdesivir</w:t>
            </w:r>
            <w:proofErr w:type="spellEnd"/>
          </w:p>
        </w:tc>
        <w:tc>
          <w:tcPr>
            <w:tcW w:w="2338" w:type="dxa"/>
          </w:tcPr>
          <w:p w14:paraId="65213FCF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1</w:t>
            </w:r>
            <w:r>
              <w:t>1 (34.4%)</w:t>
            </w:r>
          </w:p>
        </w:tc>
        <w:tc>
          <w:tcPr>
            <w:tcW w:w="2346" w:type="dxa"/>
          </w:tcPr>
          <w:p w14:paraId="4799CB41" w14:textId="103559A6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1</w:t>
            </w:r>
            <w:r>
              <w:t>0 (4</w:t>
            </w:r>
            <w:r w:rsidR="00E13588">
              <w:t>7.6</w:t>
            </w:r>
            <w:r>
              <w:t>%)</w:t>
            </w:r>
          </w:p>
        </w:tc>
        <w:tc>
          <w:tcPr>
            <w:tcW w:w="1245" w:type="dxa"/>
          </w:tcPr>
          <w:p w14:paraId="72175B65" w14:textId="2252CFAB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E13588">
              <w:t>335</w:t>
            </w:r>
          </w:p>
        </w:tc>
      </w:tr>
      <w:tr w:rsidR="008A6298" w14:paraId="5BF643C4" w14:textId="77777777" w:rsidTr="00A06C13">
        <w:trPr>
          <w:trHeight w:val="353"/>
        </w:trPr>
        <w:tc>
          <w:tcPr>
            <w:tcW w:w="2997" w:type="dxa"/>
          </w:tcPr>
          <w:p w14:paraId="57AE5EBC" w14:textId="77777777" w:rsidR="008A6298" w:rsidRDefault="008A6298" w:rsidP="00A06C13">
            <w:pPr>
              <w:tabs>
                <w:tab w:val="left" w:pos="3741"/>
              </w:tabs>
            </w:pPr>
            <w:r w:rsidRPr="006E135B">
              <w:rPr>
                <w:rFonts w:hint="eastAsia"/>
                <w:color w:val="000000" w:themeColor="text1"/>
              </w:rPr>
              <w:t>I</w:t>
            </w:r>
            <w:r w:rsidRPr="006E135B">
              <w:rPr>
                <w:color w:val="000000" w:themeColor="text1"/>
              </w:rPr>
              <w:t>nterferon beta-1b</w:t>
            </w:r>
          </w:p>
        </w:tc>
        <w:tc>
          <w:tcPr>
            <w:tcW w:w="2338" w:type="dxa"/>
          </w:tcPr>
          <w:p w14:paraId="5775393F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1</w:t>
            </w:r>
            <w:r w:rsidRPr="006E135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(34.4%)</w:t>
            </w:r>
          </w:p>
        </w:tc>
        <w:tc>
          <w:tcPr>
            <w:tcW w:w="2346" w:type="dxa"/>
          </w:tcPr>
          <w:p w14:paraId="472215C1" w14:textId="77798FB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(4</w:t>
            </w:r>
            <w:r w:rsidR="00E1358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.9%)</w:t>
            </w:r>
          </w:p>
        </w:tc>
        <w:tc>
          <w:tcPr>
            <w:tcW w:w="1245" w:type="dxa"/>
          </w:tcPr>
          <w:p w14:paraId="01A96E39" w14:textId="4B544F8A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0</w:t>
            </w:r>
            <w:r w:rsidRPr="006E135B">
              <w:rPr>
                <w:color w:val="000000" w:themeColor="text1"/>
              </w:rPr>
              <w:t>.5</w:t>
            </w:r>
            <w:r w:rsidR="00E13588">
              <w:rPr>
                <w:color w:val="000000" w:themeColor="text1"/>
              </w:rPr>
              <w:t>33</w:t>
            </w:r>
          </w:p>
        </w:tc>
      </w:tr>
      <w:tr w:rsidR="008A6298" w14:paraId="01411415" w14:textId="77777777" w:rsidTr="00A06C13">
        <w:trPr>
          <w:trHeight w:val="353"/>
        </w:trPr>
        <w:tc>
          <w:tcPr>
            <w:tcW w:w="2997" w:type="dxa"/>
          </w:tcPr>
          <w:p w14:paraId="1192A5DA" w14:textId="77777777" w:rsidR="008A6298" w:rsidRDefault="008A6298" w:rsidP="00A06C13">
            <w:pPr>
              <w:tabs>
                <w:tab w:val="left" w:pos="3741"/>
              </w:tabs>
            </w:pPr>
            <w:r w:rsidRPr="006E135B">
              <w:rPr>
                <w:rFonts w:hint="eastAsia"/>
                <w:color w:val="000000" w:themeColor="text1"/>
              </w:rPr>
              <w:t>D</w:t>
            </w:r>
            <w:r w:rsidRPr="006E135B">
              <w:rPr>
                <w:color w:val="000000" w:themeColor="text1"/>
              </w:rPr>
              <w:t>examethasone</w:t>
            </w:r>
          </w:p>
        </w:tc>
        <w:tc>
          <w:tcPr>
            <w:tcW w:w="2338" w:type="dxa"/>
          </w:tcPr>
          <w:p w14:paraId="41F14D80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color w:val="000000" w:themeColor="text1"/>
              </w:rPr>
              <w:t>2 (6.3%)</w:t>
            </w:r>
          </w:p>
        </w:tc>
        <w:tc>
          <w:tcPr>
            <w:tcW w:w="2346" w:type="dxa"/>
          </w:tcPr>
          <w:p w14:paraId="6136EEE8" w14:textId="6CAAC9D3" w:rsidR="008A6298" w:rsidRDefault="00E13588" w:rsidP="00A06C13">
            <w:pPr>
              <w:tabs>
                <w:tab w:val="left" w:pos="3741"/>
              </w:tabs>
              <w:jc w:val="center"/>
            </w:pPr>
            <w:r>
              <w:rPr>
                <w:color w:val="000000" w:themeColor="text1"/>
              </w:rPr>
              <w:t>7</w:t>
            </w:r>
            <w:r w:rsidR="008A6298" w:rsidRPr="006E135B">
              <w:rPr>
                <w:color w:val="000000" w:themeColor="text1"/>
              </w:rPr>
              <w:t xml:space="preserve"> (3</w:t>
            </w:r>
            <w:r>
              <w:rPr>
                <w:color w:val="000000" w:themeColor="text1"/>
              </w:rPr>
              <w:t>3.3</w:t>
            </w:r>
            <w:r w:rsidR="008A6298" w:rsidRPr="006E135B">
              <w:rPr>
                <w:color w:val="000000" w:themeColor="text1"/>
              </w:rPr>
              <w:t>%)</w:t>
            </w:r>
          </w:p>
        </w:tc>
        <w:tc>
          <w:tcPr>
            <w:tcW w:w="1245" w:type="dxa"/>
          </w:tcPr>
          <w:p w14:paraId="13781818" w14:textId="339C0722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b/>
                <w:bCs/>
                <w:color w:val="000000" w:themeColor="text1"/>
              </w:rPr>
              <w:t>0</w:t>
            </w:r>
            <w:r w:rsidRPr="006E135B">
              <w:rPr>
                <w:b/>
                <w:bCs/>
                <w:color w:val="000000" w:themeColor="text1"/>
              </w:rPr>
              <w:t>.0</w:t>
            </w:r>
            <w:r w:rsidR="00E13588">
              <w:rPr>
                <w:b/>
                <w:bCs/>
                <w:color w:val="000000" w:themeColor="text1"/>
              </w:rPr>
              <w:t>21</w:t>
            </w:r>
          </w:p>
        </w:tc>
      </w:tr>
      <w:tr w:rsidR="008A6298" w14:paraId="2E6240BB" w14:textId="77777777" w:rsidTr="00A06C13">
        <w:trPr>
          <w:trHeight w:val="353"/>
        </w:trPr>
        <w:tc>
          <w:tcPr>
            <w:tcW w:w="2997" w:type="dxa"/>
          </w:tcPr>
          <w:p w14:paraId="38AC286B" w14:textId="77777777" w:rsidR="008A6298" w:rsidRDefault="008A6298" w:rsidP="00A06C13">
            <w:pPr>
              <w:tabs>
                <w:tab w:val="left" w:pos="3741"/>
              </w:tabs>
            </w:pPr>
            <w:r w:rsidRPr="006E135B">
              <w:rPr>
                <w:rFonts w:hint="eastAsia"/>
                <w:color w:val="000000" w:themeColor="text1"/>
              </w:rPr>
              <w:t>R</w:t>
            </w:r>
            <w:r w:rsidRPr="006E135B">
              <w:rPr>
                <w:color w:val="000000" w:themeColor="text1"/>
              </w:rPr>
              <w:t>ibavirin</w:t>
            </w:r>
          </w:p>
        </w:tc>
        <w:tc>
          <w:tcPr>
            <w:tcW w:w="2338" w:type="dxa"/>
          </w:tcPr>
          <w:p w14:paraId="3F9772F4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(9.4%)</w:t>
            </w:r>
          </w:p>
        </w:tc>
        <w:tc>
          <w:tcPr>
            <w:tcW w:w="2346" w:type="dxa"/>
          </w:tcPr>
          <w:p w14:paraId="3021D707" w14:textId="763114AA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(1</w:t>
            </w:r>
            <w:r w:rsidR="00E13588">
              <w:rPr>
                <w:color w:val="000000" w:themeColor="text1"/>
              </w:rPr>
              <w:t>9.0</w:t>
            </w:r>
            <w:r>
              <w:rPr>
                <w:color w:val="000000" w:themeColor="text1"/>
              </w:rPr>
              <w:t>%)</w:t>
            </w:r>
          </w:p>
        </w:tc>
        <w:tc>
          <w:tcPr>
            <w:tcW w:w="1245" w:type="dxa"/>
          </w:tcPr>
          <w:p w14:paraId="1D42FFF6" w14:textId="0E892EEE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0</w:t>
            </w:r>
            <w:r w:rsidRPr="006E135B">
              <w:rPr>
                <w:color w:val="000000" w:themeColor="text1"/>
              </w:rPr>
              <w:t>.4</w:t>
            </w:r>
            <w:r w:rsidR="00E13588">
              <w:rPr>
                <w:color w:val="000000" w:themeColor="text1"/>
              </w:rPr>
              <w:t>15</w:t>
            </w:r>
          </w:p>
        </w:tc>
      </w:tr>
      <w:tr w:rsidR="008A6298" w14:paraId="25DD87E2" w14:textId="77777777" w:rsidTr="00A06C13">
        <w:trPr>
          <w:trHeight w:val="353"/>
        </w:trPr>
        <w:tc>
          <w:tcPr>
            <w:tcW w:w="2997" w:type="dxa"/>
          </w:tcPr>
          <w:p w14:paraId="0A5A20E6" w14:textId="77777777" w:rsidR="008A6298" w:rsidRDefault="008A6298" w:rsidP="00A06C13">
            <w:pPr>
              <w:tabs>
                <w:tab w:val="left" w:pos="3741"/>
              </w:tabs>
            </w:pPr>
            <w:r w:rsidRPr="006E135B">
              <w:rPr>
                <w:rFonts w:hint="eastAsia"/>
                <w:color w:val="000000" w:themeColor="text1"/>
              </w:rPr>
              <w:t>C</w:t>
            </w:r>
            <w:r w:rsidRPr="006E135B">
              <w:rPr>
                <w:color w:val="000000" w:themeColor="text1"/>
              </w:rPr>
              <w:t>lofazimine</w:t>
            </w:r>
          </w:p>
        </w:tc>
        <w:tc>
          <w:tcPr>
            <w:tcW w:w="2338" w:type="dxa"/>
          </w:tcPr>
          <w:p w14:paraId="3EACDEA9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(6.3%)</w:t>
            </w:r>
          </w:p>
        </w:tc>
        <w:tc>
          <w:tcPr>
            <w:tcW w:w="2346" w:type="dxa"/>
          </w:tcPr>
          <w:p w14:paraId="08E6E1B3" w14:textId="01120DFE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(9.</w:t>
            </w:r>
            <w:r w:rsidR="00E13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%)</w:t>
            </w:r>
          </w:p>
        </w:tc>
        <w:tc>
          <w:tcPr>
            <w:tcW w:w="1245" w:type="dxa"/>
          </w:tcPr>
          <w:p w14:paraId="1C6D3D83" w14:textId="69099099" w:rsidR="008A6298" w:rsidRDefault="00E1358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&gt;</w:t>
            </w:r>
            <w:r>
              <w:t>0.999</w:t>
            </w:r>
          </w:p>
        </w:tc>
      </w:tr>
      <w:tr w:rsidR="008A6298" w14:paraId="20E0637E" w14:textId="77777777" w:rsidTr="00A06C13">
        <w:trPr>
          <w:trHeight w:val="353"/>
        </w:trPr>
        <w:tc>
          <w:tcPr>
            <w:tcW w:w="2997" w:type="dxa"/>
          </w:tcPr>
          <w:p w14:paraId="3EB2B2E8" w14:textId="77777777" w:rsidR="008A6298" w:rsidRDefault="008A6298" w:rsidP="00A06C13">
            <w:pPr>
              <w:tabs>
                <w:tab w:val="left" w:pos="3741"/>
              </w:tabs>
            </w:pPr>
            <w:r w:rsidRPr="006E135B">
              <w:rPr>
                <w:rFonts w:hint="eastAsia"/>
                <w:color w:val="000000" w:themeColor="text1"/>
              </w:rPr>
              <w:t>T</w:t>
            </w:r>
            <w:r w:rsidRPr="006E135B">
              <w:rPr>
                <w:color w:val="000000" w:themeColor="text1"/>
              </w:rPr>
              <w:t>ocilizumab</w:t>
            </w:r>
          </w:p>
        </w:tc>
        <w:tc>
          <w:tcPr>
            <w:tcW w:w="2338" w:type="dxa"/>
          </w:tcPr>
          <w:p w14:paraId="688644E5" w14:textId="77777777" w:rsidR="008A6298" w:rsidRDefault="008A6298" w:rsidP="00A06C13">
            <w:pPr>
              <w:tabs>
                <w:tab w:val="left" w:pos="3741"/>
              </w:tabs>
              <w:jc w:val="center"/>
            </w:pPr>
            <w:r w:rsidRPr="006E135B"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(0%)</w:t>
            </w:r>
          </w:p>
        </w:tc>
        <w:tc>
          <w:tcPr>
            <w:tcW w:w="2346" w:type="dxa"/>
          </w:tcPr>
          <w:p w14:paraId="020E0480" w14:textId="779B97F6" w:rsidR="008A6298" w:rsidRDefault="008A6298" w:rsidP="00A06C13">
            <w:pPr>
              <w:tabs>
                <w:tab w:val="left" w:pos="3741"/>
              </w:tabs>
              <w:jc w:val="center"/>
            </w:pPr>
            <w:r>
              <w:t>1 (4.</w:t>
            </w:r>
            <w:r w:rsidR="00E13588">
              <w:t>8</w:t>
            </w:r>
            <w:r>
              <w:t>%)</w:t>
            </w:r>
          </w:p>
        </w:tc>
        <w:tc>
          <w:tcPr>
            <w:tcW w:w="1245" w:type="dxa"/>
          </w:tcPr>
          <w:p w14:paraId="6ECF46EA" w14:textId="4313A358" w:rsidR="008A6298" w:rsidRDefault="008A6298" w:rsidP="00A06C13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E13588">
              <w:t>396</w:t>
            </w:r>
          </w:p>
        </w:tc>
      </w:tr>
    </w:tbl>
    <w:p w14:paraId="7CFAB905" w14:textId="77777777" w:rsidR="008A6298" w:rsidRDefault="008A6298" w:rsidP="008A6298">
      <w:pPr>
        <w:autoSpaceDE w:val="0"/>
        <w:autoSpaceDN w:val="0"/>
        <w:adjustRightInd w:val="0"/>
        <w:spacing w:line="276" w:lineRule="auto"/>
        <w:rPr>
          <w:rFonts w:hint="eastAsia"/>
        </w:rPr>
      </w:pPr>
    </w:p>
    <w:p w14:paraId="3998F911" w14:textId="340D48AE" w:rsidR="008A6298" w:rsidRPr="00571B3A" w:rsidRDefault="008A6298" w:rsidP="008A6298">
      <w:pPr>
        <w:autoSpaceDE w:val="0"/>
        <w:autoSpaceDN w:val="0"/>
        <w:adjustRightInd w:val="0"/>
        <w:spacing w:line="276" w:lineRule="auto"/>
      </w:pPr>
      <w:proofErr w:type="spellStart"/>
      <w:r w:rsidRPr="005E3C7C">
        <w:rPr>
          <w:vertAlign w:val="superscript"/>
        </w:rPr>
        <w:t>a</w:t>
      </w:r>
      <w:r w:rsidRPr="005E3C7C">
        <w:t>logarithmically</w:t>
      </w:r>
      <w:proofErr w:type="spellEnd"/>
      <w:r w:rsidRPr="005E3C7C">
        <w:t xml:space="preserve"> transformed before analys</w:t>
      </w:r>
      <w:r>
        <w:t xml:space="preserve">is; </w:t>
      </w:r>
      <w:r>
        <w:rPr>
          <w:vertAlign w:val="superscript"/>
        </w:rPr>
        <w:t>b</w:t>
      </w:r>
      <w:r>
        <w:t>n=</w:t>
      </w:r>
      <w:r w:rsidR="003A3402">
        <w:t>21</w:t>
      </w:r>
      <w:r>
        <w:t xml:space="preserve">; </w:t>
      </w:r>
      <w:proofErr w:type="spellStart"/>
      <w:r>
        <w:rPr>
          <w:vertAlign w:val="superscript"/>
        </w:rPr>
        <w:t>c</w:t>
      </w:r>
      <w:r>
        <w:t>n</w:t>
      </w:r>
      <w:proofErr w:type="spellEnd"/>
      <w:r>
        <w:t>=</w:t>
      </w:r>
      <w:r w:rsidR="003A3402">
        <w:t>13</w:t>
      </w:r>
    </w:p>
    <w:p w14:paraId="3C97CB95" w14:textId="77777777" w:rsidR="008A6298" w:rsidRDefault="008A6298" w:rsidP="008A6298">
      <w:pPr>
        <w:autoSpaceDE w:val="0"/>
        <w:autoSpaceDN w:val="0"/>
        <w:adjustRightInd w:val="0"/>
        <w:spacing w:line="276" w:lineRule="auto"/>
      </w:pPr>
      <w:r>
        <w:t>Abbreviations: BMI, body mass index; CRP, C-reactive protein</w:t>
      </w:r>
    </w:p>
    <w:p w14:paraId="2669D4C5" w14:textId="77777777" w:rsidR="008A6298" w:rsidRDefault="008A6298" w:rsidP="008A6298">
      <w:pPr>
        <w:autoSpaceDE w:val="0"/>
        <w:autoSpaceDN w:val="0"/>
        <w:adjustRightInd w:val="0"/>
        <w:spacing w:line="276" w:lineRule="auto"/>
        <w:sectPr w:rsidR="008A6298" w:rsidSect="00B00E7E">
          <w:footerReference w:type="default" r:id="rId4"/>
          <w:pgSz w:w="11906" w:h="16838"/>
          <w:pgMar w:top="1440" w:right="1440" w:bottom="1440" w:left="1440" w:header="851" w:footer="992" w:gutter="0"/>
          <w:lnNumType w:countBy="1" w:restart="continuous"/>
          <w:cols w:space="425"/>
          <w:docGrid w:type="lines" w:linePitch="360"/>
        </w:sectPr>
      </w:pPr>
      <w:r>
        <w:lastRenderedPageBreak/>
        <w:t>Note: continuous variables compared with t-test; categorical variables compared with Chi-square test or Fisher’s exact test as appropriate</w:t>
      </w:r>
    </w:p>
    <w:p w14:paraId="4514418A" w14:textId="77777777" w:rsidR="008A6298" w:rsidRPr="009A7746" w:rsidRDefault="008A6298" w:rsidP="008A6298"/>
    <w:p w14:paraId="3AA5397E" w14:textId="77777777" w:rsidR="008A6298" w:rsidRDefault="008A6298">
      <w:pPr>
        <w:rPr>
          <w:rFonts w:hint="eastAsia"/>
        </w:rPr>
      </w:pPr>
    </w:p>
    <w:sectPr w:rsidR="008A62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754403"/>
      <w:docPartObj>
        <w:docPartGallery w:val="Page Numbers (Bottom of Page)"/>
        <w:docPartUnique/>
      </w:docPartObj>
    </w:sdtPr>
    <w:sdtEndPr/>
    <w:sdtContent>
      <w:p w14:paraId="352318E9" w14:textId="77777777" w:rsidR="009A7746" w:rsidRDefault="00A00EED">
        <w:pPr>
          <w:pStyle w:val="a4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F00E38">
          <w:rPr>
            <w:noProof/>
            <w:lang w:val="zh-TW"/>
          </w:rPr>
          <w:t>20</w:t>
        </w:r>
        <w:r>
          <w:fldChar w:fldCharType="end"/>
        </w:r>
      </w:p>
    </w:sdtContent>
  </w:sdt>
  <w:p w14:paraId="1E7F6AF4" w14:textId="77777777" w:rsidR="009A7746" w:rsidRDefault="00A00EE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8"/>
    <w:rsid w:val="000A445E"/>
    <w:rsid w:val="00272757"/>
    <w:rsid w:val="003036AC"/>
    <w:rsid w:val="003A3402"/>
    <w:rsid w:val="00546F98"/>
    <w:rsid w:val="00670977"/>
    <w:rsid w:val="00751D6A"/>
    <w:rsid w:val="008A6298"/>
    <w:rsid w:val="00A00EED"/>
    <w:rsid w:val="00B03BE4"/>
    <w:rsid w:val="00E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58436"/>
  <w15:chartTrackingRefBased/>
  <w15:docId w15:val="{21A684DA-2CE9-C84E-8022-CBAA88A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A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A6298"/>
    <w:rPr>
      <w:sz w:val="20"/>
      <w:szCs w:val="20"/>
    </w:rPr>
  </w:style>
  <w:style w:type="character" w:styleId="a6">
    <w:name w:val="line number"/>
    <w:basedOn w:val="a0"/>
    <w:uiPriority w:val="99"/>
    <w:semiHidden/>
    <w:unhideWhenUsed/>
    <w:rsid w:val="008A6298"/>
  </w:style>
  <w:style w:type="paragraph" w:styleId="a7">
    <w:name w:val="Balloon Text"/>
    <w:basedOn w:val="a"/>
    <w:link w:val="a8"/>
    <w:uiPriority w:val="99"/>
    <w:semiHidden/>
    <w:unhideWhenUsed/>
    <w:rsid w:val="00A00EED"/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0EED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 Fung</dc:creator>
  <cp:keywords/>
  <dc:description/>
  <cp:lastModifiedBy>Matrix Fung</cp:lastModifiedBy>
  <cp:revision>12</cp:revision>
  <dcterms:created xsi:type="dcterms:W3CDTF">2023-01-20T09:11:00Z</dcterms:created>
  <dcterms:modified xsi:type="dcterms:W3CDTF">2023-01-20T23:11:00Z</dcterms:modified>
</cp:coreProperties>
</file>