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59F94" w14:textId="185873EA" w:rsidR="00D14C0A" w:rsidRDefault="002B039A" w:rsidP="00D14C0A">
      <w:pPr>
        <w:widowControl/>
      </w:pPr>
      <w:r>
        <w:rPr>
          <w:b/>
          <w:bCs/>
        </w:rPr>
        <w:t>Supplementary Table 2</w:t>
      </w:r>
      <w:r w:rsidR="00D14C0A" w:rsidRPr="00B35ABA">
        <w:rPr>
          <w:b/>
          <w:bCs/>
        </w:rPr>
        <w:t>.</w:t>
      </w:r>
      <w:r w:rsidR="00D14C0A" w:rsidRPr="00CA2FC7">
        <w:rPr>
          <w:b/>
          <w:bCs/>
        </w:rPr>
        <w:t xml:space="preserve"> </w:t>
      </w:r>
      <w:r w:rsidR="00D14C0A">
        <w:t>Multivariable logistic regression analysis of the factors in COVID-19 associated with subsequent significant increase in thyroid volume</w:t>
      </w:r>
      <w:r>
        <w:t>, excluding one patient</w:t>
      </w:r>
      <w:r w:rsidR="007465BF">
        <w:t xml:space="preserve"> </w:t>
      </w:r>
      <w:r>
        <w:t>with significant thyroid volume decrease</w:t>
      </w:r>
    </w:p>
    <w:p w14:paraId="57E7DE29" w14:textId="77777777" w:rsidR="00D14C0A" w:rsidRDefault="00D14C0A" w:rsidP="00D14C0A">
      <w:pPr>
        <w:widowControl/>
      </w:pPr>
    </w:p>
    <w:tbl>
      <w:tblPr>
        <w:tblStyle w:val="a3"/>
        <w:tblW w:w="9005" w:type="dxa"/>
        <w:tblInd w:w="-240" w:type="dxa"/>
        <w:tblLook w:val="04A0" w:firstRow="1" w:lastRow="0" w:firstColumn="1" w:lastColumn="0" w:noHBand="0" w:noVBand="1"/>
      </w:tblPr>
      <w:tblGrid>
        <w:gridCol w:w="4546"/>
        <w:gridCol w:w="3279"/>
        <w:gridCol w:w="1180"/>
      </w:tblGrid>
      <w:tr w:rsidR="00D14C0A" w:rsidRPr="00A4453A" w14:paraId="11F6674B" w14:textId="77777777" w:rsidTr="00FC44E8">
        <w:trPr>
          <w:trHeight w:val="330"/>
        </w:trPr>
        <w:tc>
          <w:tcPr>
            <w:tcW w:w="4546" w:type="dxa"/>
          </w:tcPr>
          <w:p w14:paraId="7542AC39" w14:textId="77777777" w:rsidR="00D14C0A" w:rsidRDefault="00D14C0A" w:rsidP="00FC44E8">
            <w:pPr>
              <w:tabs>
                <w:tab w:val="left" w:pos="3741"/>
              </w:tabs>
            </w:pPr>
          </w:p>
        </w:tc>
        <w:tc>
          <w:tcPr>
            <w:tcW w:w="3279" w:type="dxa"/>
          </w:tcPr>
          <w:p w14:paraId="19D6050A" w14:textId="77777777" w:rsidR="00D14C0A" w:rsidRPr="003D1F9A" w:rsidRDefault="00D14C0A" w:rsidP="00FC44E8">
            <w:pPr>
              <w:tabs>
                <w:tab w:val="left" w:pos="3741"/>
              </w:tabs>
              <w:jc w:val="center"/>
              <w:rPr>
                <w:b/>
                <w:bCs/>
              </w:rPr>
            </w:pPr>
            <w:r w:rsidRPr="003D1F9A">
              <w:rPr>
                <w:b/>
                <w:bCs/>
              </w:rPr>
              <w:t>A</w:t>
            </w:r>
            <w:r w:rsidRPr="003D1F9A">
              <w:rPr>
                <w:rFonts w:hint="eastAsia"/>
                <w:b/>
                <w:bCs/>
              </w:rPr>
              <w:t>d</w:t>
            </w:r>
            <w:r w:rsidRPr="003D1F9A">
              <w:rPr>
                <w:b/>
                <w:bCs/>
              </w:rPr>
              <w:t xml:space="preserve">justed odds ratio </w:t>
            </w:r>
            <w:r w:rsidRPr="003D1F9A">
              <w:rPr>
                <w:b/>
                <w:bCs/>
                <w:color w:val="000000" w:themeColor="text1"/>
              </w:rPr>
              <w:t>(95% CI)</w:t>
            </w:r>
          </w:p>
        </w:tc>
        <w:tc>
          <w:tcPr>
            <w:tcW w:w="1180" w:type="dxa"/>
          </w:tcPr>
          <w:p w14:paraId="428C0DB3" w14:textId="77777777" w:rsidR="00D14C0A" w:rsidRPr="003D1F9A" w:rsidRDefault="00D14C0A" w:rsidP="00FC44E8">
            <w:pPr>
              <w:tabs>
                <w:tab w:val="left" w:pos="3741"/>
              </w:tabs>
              <w:jc w:val="center"/>
              <w:rPr>
                <w:b/>
                <w:bCs/>
              </w:rPr>
            </w:pPr>
            <w:r w:rsidRPr="003D1F9A">
              <w:rPr>
                <w:b/>
                <w:bCs/>
              </w:rPr>
              <w:t xml:space="preserve">P </w:t>
            </w:r>
            <w:r w:rsidRPr="003D1F9A">
              <w:rPr>
                <w:rFonts w:hint="eastAsia"/>
                <w:b/>
                <w:bCs/>
              </w:rPr>
              <w:t>value</w:t>
            </w:r>
          </w:p>
        </w:tc>
      </w:tr>
      <w:tr w:rsidR="00D14C0A" w:rsidRPr="00DE50E3" w14:paraId="6629C6F3" w14:textId="77777777" w:rsidTr="00FC44E8">
        <w:trPr>
          <w:trHeight w:val="330"/>
        </w:trPr>
        <w:tc>
          <w:tcPr>
            <w:tcW w:w="4546" w:type="dxa"/>
          </w:tcPr>
          <w:p w14:paraId="34E564DD" w14:textId="77777777" w:rsidR="00D14C0A" w:rsidRPr="00A4453A" w:rsidRDefault="00D14C0A" w:rsidP="00FC44E8">
            <w:pPr>
              <w:tabs>
                <w:tab w:val="left" w:pos="3741"/>
              </w:tabs>
              <w:rPr>
                <w:vertAlign w:val="superscript"/>
              </w:rPr>
            </w:pPr>
            <w:r>
              <w:t>SARS-CoV-2 viral load in acute COVID-19</w:t>
            </w:r>
            <w:r>
              <w:rPr>
                <w:vertAlign w:val="superscript"/>
              </w:rPr>
              <w:t>a,b</w:t>
            </w:r>
          </w:p>
        </w:tc>
        <w:tc>
          <w:tcPr>
            <w:tcW w:w="3279" w:type="dxa"/>
          </w:tcPr>
          <w:p w14:paraId="5F5B4A19" w14:textId="48B7C058" w:rsidR="00D14C0A" w:rsidRPr="00F178DC" w:rsidRDefault="00D14C0A" w:rsidP="00FC44E8">
            <w:pPr>
              <w:tabs>
                <w:tab w:val="left" w:pos="3741"/>
              </w:tabs>
              <w:jc w:val="center"/>
            </w:pPr>
            <w:r>
              <w:t>1</w:t>
            </w:r>
            <w:r w:rsidR="002B039A">
              <w:t>6</w:t>
            </w:r>
            <w:r>
              <w:t>.</w:t>
            </w:r>
            <w:r w:rsidR="002B039A">
              <w:t>749</w:t>
            </w:r>
            <w:r>
              <w:t xml:space="preserve"> (1.</w:t>
            </w:r>
            <w:r w:rsidR="002B039A">
              <w:t>431</w:t>
            </w:r>
            <w:r>
              <w:t xml:space="preserve"> – </w:t>
            </w:r>
            <w:r w:rsidR="002B039A">
              <w:t>195.976</w:t>
            </w:r>
            <w:r>
              <w:t>)</w:t>
            </w:r>
          </w:p>
        </w:tc>
        <w:tc>
          <w:tcPr>
            <w:tcW w:w="1180" w:type="dxa"/>
          </w:tcPr>
          <w:p w14:paraId="4C369CCA" w14:textId="53C8CB49" w:rsidR="00D14C0A" w:rsidRDefault="00D14C0A" w:rsidP="00FC44E8">
            <w:pPr>
              <w:tabs>
                <w:tab w:val="left" w:pos="3741"/>
              </w:tabs>
              <w:jc w:val="center"/>
            </w:pPr>
            <w:r w:rsidRPr="00DE50E3">
              <w:rPr>
                <w:rFonts w:hint="eastAsia"/>
                <w:b/>
                <w:bCs/>
              </w:rPr>
              <w:t>0</w:t>
            </w:r>
            <w:r w:rsidRPr="00DE50E3">
              <w:rPr>
                <w:b/>
                <w:bCs/>
              </w:rPr>
              <w:t>.</w:t>
            </w:r>
            <w:r>
              <w:rPr>
                <w:b/>
                <w:bCs/>
              </w:rPr>
              <w:t>02</w:t>
            </w:r>
            <w:r w:rsidR="002B039A">
              <w:rPr>
                <w:b/>
                <w:bCs/>
              </w:rPr>
              <w:t>5</w:t>
            </w:r>
          </w:p>
        </w:tc>
      </w:tr>
      <w:tr w:rsidR="00D14C0A" w:rsidRPr="00DE50E3" w14:paraId="3B073333" w14:textId="77777777" w:rsidTr="00FC44E8">
        <w:trPr>
          <w:trHeight w:val="330"/>
        </w:trPr>
        <w:tc>
          <w:tcPr>
            <w:tcW w:w="4546" w:type="dxa"/>
          </w:tcPr>
          <w:p w14:paraId="6BC242C0" w14:textId="77777777" w:rsidR="00D14C0A" w:rsidDel="00391AA7" w:rsidRDefault="00D14C0A" w:rsidP="00FC44E8">
            <w:pPr>
              <w:tabs>
                <w:tab w:val="left" w:pos="3741"/>
              </w:tabs>
            </w:pPr>
            <w:r>
              <w:rPr>
                <w:rFonts w:hint="eastAsia"/>
              </w:rPr>
              <w:t>B</w:t>
            </w:r>
            <w:r>
              <w:t>aseline CRP in acute COVID-19 (mg/dL)</w:t>
            </w:r>
            <w:r>
              <w:rPr>
                <w:vertAlign w:val="superscript"/>
              </w:rPr>
              <w:t>a</w:t>
            </w:r>
          </w:p>
        </w:tc>
        <w:tc>
          <w:tcPr>
            <w:tcW w:w="3279" w:type="dxa"/>
          </w:tcPr>
          <w:p w14:paraId="16879DDD" w14:textId="16A78C04" w:rsidR="00D14C0A" w:rsidRDefault="00D14C0A" w:rsidP="00FC44E8">
            <w:pPr>
              <w:tabs>
                <w:tab w:val="left" w:pos="3741"/>
              </w:tabs>
              <w:jc w:val="center"/>
            </w:pPr>
            <w:r>
              <w:rPr>
                <w:rFonts w:hint="eastAsia"/>
              </w:rPr>
              <w:t>0</w:t>
            </w:r>
            <w:r>
              <w:t>.7</w:t>
            </w:r>
            <w:r w:rsidR="002B039A">
              <w:t>69</w:t>
            </w:r>
            <w:r>
              <w:t xml:space="preserve"> (0.4</w:t>
            </w:r>
            <w:r w:rsidR="002B039A">
              <w:t>17</w:t>
            </w:r>
            <w:r>
              <w:t xml:space="preserve"> – 1.4</w:t>
            </w:r>
            <w:r w:rsidR="002B039A">
              <w:t>19</w:t>
            </w:r>
            <w:r>
              <w:t>)</w:t>
            </w:r>
          </w:p>
        </w:tc>
        <w:tc>
          <w:tcPr>
            <w:tcW w:w="1180" w:type="dxa"/>
          </w:tcPr>
          <w:p w14:paraId="6BBFE027" w14:textId="12DA3176" w:rsidR="00D14C0A" w:rsidRPr="00CA2FC7" w:rsidRDefault="00D14C0A" w:rsidP="00FC44E8">
            <w:pPr>
              <w:tabs>
                <w:tab w:val="left" w:pos="3741"/>
              </w:tabs>
              <w:jc w:val="center"/>
            </w:pPr>
            <w:r w:rsidRPr="00CA2FC7">
              <w:t>0.4</w:t>
            </w:r>
            <w:r w:rsidR="002B039A">
              <w:t>01</w:t>
            </w:r>
          </w:p>
        </w:tc>
      </w:tr>
      <w:tr w:rsidR="00D14C0A" w14:paraId="19862134" w14:textId="77777777" w:rsidTr="00FC44E8">
        <w:trPr>
          <w:trHeight w:val="330"/>
        </w:trPr>
        <w:tc>
          <w:tcPr>
            <w:tcW w:w="4546" w:type="dxa"/>
          </w:tcPr>
          <w:p w14:paraId="1E440F42" w14:textId="77777777" w:rsidR="00D14C0A" w:rsidRDefault="00D14C0A" w:rsidP="00FC44E8">
            <w:pPr>
              <w:tabs>
                <w:tab w:val="left" w:pos="3741"/>
              </w:tabs>
            </w:pPr>
            <w:r>
              <w:t>Dexamethasone treatment in acute COVID-19</w:t>
            </w:r>
          </w:p>
        </w:tc>
        <w:tc>
          <w:tcPr>
            <w:tcW w:w="3279" w:type="dxa"/>
          </w:tcPr>
          <w:p w14:paraId="340A27C0" w14:textId="01ADC30F" w:rsidR="00D14C0A" w:rsidRDefault="00D14C0A" w:rsidP="00FC44E8">
            <w:pPr>
              <w:tabs>
                <w:tab w:val="left" w:pos="3741"/>
              </w:tabs>
              <w:jc w:val="center"/>
            </w:pPr>
            <w:r>
              <w:t>0.</w:t>
            </w:r>
            <w:r w:rsidR="002B039A">
              <w:t>208</w:t>
            </w:r>
            <w:r>
              <w:t xml:space="preserve"> (0.</w:t>
            </w:r>
            <w:r w:rsidR="002B039A">
              <w:t>026</w:t>
            </w:r>
            <w:r>
              <w:t xml:space="preserve"> – 1.</w:t>
            </w:r>
            <w:r w:rsidR="002B039A">
              <w:t>694</w:t>
            </w:r>
            <w:r>
              <w:t>)</w:t>
            </w:r>
          </w:p>
        </w:tc>
        <w:tc>
          <w:tcPr>
            <w:tcW w:w="1180" w:type="dxa"/>
          </w:tcPr>
          <w:p w14:paraId="04A3C340" w14:textId="7ABE756C" w:rsidR="00D14C0A" w:rsidRDefault="00D14C0A" w:rsidP="00FC44E8">
            <w:pPr>
              <w:tabs>
                <w:tab w:val="left" w:pos="3741"/>
              </w:tabs>
              <w:jc w:val="center"/>
            </w:pPr>
            <w:r>
              <w:rPr>
                <w:rFonts w:hint="eastAsia"/>
              </w:rPr>
              <w:t>0</w:t>
            </w:r>
            <w:r>
              <w:t>.</w:t>
            </w:r>
            <w:r w:rsidR="002B039A">
              <w:t>142</w:t>
            </w:r>
          </w:p>
        </w:tc>
      </w:tr>
    </w:tbl>
    <w:p w14:paraId="49B48F26" w14:textId="179AB07F" w:rsidR="00D14C0A" w:rsidRPr="0023378D" w:rsidRDefault="00D14C0A" w:rsidP="00D14C0A">
      <w:pPr>
        <w:tabs>
          <w:tab w:val="left" w:pos="614"/>
        </w:tabs>
      </w:pPr>
      <w:r>
        <w:t>Note: p=0.</w:t>
      </w:r>
      <w:r w:rsidR="00291031">
        <w:t>405</w:t>
      </w:r>
      <w:r>
        <w:t xml:space="preserve"> in Hosmer and </w:t>
      </w:r>
      <w:proofErr w:type="spellStart"/>
      <w:r>
        <w:t>Lemeshow</w:t>
      </w:r>
      <w:proofErr w:type="spellEnd"/>
      <w:r>
        <w:t xml:space="preserve"> test</w:t>
      </w:r>
    </w:p>
    <w:p w14:paraId="2EE474AE" w14:textId="77777777" w:rsidR="00D14C0A" w:rsidRDefault="00D14C0A" w:rsidP="00D14C0A">
      <w:pPr>
        <w:tabs>
          <w:tab w:val="left" w:pos="614"/>
        </w:tabs>
      </w:pPr>
      <w:proofErr w:type="spellStart"/>
      <w:r w:rsidRPr="005E3C7C">
        <w:rPr>
          <w:vertAlign w:val="superscript"/>
        </w:rPr>
        <w:t>a</w:t>
      </w:r>
      <w:r w:rsidRPr="005E3C7C">
        <w:t>logarithmically</w:t>
      </w:r>
      <w:proofErr w:type="spellEnd"/>
      <w:r w:rsidRPr="005E3C7C">
        <w:t xml:space="preserve"> transformed before analys</w:t>
      </w:r>
      <w:r>
        <w:t>is</w:t>
      </w:r>
    </w:p>
    <w:p w14:paraId="0D5D02D1" w14:textId="77777777" w:rsidR="00D14C0A" w:rsidRDefault="00D14C0A" w:rsidP="00D14C0A">
      <w:pPr>
        <w:tabs>
          <w:tab w:val="left" w:pos="614"/>
        </w:tabs>
      </w:pPr>
      <w:r>
        <w:rPr>
          <w:color w:val="000000" w:themeColor="text1"/>
          <w:kern w:val="0"/>
          <w:vertAlign w:val="superscript"/>
          <w:lang w:eastAsia="zh-HK"/>
        </w:rPr>
        <w:t>b</w:t>
      </w:r>
      <w:r w:rsidRPr="006658E3">
        <w:rPr>
          <w:color w:val="000000" w:themeColor="text1"/>
          <w:kern w:val="0"/>
          <w:lang w:eastAsia="zh-HK"/>
        </w:rPr>
        <w:t xml:space="preserve">SARS-CoV-2 viral loads were presented as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lang w:eastAsia="zh-HK"/>
              </w:rPr>
            </m:ctrlPr>
          </m:fPr>
          <m:num>
            <m:r>
              <w:rPr>
                <w:rFonts w:ascii="Cambria Math" w:hAnsi="Cambria Math" w:cstheme="minorHAnsi"/>
                <w:kern w:val="0"/>
                <w:lang w:eastAsia="zh-HK"/>
              </w:rPr>
              <m:t>1</m:t>
            </m:r>
          </m:num>
          <m:den>
            <m:r>
              <w:rPr>
                <w:rFonts w:ascii="Cambria Math" w:hAnsi="Cambria Math" w:cstheme="minorHAnsi"/>
                <w:kern w:val="0"/>
                <w:lang w:eastAsia="zh-HK"/>
              </w:rPr>
              <m:t>SARS-CoV-2 PCR Ct value</m:t>
            </m:r>
          </m:den>
        </m:f>
      </m:oMath>
      <w:r w:rsidRPr="00DD77B9">
        <w:rPr>
          <w:kern w:val="0"/>
          <w:lang w:eastAsia="zh-HK"/>
        </w:rPr>
        <w:t xml:space="preserve"> </w:t>
      </w:r>
    </w:p>
    <w:p w14:paraId="4441C9F7" w14:textId="77777777" w:rsidR="00D14C0A" w:rsidRPr="009C07BE" w:rsidRDefault="00D14C0A" w:rsidP="00D14C0A">
      <w:r>
        <w:rPr>
          <w:rFonts w:hint="eastAsia"/>
        </w:rPr>
        <w:t>A</w:t>
      </w:r>
      <w:r>
        <w:t>bbreviation: CRP, C-reactive protein</w:t>
      </w:r>
    </w:p>
    <w:p w14:paraId="05643255" w14:textId="77777777" w:rsidR="00D14C0A" w:rsidRPr="00843849" w:rsidRDefault="00D14C0A" w:rsidP="00D14C0A">
      <w:pPr>
        <w:sectPr w:rsidR="00D14C0A" w:rsidRPr="00843849" w:rsidSect="00843849">
          <w:pgSz w:w="11906" w:h="16838"/>
          <w:pgMar w:top="1440" w:right="1440" w:bottom="1440" w:left="1440" w:header="851" w:footer="992" w:gutter="0"/>
          <w:lnNumType w:countBy="1" w:restart="continuous"/>
          <w:cols w:space="425"/>
          <w:docGrid w:type="linesAndChars" w:linePitch="360"/>
        </w:sectPr>
      </w:pPr>
    </w:p>
    <w:p w14:paraId="6FEB9D33" w14:textId="77777777" w:rsidR="00D14C0A" w:rsidRDefault="00D14C0A"/>
    <w:sectPr w:rsidR="00D14C0A" w:rsidSect="00D14C0A">
      <w:pgSz w:w="12240" w:h="15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doNotDisplayPageBoundaries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0A"/>
    <w:rsid w:val="00291031"/>
    <w:rsid w:val="002B039A"/>
    <w:rsid w:val="007465BF"/>
    <w:rsid w:val="00821B24"/>
    <w:rsid w:val="0086373F"/>
    <w:rsid w:val="009C0C97"/>
    <w:rsid w:val="00D1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1EA52A"/>
  <w15:chartTrackingRefBased/>
  <w15:docId w15:val="{E9376595-8737-A548-97C9-7938A90D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C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C0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D14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 Fung</dc:creator>
  <cp:keywords/>
  <dc:description/>
  <cp:lastModifiedBy>Matrix Fung</cp:lastModifiedBy>
  <cp:revision>6</cp:revision>
  <dcterms:created xsi:type="dcterms:W3CDTF">2023-01-20T22:49:00Z</dcterms:created>
  <dcterms:modified xsi:type="dcterms:W3CDTF">2023-01-23T16:51:00Z</dcterms:modified>
</cp:coreProperties>
</file>