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152"/>
        <w:gridCol w:w="1441"/>
        <w:gridCol w:w="1728"/>
        <w:gridCol w:w="1008"/>
        <w:gridCol w:w="1262"/>
        <w:gridCol w:w="1121"/>
        <w:gridCol w:w="1121"/>
        <w:gridCol w:w="1121"/>
      </w:tblGrid>
      <w:tr>
        <w:trPr>
          <w:cantSplit/>
          <w:trHeight w:val="577" w:hRule="auto"/>
          <w:tblHeader/>
        </w:trPr>
        <w:tc>
          <w:tcPr>
            <w:tcBorders>
              <w:bottom w:val="single" w:sz="6" w:space="0" w:color="000000"/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ONTOLOGY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ID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Description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GeneRatio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BgRatio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pvalue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p.adjust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qvalue</w:t>
            </w:r>
          </w:p>
        </w:tc>
      </w:tr>
      <w:tr>
        <w:trPr>
          <w:cantSplit/>
          <w:trHeight w:val="57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BP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GO:0042119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neutrophil activation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79/460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498/18670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2.81e-41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1.25e-37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9.10e-38</w:t>
            </w:r>
          </w:p>
        </w:tc>
      </w:tr>
      <w:tr>
        <w:trPr>
          <w:cantSplit/>
          <w:trHeight w:val="57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BP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GO:0002283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neutrophil activation involved in immune response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78/460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488/18670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5.44e-41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1.25e-37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9.10e-38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BP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GO:0043312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neutrophil degranulation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77/460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485/18670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3.06e-40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4.69e-37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3.41e-37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BP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GO:0002446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neutrophil mediated immunity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77/460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499/18670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2.46e-39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2.84e-36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2.06e-36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BP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GO:0032496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response to lipopolysaccharide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51/460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330/18670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3.79e-26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3.50e-23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2.54e-23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CC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GO:0070820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tertiary granule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38/476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164/19717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1.33e-26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5.58e-24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4.91e-24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CC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GO:0030667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secretory granule membrane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42/476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298/19717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2.02e-20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4.24e-18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3.74e-18</w:t>
            </w:r>
          </w:p>
        </w:tc>
      </w:tr>
      <w:tr>
        <w:trPr>
          <w:cantSplit/>
          <w:trHeight w:val="58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CC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GO:0042581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specific granule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31/476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160/19717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1.83e-19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2.56e-17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2.26e-17</w:t>
            </w:r>
          </w:p>
        </w:tc>
      </w:tr>
      <w:tr>
        <w:trPr>
          <w:cantSplit/>
          <w:trHeight w:val="58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CC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GO:0101002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ficolin-1-rich granule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32/476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185/19717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1.65e-18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1.73e-16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1.53e-16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CC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GO:0070821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tertiary granule membrane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20/476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73/19717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4.02e-16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3.38e-14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2.98e-14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MF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GO:0038187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pattern recognition receptor activity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9/464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21/17697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1.20e-09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8.06e-07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7.08e-07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MF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GO:0019865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immunoglobulin binding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9/464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24/17697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5.00e-09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1.67e-06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1.47e-06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MF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GO:0008329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signaling pattern recognition receptor activity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8/464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20/17697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2.01e-08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4.48e-06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3.93e-06</w:t>
            </w:r>
          </w:p>
        </w:tc>
      </w:tr>
      <w:tr>
        <w:trPr>
          <w:cantSplit/>
          <w:trHeight w:val="58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MF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GO:0019864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IgG binding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6/464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11/17697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1.30e-07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2.17e-05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1.91e-05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MF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GO:0005125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cytokine activity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21/464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220/17697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3.63e-07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4.85e-05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4.26e-05</w:t>
            </w:r>
          </w:p>
        </w:tc>
      </w:tr>
      <w:tr>
        <w:trPr>
          <w:cantSplit/>
          <w:trHeight w:val="54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KEGG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hsa04380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Osteoclast differentiation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27/254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128/8076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1.56e-15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4.03e-13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3.14e-13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KEGG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hsa04064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NF-kappa B signaling pathway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20/254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104/8076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5.13e-11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6.62e-09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5.16e-09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KEGG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hsa04668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TNF signaling pathway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20/254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112/8076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2.09e-10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1.80e-08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1.40e-08</w:t>
            </w:r>
          </w:p>
        </w:tc>
      </w:tr>
      <w:tr>
        <w:trPr>
          <w:cantSplit/>
          <w:trHeight w:val="54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KEGG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hsa05140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Leishmaniasis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16/254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77/8076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1.41e-09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9.07e-08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7.07e-08</w:t>
            </w:r>
          </w:p>
        </w:tc>
      </w:tr>
      <w:tr>
        <w:trPr>
          <w:cantSplit/>
          <w:trHeight w:val="578" w:hRule="auto"/>
        </w:trPr>
        <w:tc>
          <w:tcPr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KEGG</w:t>
            </w:r>
          </w:p>
        </w:tc>
        <w:tc>
          <w:tcPr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hsa04657</w:t>
            </w:r>
          </w:p>
        </w:tc>
        <w:tc>
          <w:tcPr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IL-17 signaling pathway</w:t>
            </w:r>
          </w:p>
        </w:tc>
        <w:tc>
          <w:tcPr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17/254</w:t>
            </w:r>
          </w:p>
        </w:tc>
        <w:tc>
          <w:tcPr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94/8076</w:t>
            </w:r>
          </w:p>
        </w:tc>
        <w:tc>
          <w:tcPr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4.07e-09</w:t>
            </w:r>
          </w:p>
        </w:tc>
        <w:tc>
          <w:tcPr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2.10e-07</w:t>
            </w:r>
          </w:p>
        </w:tc>
        <w:tc>
          <w:tcPr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DejaVu Sans" w:eastAsia="DejaVu Sans" w:cs="DejaVu Sans"/>
                <w:sz w:val="18"/>
                <w:szCs w:val="18"/>
                <w:color w:val="000000"/>
              </w:rPr>
              <w:t xml:space="preserve">1.64e-07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2022-03-25T09:49:35Z</dcterms:modified>
  <cp:category/>
</cp:coreProperties>
</file>