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AF" w:rsidRDefault="002D67C9" w:rsidP="002D67C9">
      <w:pPr>
        <w:ind w:left="-720"/>
      </w:pPr>
      <w:bookmarkStart w:id="0" w:name="__DdeLink__12506_35876064"/>
      <w:r>
        <w:rPr>
          <w:rFonts w:ascii="Times New Roman" w:eastAsia="Times New Roman" w:hAnsi="Times New Roman"/>
          <w:b/>
          <w:lang w:eastAsia="es-CO"/>
        </w:rPr>
        <w:t>Table S</w:t>
      </w:r>
      <w:r w:rsidR="002C4489">
        <w:rPr>
          <w:rFonts w:ascii="Times New Roman" w:eastAsia="Times New Roman" w:hAnsi="Times New Roman"/>
          <w:b/>
          <w:lang w:eastAsia="es-CO"/>
        </w:rPr>
        <w:t>3</w:t>
      </w:r>
      <w:r>
        <w:rPr>
          <w:rFonts w:ascii="Times New Roman" w:eastAsia="Times New Roman" w:hAnsi="Times New Roman"/>
          <w:b/>
          <w:lang w:eastAsia="es-CO"/>
        </w:rPr>
        <w:t>.</w:t>
      </w:r>
      <w:r>
        <w:rPr>
          <w:rFonts w:ascii="Times New Roman" w:eastAsia="Times New Roman" w:hAnsi="Times New Roman"/>
          <w:lang w:eastAsia="es-CO"/>
        </w:rPr>
        <w:t xml:space="preserve"> </w:t>
      </w:r>
      <w:bookmarkStart w:id="1" w:name="_Hlk121777876"/>
      <w:r>
        <w:rPr>
          <w:rFonts w:ascii="Times New Roman" w:eastAsia="Times New Roman" w:hAnsi="Times New Roman"/>
          <w:lang w:eastAsia="es-CO"/>
        </w:rPr>
        <w:t xml:space="preserve">Pairwise </w:t>
      </w:r>
      <w:r>
        <w:rPr>
          <w:rFonts w:ascii="Times New Roman" w:eastAsia="Times New Roman" w:hAnsi="Times New Roman"/>
          <w:i/>
          <w:iCs/>
          <w:lang w:eastAsia="es-CO"/>
        </w:rPr>
        <w:t>F</w:t>
      </w:r>
      <w:r>
        <w:rPr>
          <w:rFonts w:ascii="Times New Roman" w:eastAsia="Times New Roman" w:hAnsi="Times New Roman"/>
          <w:i/>
          <w:iCs/>
          <w:vertAlign w:val="subscript"/>
          <w:lang w:eastAsia="es-CO"/>
        </w:rPr>
        <w:t>ST</w:t>
      </w:r>
      <w:r>
        <w:rPr>
          <w:rFonts w:ascii="Times New Roman" w:eastAsia="Times New Roman" w:hAnsi="Times New Roman"/>
          <w:lang w:eastAsia="es-CO"/>
        </w:rPr>
        <w:t xml:space="preserve"> values using eight microsatellites loci among Orinoco and Negro basin populations.</w:t>
      </w:r>
      <w:r w:rsidR="0092427B">
        <w:rPr>
          <w:rFonts w:ascii="Times New Roman" w:eastAsia="Times New Roman" w:hAnsi="Times New Roman"/>
          <w:lang w:eastAsia="es-CO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/>
          <w:lang w:eastAsia="es-CO"/>
        </w:rPr>
        <w:t>Significantly different values (P &lt; 0.05) are shown in bold</w:t>
      </w:r>
      <w:r>
        <w:rPr>
          <w:rFonts w:ascii="Times New Roman" w:eastAsia="Times New Roman" w:hAnsi="Times New Roman"/>
          <w:lang w:val="es-CO" w:eastAsia="es-CO"/>
        </w:rPr>
        <w:t xml:space="preserve">. </w:t>
      </w:r>
      <w:bookmarkEnd w:id="0"/>
      <w:r>
        <w:rPr>
          <w:rFonts w:ascii="Times New Roman" w:hAnsi="Times New Roman"/>
          <w:lang w:val="es-CO"/>
        </w:rPr>
        <w:t xml:space="preserve">CAR: Puerto Carreño; GV: San José del Guaviare; IN: Puerto </w:t>
      </w:r>
      <w:proofErr w:type="spellStart"/>
      <w:r>
        <w:rPr>
          <w:rFonts w:ascii="Times New Roman" w:hAnsi="Times New Roman"/>
          <w:lang w:val="es-CO"/>
        </w:rPr>
        <w:t>Inirida</w:t>
      </w:r>
      <w:proofErr w:type="spellEnd"/>
      <w:r>
        <w:rPr>
          <w:rFonts w:ascii="Times New Roman" w:hAnsi="Times New Roman"/>
          <w:lang w:val="es-CO"/>
        </w:rPr>
        <w:t xml:space="preserve">; PG: Puerto </w:t>
      </w:r>
      <w:proofErr w:type="spellStart"/>
      <w:r>
        <w:rPr>
          <w:rFonts w:ascii="Times New Roman" w:hAnsi="Times New Roman"/>
          <w:lang w:val="es-CO"/>
        </w:rPr>
        <w:t>Gaitan</w:t>
      </w:r>
      <w:proofErr w:type="spellEnd"/>
      <w:r>
        <w:rPr>
          <w:rFonts w:ascii="Times New Roman" w:hAnsi="Times New Roman"/>
          <w:lang w:val="es-CO"/>
        </w:rPr>
        <w:t xml:space="preserve">; CUC: </w:t>
      </w:r>
      <w:proofErr w:type="spellStart"/>
      <w:r>
        <w:rPr>
          <w:rFonts w:ascii="Times New Roman" w:hAnsi="Times New Roman"/>
          <w:lang w:val="es-CO"/>
        </w:rPr>
        <w:t>Cucui</w:t>
      </w:r>
      <w:proofErr w:type="spellEnd"/>
      <w:r>
        <w:rPr>
          <w:rFonts w:ascii="Times New Roman" w:hAnsi="Times New Roman"/>
          <w:lang w:val="es-CO"/>
        </w:rPr>
        <w:t xml:space="preserve">; SGC: Sao Gabriel da </w:t>
      </w:r>
      <w:proofErr w:type="spellStart"/>
      <w:r>
        <w:rPr>
          <w:rFonts w:ascii="Times New Roman" w:hAnsi="Times New Roman"/>
          <w:lang w:val="es-CO"/>
        </w:rPr>
        <w:t>Cachoeira</w:t>
      </w:r>
      <w:proofErr w:type="spellEnd"/>
      <w:r>
        <w:rPr>
          <w:rFonts w:ascii="Times New Roman" w:hAnsi="Times New Roman"/>
          <w:lang w:val="es-CO"/>
        </w:rPr>
        <w:t xml:space="preserve">; SI: Santa Isabel; BAR: </w:t>
      </w:r>
      <w:proofErr w:type="spellStart"/>
      <w:r>
        <w:rPr>
          <w:rFonts w:ascii="Times New Roman" w:hAnsi="Times New Roman"/>
          <w:lang w:val="es-CO"/>
        </w:rPr>
        <w:t>Barcelos</w:t>
      </w:r>
      <w:proofErr w:type="spellEnd"/>
      <w:r>
        <w:rPr>
          <w:rFonts w:ascii="Times New Roman" w:hAnsi="Times New Roman"/>
          <w:lang w:val="es-CO"/>
        </w:rPr>
        <w:t>.</w:t>
      </w:r>
      <w:bookmarkEnd w:id="1"/>
    </w:p>
    <w:p w:rsidR="002377AF" w:rsidRDefault="002377AF">
      <w:pPr>
        <w:rPr>
          <w:rFonts w:ascii="Times New Roman" w:hAnsi="Times New Roman"/>
          <w:lang w:val="es-CO"/>
        </w:rPr>
      </w:pPr>
    </w:p>
    <w:tbl>
      <w:tblPr>
        <w:tblW w:w="9990" w:type="dxa"/>
        <w:tblInd w:w="-649" w:type="dxa"/>
        <w:tblBorders>
          <w:top w:val="single" w:sz="8" w:space="0" w:color="00000A"/>
          <w:bottom w:val="single" w:sz="8" w:space="0" w:color="00000A"/>
          <w:insideH w:val="single" w:sz="8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150"/>
        <w:gridCol w:w="1048"/>
        <w:gridCol w:w="1081"/>
        <w:gridCol w:w="1028"/>
        <w:gridCol w:w="1028"/>
        <w:gridCol w:w="1096"/>
        <w:gridCol w:w="1091"/>
        <w:gridCol w:w="991"/>
      </w:tblGrid>
      <w:tr w:rsidR="002377AF">
        <w:trPr>
          <w:trHeight w:val="300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377AF">
            <w:pPr>
              <w:jc w:val="right"/>
              <w:rPr>
                <w:rFonts w:ascii="Times New Roman" w:eastAsia="Times New Roman" w:hAnsi="Times New Roman"/>
                <w:i/>
                <w:iCs/>
                <w:sz w:val="22"/>
                <w:vertAlign w:val="subscript"/>
                <w:lang w:val="es-CO" w:eastAsia="es-CO"/>
              </w:rPr>
            </w:pPr>
          </w:p>
        </w:tc>
        <w:tc>
          <w:tcPr>
            <w:tcW w:w="115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GV</w:t>
            </w:r>
          </w:p>
        </w:tc>
        <w:tc>
          <w:tcPr>
            <w:tcW w:w="1048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CAR</w:t>
            </w:r>
          </w:p>
        </w:tc>
        <w:tc>
          <w:tcPr>
            <w:tcW w:w="108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PG</w:t>
            </w:r>
          </w:p>
        </w:tc>
        <w:tc>
          <w:tcPr>
            <w:tcW w:w="1028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IN</w:t>
            </w:r>
          </w:p>
        </w:tc>
        <w:tc>
          <w:tcPr>
            <w:tcW w:w="1028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CUC</w:t>
            </w:r>
          </w:p>
        </w:tc>
        <w:tc>
          <w:tcPr>
            <w:tcW w:w="1096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BAR</w:t>
            </w:r>
          </w:p>
        </w:tc>
        <w:tc>
          <w:tcPr>
            <w:tcW w:w="109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SI</w:t>
            </w:r>
          </w:p>
        </w:tc>
        <w:tc>
          <w:tcPr>
            <w:tcW w:w="99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SGC</w:t>
            </w:r>
          </w:p>
        </w:tc>
      </w:tr>
      <w:tr w:rsidR="002377AF">
        <w:trPr>
          <w:trHeight w:val="315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iCs/>
                <w:sz w:val="22"/>
                <w:lang w:eastAsia="es-CO"/>
              </w:rPr>
              <w:t>F</w:t>
            </w:r>
            <w:r>
              <w:rPr>
                <w:rFonts w:ascii="Times New Roman" w:eastAsia="Times New Roman" w:hAnsi="Times New Roman"/>
                <w:i/>
                <w:iCs/>
                <w:sz w:val="22"/>
                <w:vertAlign w:val="subscript"/>
                <w:lang w:eastAsia="es-CO"/>
              </w:rPr>
              <w:t>ST</w:t>
            </w:r>
          </w:p>
        </w:tc>
        <w:tc>
          <w:tcPr>
            <w:tcW w:w="115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28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28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GV</w:t>
            </w:r>
          </w:p>
        </w:tc>
        <w:tc>
          <w:tcPr>
            <w:tcW w:w="115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u w:val="single"/>
                <w:lang w:eastAsia="es-CO"/>
              </w:rPr>
            </w:pPr>
          </w:p>
        </w:tc>
        <w:tc>
          <w:tcPr>
            <w:tcW w:w="10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  <w:tc>
          <w:tcPr>
            <w:tcW w:w="10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9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CAR</w:t>
            </w:r>
          </w:p>
        </w:tc>
        <w:tc>
          <w:tcPr>
            <w:tcW w:w="115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 xml:space="preserve">0.24256 </w:t>
            </w:r>
          </w:p>
        </w:tc>
        <w:tc>
          <w:tcPr>
            <w:tcW w:w="10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9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PG</w:t>
            </w:r>
          </w:p>
        </w:tc>
        <w:tc>
          <w:tcPr>
            <w:tcW w:w="115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 xml:space="preserve">0.15438 </w:t>
            </w:r>
          </w:p>
        </w:tc>
        <w:tc>
          <w:tcPr>
            <w:tcW w:w="10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0.12465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  <w:tc>
          <w:tcPr>
            <w:tcW w:w="9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IN</w:t>
            </w:r>
          </w:p>
        </w:tc>
        <w:tc>
          <w:tcPr>
            <w:tcW w:w="115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0.10255</w:t>
            </w:r>
          </w:p>
        </w:tc>
        <w:tc>
          <w:tcPr>
            <w:tcW w:w="10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0.12036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lang w:eastAsia="es-CO"/>
              </w:rPr>
              <w:t>0.01036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  <w:tc>
          <w:tcPr>
            <w:tcW w:w="9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CUC</w:t>
            </w:r>
          </w:p>
        </w:tc>
        <w:tc>
          <w:tcPr>
            <w:tcW w:w="115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0.11032</w:t>
            </w:r>
          </w:p>
        </w:tc>
        <w:tc>
          <w:tcPr>
            <w:tcW w:w="10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0.16970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0.09452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0.08932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0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9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 xml:space="preserve">BAR </w:t>
            </w:r>
          </w:p>
        </w:tc>
        <w:tc>
          <w:tcPr>
            <w:tcW w:w="115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0.31446</w:t>
            </w:r>
          </w:p>
        </w:tc>
        <w:tc>
          <w:tcPr>
            <w:tcW w:w="10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0.19739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0.18891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0.22822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0.17551</w:t>
            </w:r>
          </w:p>
        </w:tc>
        <w:tc>
          <w:tcPr>
            <w:tcW w:w="10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  <w:tc>
          <w:tcPr>
            <w:tcW w:w="9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SI</w:t>
            </w:r>
          </w:p>
        </w:tc>
        <w:tc>
          <w:tcPr>
            <w:tcW w:w="115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0.20821</w:t>
            </w:r>
          </w:p>
        </w:tc>
        <w:tc>
          <w:tcPr>
            <w:tcW w:w="10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0.16410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0.12449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0.14715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 xml:space="preserve">0.09498 </w:t>
            </w:r>
          </w:p>
        </w:tc>
        <w:tc>
          <w:tcPr>
            <w:tcW w:w="10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0.05115</w:t>
            </w:r>
          </w:p>
        </w:tc>
        <w:tc>
          <w:tcPr>
            <w:tcW w:w="10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9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377AF">
            <w:pPr>
              <w:jc w:val="center"/>
              <w:rPr>
                <w:rFonts w:ascii="Times New Roman" w:eastAsia="Arial Unicode MS" w:hAnsi="Times New Roman"/>
                <w:sz w:val="22"/>
                <w:lang w:eastAsia="es-CO"/>
              </w:rPr>
            </w:pPr>
          </w:p>
        </w:tc>
      </w:tr>
      <w:tr w:rsidR="002377AF">
        <w:trPr>
          <w:trHeight w:val="315"/>
        </w:trPr>
        <w:tc>
          <w:tcPr>
            <w:tcW w:w="147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sz w:val="22"/>
                <w:lang w:eastAsia="es-CO"/>
              </w:rPr>
              <w:t>SGC</w:t>
            </w:r>
          </w:p>
        </w:tc>
        <w:tc>
          <w:tcPr>
            <w:tcW w:w="115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0.15866</w:t>
            </w:r>
          </w:p>
        </w:tc>
        <w:tc>
          <w:tcPr>
            <w:tcW w:w="10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0.12738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0.05435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 xml:space="preserve">0.06491 </w:t>
            </w:r>
          </w:p>
        </w:tc>
        <w:tc>
          <w:tcPr>
            <w:tcW w:w="102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0.06192</w:t>
            </w:r>
          </w:p>
        </w:tc>
        <w:tc>
          <w:tcPr>
            <w:tcW w:w="109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>0.09914</w:t>
            </w:r>
          </w:p>
        </w:tc>
        <w:tc>
          <w:tcPr>
            <w:tcW w:w="10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Arial Unicode MS" w:hAnsi="Times New Roman"/>
                <w:b/>
                <w:bCs/>
                <w:sz w:val="22"/>
                <w:lang w:eastAsia="es-CO"/>
              </w:rPr>
              <w:t xml:space="preserve">0.03683 </w:t>
            </w:r>
          </w:p>
        </w:tc>
        <w:tc>
          <w:tcPr>
            <w:tcW w:w="99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</w:tr>
    </w:tbl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ind w:right="-269"/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sectPr w:rsidR="002377AF" w:rsidSect="002377AF">
      <w:pgSz w:w="12240" w:h="15840"/>
      <w:pgMar w:top="720" w:right="1440" w:bottom="72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7AF"/>
    <w:rsid w:val="001041B3"/>
    <w:rsid w:val="002377AF"/>
    <w:rsid w:val="002C4489"/>
    <w:rsid w:val="002D67C9"/>
    <w:rsid w:val="006545F7"/>
    <w:rsid w:val="00845C1C"/>
    <w:rsid w:val="008742AE"/>
    <w:rsid w:val="008F770F"/>
    <w:rsid w:val="0092427B"/>
    <w:rsid w:val="00C60834"/>
    <w:rsid w:val="00C85EE5"/>
    <w:rsid w:val="00D0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6A96"/>
  <w15:docId w15:val="{E867ABE5-44D9-407A-A8FA-1F74B329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AF"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3401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63401C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63401C"/>
  </w:style>
  <w:style w:type="character" w:customStyle="1" w:styleId="Fuentedeprrafopredeter1">
    <w:name w:val="Fuente de párrafo predeter.1"/>
    <w:qFormat/>
    <w:rsid w:val="002377AF"/>
  </w:style>
  <w:style w:type="character" w:customStyle="1" w:styleId="nfasis1">
    <w:name w:val="Énfasis1"/>
    <w:qFormat/>
    <w:rsid w:val="002377AF"/>
    <w:rPr>
      <w:i/>
      <w:iCs/>
    </w:rPr>
  </w:style>
  <w:style w:type="character" w:customStyle="1" w:styleId="apple-converted-space">
    <w:name w:val="apple-converted-space"/>
    <w:basedOn w:val="Fuentedeprrafopredeter1"/>
    <w:qFormat/>
    <w:rsid w:val="002377AF"/>
  </w:style>
  <w:style w:type="paragraph" w:customStyle="1" w:styleId="Heading">
    <w:name w:val="Heading"/>
    <w:basedOn w:val="Normal"/>
    <w:next w:val="Textoindependiente"/>
    <w:qFormat/>
    <w:rsid w:val="002377A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2377AF"/>
    <w:pPr>
      <w:spacing w:after="140" w:line="288" w:lineRule="auto"/>
    </w:pPr>
  </w:style>
  <w:style w:type="paragraph" w:styleId="Lista">
    <w:name w:val="List"/>
    <w:basedOn w:val="Textoindependiente"/>
    <w:rsid w:val="002377AF"/>
    <w:rPr>
      <w:rFonts w:cs="FreeSans"/>
    </w:rPr>
  </w:style>
  <w:style w:type="paragraph" w:customStyle="1" w:styleId="Descripcin1">
    <w:name w:val="Descripción1"/>
    <w:basedOn w:val="Normal"/>
    <w:qFormat/>
    <w:rsid w:val="002377A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2377AF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3401C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63401C"/>
    <w:pPr>
      <w:tabs>
        <w:tab w:val="center" w:pos="4680"/>
        <w:tab w:val="right" w:pos="9360"/>
      </w:tabs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63401C"/>
    <w:pPr>
      <w:tabs>
        <w:tab w:val="center" w:pos="4680"/>
        <w:tab w:val="right" w:pos="9360"/>
      </w:tabs>
    </w:pPr>
  </w:style>
  <w:style w:type="paragraph" w:styleId="Prrafodelista">
    <w:name w:val="List Paragraph"/>
    <w:basedOn w:val="Normal"/>
    <w:uiPriority w:val="34"/>
    <w:qFormat/>
    <w:rsid w:val="000C5B4D"/>
    <w:pPr>
      <w:ind w:left="720"/>
      <w:contextualSpacing/>
    </w:pPr>
  </w:style>
  <w:style w:type="paragraph" w:customStyle="1" w:styleId="Prrafodelista2">
    <w:name w:val="Párrafo de lista2"/>
    <w:basedOn w:val="Normal"/>
    <w:qFormat/>
    <w:rsid w:val="002377AF"/>
    <w:pPr>
      <w:ind w:left="720"/>
    </w:pPr>
  </w:style>
  <w:style w:type="table" w:styleId="Tablaconcuadrcula">
    <w:name w:val="Table Grid"/>
    <w:basedOn w:val="Tablanormal"/>
    <w:uiPriority w:val="39"/>
    <w:rsid w:val="0057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Karen - Hoboken</dc:creator>
  <dc:description/>
  <cp:lastModifiedBy>j</cp:lastModifiedBy>
  <cp:revision>38</cp:revision>
  <dcterms:created xsi:type="dcterms:W3CDTF">2019-05-28T00:27:00Z</dcterms:created>
  <dcterms:modified xsi:type="dcterms:W3CDTF">2022-12-13T04:08:00Z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John Wiley and Sons,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