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88"/>
        <w:gridCol w:w="1132"/>
        <w:gridCol w:w="1738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treat day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variety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等线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4"/>
                <w:rFonts w:eastAsia="等线"/>
                <w:bdr w:val="none" w:color="auto" w:sz="0" w:space="0"/>
                <w:lang w:val="en-US" w:eastAsia="zh-CN" w:bidi="ar"/>
              </w:rPr>
              <w:t>μg/mL)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PRO(μg/g)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rFonts w:eastAsia="等线"/>
                <w:bdr w:val="none" w:color="auto" w:sz="0" w:space="0"/>
                <w:lang w:val="en-US" w:eastAsia="zh-CN" w:bidi="ar"/>
              </w:rPr>
              <w:t>520nm OD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测定液中脯氨酸含量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单位鲜质量样品脯氨酸含量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A=(OD-0.0927)/0.0436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PRO =A/0.1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10.58027523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105.8027523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12.00229358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120.0229358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10.92431193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109.2431193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111.6896024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6.199541284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61.99541284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2.96559633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29.6559633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4.915137615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49.15137615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46.93425076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9.020642202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90.20642202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9.29587156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92.9587156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9.685779817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96.85779817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93.34097859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9.158256881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91.58256881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9.662844037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96.62844037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9.479357798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94.79357798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94.33486239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19.29587156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192.9587156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18.30963303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183.0963303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15.85550459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158.5550459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178.2033639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22.25458716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222.5458716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20.48853211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204.8853211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26.54357798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265.4357798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230.9556575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9.158256881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91.58256881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5.236238532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52.36238532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5.924311927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59.24311927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67.7293578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6.72706422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67.2706422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5.052752294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50.52752294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9.158256881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91.58256881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69.79357798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7.185779817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71.85779817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5.993119266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59.93119266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7.094036697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70.94036697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67.5764526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5.121559633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51.21559633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4.731651376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47.31651376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6.589449541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65.89449541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54.8088685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tbl>
      <w:tblPr>
        <w:tblW w:w="74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56"/>
        <w:gridCol w:w="1056"/>
        <w:gridCol w:w="1620"/>
        <w:gridCol w:w="1944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average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105.8027523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120.0229358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109.2431193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111.6896024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90.20642202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92.9587156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96.85779817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93.34097859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192.9587156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183.0963303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158.5550459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178.2033639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91.58256881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52.36238532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59.24311927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67.7293578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71.85779817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59.93119266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70.94036697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67.5764526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61.99541284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29.6559633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49.15137615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46.93425076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91.58256881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96.62844037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94.79357798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94.33486239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222.5458716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204.8853211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265.4357798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230.9556575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67.2706422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50.52752294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91.58256881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69.79357798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51.21559633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47.31651376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65.89449541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54.8088685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The letter marks indicate the result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treat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average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treat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average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5%significant levels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8-0d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111.6896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4.2834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230.9557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93.341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1.9296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178.2034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178.2034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10.2284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111.6896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67.7294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12.0909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94.3349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67.5765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3.8318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8-1d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93.341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46.9343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9.4012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10-5d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69.7936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94.3349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1.4746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8-5d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67.7294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230.9557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17.9781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8-7d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67.5765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69.7936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11.9185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10-7d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54.8089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54.8089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5.6559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46.9342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Baimi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111.6896024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93.34097859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178.2033639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67.7293578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67.5764526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Baimi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46.93425076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94.33486239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230.9556575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69.79357798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54.8088685</w:t>
            </w:r>
          </w:p>
        </w:tc>
      </w:tr>
    </w:tbl>
    <w:p/>
    <w:p>
      <w:bookmarkStart w:id="0" w:name="_GoBack"/>
      <w:bookmarkEnd w:id="0"/>
      <w:r>
        <w:drawing>
          <wp:inline distT="0" distB="0" distL="114300" distR="114300">
            <wp:extent cx="4114800" cy="2347595"/>
            <wp:effectExtent l="0" t="0" r="0" b="14605"/>
            <wp:docPr id="9631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ODU3MzNlYjI1YTQ0NTgzMTRhNjg1YmE4M2I2YWQifQ=="/>
  </w:docVars>
  <w:rsids>
    <w:rsidRoot w:val="0CFB71B7"/>
    <w:rsid w:val="0C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7">
    <w:name w:val="font11"/>
    <w:basedOn w:val="3"/>
    <w:uiPriority w:val="0"/>
    <w:rPr>
      <w:rFonts w:hint="default" w:ascii="等线" w:hAnsi="等线" w:eastAsia="等线" w:cs="等线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462;&#25913;&#20052;&#20025;&#20025;&#35770;&#25991;\&#22806;&#25991;&#21457;&#34920;\&#32784;&#28061;&#29983;&#29702;&#29983;&#21270;&#29305;&#24615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882716049383"/>
          <c:y val="0.04057343792264"/>
          <c:w val="0.837191358024691"/>
          <c:h val="0.772788747633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[耐涝生理生化特性数据.xlsx]PRO!$A$71</c:f>
              <c:strCache>
                <c:ptCount val="1"/>
                <c:pt idx="0">
                  <c:v>Baimi 8</c:v>
                </c:pt>
              </c:strCache>
            </c:strRef>
          </c:tx>
          <c:spPr>
            <a:solidFill>
              <a:schemeClr val="tx1">
                <a:alpha val="20000"/>
              </a:schemeClr>
            </a:solidFill>
            <a:ln w="6350">
              <a:solidFill>
                <a:schemeClr val="tx1"/>
              </a:solidFill>
            </a:ln>
            <a:effectLst/>
            <a:sp3d contourW="6350"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c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0323718694269986"/>
                  <c:y val="-0.011571841851494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cd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85185185185185"/>
                  <c:y val="-0.016200578592092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b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025458052073288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de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de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errBars>
            <c:errBarType val="both"/>
            <c:errValType val="cust"/>
            <c:noEndCap val="0"/>
            <c:plus>
              <c:numRef>
                <c:f>[耐涝生理生化特性数据.xlsx]PRO!$C$59:$C$63</c:f>
                <c:numCache>
                  <c:formatCode>General</c:formatCode>
                  <c:ptCount val="5"/>
                  <c:pt idx="0">
                    <c:v>4.2834</c:v>
                  </c:pt>
                  <c:pt idx="1">
                    <c:v>1.9296</c:v>
                  </c:pt>
                  <c:pt idx="2">
                    <c:v>10.2284</c:v>
                  </c:pt>
                  <c:pt idx="3">
                    <c:v>12.0909</c:v>
                  </c:pt>
                  <c:pt idx="4">
                    <c:v>3.8318</c:v>
                  </c:pt>
                </c:numCache>
              </c:numRef>
            </c:plus>
            <c:minus>
              <c:numRef>
                <c:f>[耐涝生理生化特性数据.xlsx]PRO!$C$59:$C$63</c:f>
                <c:numCache>
                  <c:formatCode>General</c:formatCode>
                  <c:ptCount val="5"/>
                  <c:pt idx="0">
                    <c:v>4.2834</c:v>
                  </c:pt>
                  <c:pt idx="1">
                    <c:v>1.9296</c:v>
                  </c:pt>
                  <c:pt idx="2">
                    <c:v>10.2284</c:v>
                  </c:pt>
                  <c:pt idx="3">
                    <c:v>12.0909</c:v>
                  </c:pt>
                  <c:pt idx="4">
                    <c:v>3.8318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[耐涝生理生化特性数据.xlsx]PRO!$B$70:$F$70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cat>
          <c:val>
            <c:numRef>
              <c:f>[耐涝生理生化特性数据.xlsx]PRO!$B$71:$F$71</c:f>
              <c:numCache>
                <c:formatCode>General</c:formatCode>
                <c:ptCount val="5"/>
                <c:pt idx="0">
                  <c:v>111.689602446483</c:v>
                </c:pt>
                <c:pt idx="1">
                  <c:v>93.3409785932722</c:v>
                </c:pt>
                <c:pt idx="2">
                  <c:v>178.203363914373</c:v>
                </c:pt>
                <c:pt idx="3">
                  <c:v>67.7293577981651</c:v>
                </c:pt>
                <c:pt idx="4">
                  <c:v>67.5764525993884</c:v>
                </c:pt>
              </c:numCache>
            </c:numRef>
          </c:val>
        </c:ser>
        <c:ser>
          <c:idx val="1"/>
          <c:order val="1"/>
          <c:tx>
            <c:strRef>
              <c:f>[耐涝生理生化特性数据.xlsx]PRO!$A$72</c:f>
              <c:strCache>
                <c:ptCount val="1"/>
                <c:pt idx="0">
                  <c:v>Baimi 10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013886210221793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163733167920186"/>
                  <c:y val="-0.0042062630056336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cd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37037037037037"/>
                  <c:y val="-0.043139420392833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a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128324416530977"/>
                  <c:y val="-0.015553367507486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de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rgbClr val="000000">
                            <a:alpha val="100000"/>
                          </a:srgb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rPr sz="1000"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rPr>
                      <a:t>e</a:t>
                    </a:r>
                    <a:endParaRPr sz="1000" b="0" i="0" u="none" strike="noStrike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endParaRPr>
                  </a:p>
                </c:rich>
              </c:tx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errBars>
            <c:errBarType val="both"/>
            <c:errValType val="cust"/>
            <c:noEndCap val="0"/>
            <c:plus>
              <c:numRef>
                <c:f>[耐涝生理生化特性数据.xlsx]PRO!$C$64:$C$68</c:f>
                <c:numCache>
                  <c:formatCode>General</c:formatCode>
                  <c:ptCount val="5"/>
                  <c:pt idx="0">
                    <c:v>9.4012</c:v>
                  </c:pt>
                  <c:pt idx="1">
                    <c:v>1.4746</c:v>
                  </c:pt>
                  <c:pt idx="2">
                    <c:v>17.9781</c:v>
                  </c:pt>
                  <c:pt idx="3">
                    <c:v>11.9185</c:v>
                  </c:pt>
                  <c:pt idx="4">
                    <c:v>5.6559</c:v>
                  </c:pt>
                </c:numCache>
              </c:numRef>
            </c:plus>
            <c:minus>
              <c:numRef>
                <c:f>[耐涝生理生化特性数据.xlsx]PRO!$C$64:$C$68</c:f>
                <c:numCache>
                  <c:formatCode>General</c:formatCode>
                  <c:ptCount val="5"/>
                  <c:pt idx="0">
                    <c:v>9.4012</c:v>
                  </c:pt>
                  <c:pt idx="1">
                    <c:v>1.4746</c:v>
                  </c:pt>
                  <c:pt idx="2">
                    <c:v>17.9781</c:v>
                  </c:pt>
                  <c:pt idx="3">
                    <c:v>11.9185</c:v>
                  </c:pt>
                  <c:pt idx="4">
                    <c:v>5.6559</c:v>
                  </c:pt>
                </c:numCache>
              </c:numRef>
            </c:minus>
            <c:spPr>
              <a:solidFill>
                <a:schemeClr val="bg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[耐涝生理生化特性数据.xlsx]PRO!$B$70:$F$70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cat>
          <c:val>
            <c:numRef>
              <c:f>[耐涝生理生化特性数据.xlsx]PRO!$B$72:$F$72</c:f>
              <c:numCache>
                <c:formatCode>General</c:formatCode>
                <c:ptCount val="5"/>
                <c:pt idx="0">
                  <c:v>46.934250764526</c:v>
                </c:pt>
                <c:pt idx="1">
                  <c:v>94.3348623853211</c:v>
                </c:pt>
                <c:pt idx="2">
                  <c:v>230.955657492355</c:v>
                </c:pt>
                <c:pt idx="3">
                  <c:v>69.7935779816514</c:v>
                </c:pt>
                <c:pt idx="4">
                  <c:v>54.808868501529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955293"/>
        <c:axId val="443055903"/>
      </c:barChart>
      <c:catAx>
        <c:axId val="659955293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Treatment </a:t>
                </a: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uFillTx/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time</a:t>
                </a:r>
                <a:r>
                  <a:rPr sz="1000" b="0" i="0" u="none" strike="noStrike" baseline="0">
                    <a:solidFill>
                      <a:srgbClr val="000000"/>
                    </a:solidFill>
                    <a:latin typeface="Times New Roman" panose="02020603050405020304" charset="-122"/>
                    <a:ea typeface="Times New Roman" panose="02020603050405020304" charset="-122"/>
                    <a:cs typeface="Times New Roman" panose="02020603050405020304" charset="-122"/>
                    <a:sym typeface="Times New Roman" panose="02020603050405020304" charset="0"/>
                  </a:rPr>
                  <a:t>/d</a:t>
                </a:r>
                <a:endParaRPr sz="1100" b="0" i="0" u="none" strike="noStrike" baseline="0">
                  <a:solidFill>
                    <a:srgbClr val="000000"/>
                  </a:solidFill>
                  <a:latin typeface="等线" charset="-122"/>
                  <a:ea typeface="等线" charset="-122"/>
                  <a:cs typeface="等线" charset="-122"/>
                  <a:sym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442021604938271"/>
              <c:y val="0.937126325940212"/>
            </c:manualLayout>
          </c:layout>
          <c:overlay val="0"/>
        </c:title>
        <c:numFmt formatCode="General" sourceLinked="0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43055903"/>
        <c:crosses val="autoZero"/>
        <c:auto val="1"/>
        <c:lblAlgn val="ctr"/>
        <c:lblOffset val="100"/>
        <c:noMultiLvlLbl val="0"/>
      </c:catAx>
      <c:valAx>
        <c:axId val="443055903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sz="1000" b="0" i="0" u="none" strike="noStrike" baseline="0">
                    <a:solidFill>
                      <a:srgbClr val="000000"/>
                    </a:solidFill>
                    <a:uFillTx/>
                    <a:latin typeface="Times New Roman" panose="02020603050405020304" charset="-122"/>
                    <a:ea typeface="Times New Roman" panose="02020603050405020304" charset="-122"/>
                    <a:cs typeface="Times New Roman" panose="02020603050405020304" charset="-122"/>
                    <a:sym typeface="Times New Roman" panose="02020603050405020304" charset="0"/>
                  </a:rPr>
                  <a:t>PRO</a:t>
                </a:r>
                <a:r>
                  <a:rPr lang="en-US" altLang="zh-CN" sz="1000" b="0" i="0" u="none" strike="noStrike" baseline="0">
                    <a:solidFill>
                      <a:srgbClr val="000000"/>
                    </a:solidFill>
                    <a:uFillTx/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 content</a:t>
                </a:r>
                <a:r>
                  <a:rPr sz="1000" b="0" i="0" u="none" strike="noStrike" baseline="0">
                    <a:solidFill>
                      <a:srgbClr val="000000"/>
                    </a:solidFill>
                    <a:uFillTx/>
                    <a:latin typeface="Times New Roman" panose="02020603050405020304" charset="-122"/>
                    <a:ea typeface="Times New Roman" panose="02020603050405020304" charset="-122"/>
                    <a:cs typeface="Times New Roman" panose="02020603050405020304" charset="-122"/>
                    <a:sym typeface="Times New Roman" panose="02020603050405020304" charset="0"/>
                  </a:rPr>
                  <a:t>/（μg/g）</a:t>
                </a:r>
                <a:endParaRPr sz="1100" b="0" i="0" u="none" strike="noStrike" baseline="0">
                  <a:solidFill>
                    <a:srgbClr val="000000"/>
                  </a:solidFill>
                  <a:uFillTx/>
                  <a:latin typeface="等线" charset="-122"/>
                  <a:ea typeface="等线" charset="-122"/>
                  <a:cs typeface="等线" charset="-122"/>
                  <a:sym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0154320987654321"/>
              <c:y val="0.261947926711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59955293"/>
        <c:crosses val="autoZero"/>
        <c:crossBetween val="between"/>
      </c:valAx>
      <c:spPr>
        <a:noFill/>
        <a:ln w="3175">
          <a:noFill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84577382053654"/>
          <c:y val="0.0163712632594021"/>
          <c:w val="0.13825"/>
          <c:h val="0.12425"/>
        </c:manualLayout>
      </c:layout>
      <c:overlay val="0"/>
      <c:spPr>
        <a:noFill/>
        <a:ln w="3175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</c:spPr>
  <c:txPr>
    <a:bodyPr rot="0" wrap="square" anchor="ctr" anchorCtr="1"/>
    <a:lstStyle/>
    <a:p>
      <a:pPr>
        <a:defRPr lang="zh-CN" sz="10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2022-12-15T09:11:00Z</dcterms:created>
  <dc:creator>仓央嫣龔·莹</dc:creator>
  <cp:lastModifiedBy>仓央嫣龔·莹</cp:lastModifiedBy>
  <dcterms:modified xsi:type="dcterms:W3CDTF">2022-12-15T09:14:06Z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0B8801B05D9248A29085E87EF50966B1</vt:lpwstr>
  </property>
</Properties>
</file>