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7009" w14:textId="4D0D525F" w:rsidR="00A565FB" w:rsidRPr="001157F6" w:rsidRDefault="00A07C6E">
      <w:pPr>
        <w:rPr>
          <w:rFonts w:cs="Times New Roman"/>
          <w:color w:val="000000" w:themeColor="text1"/>
        </w:rPr>
      </w:pPr>
      <w:r w:rsidRPr="001157F6">
        <w:rPr>
          <w:rFonts w:cs="Times New Roman"/>
          <w:b/>
          <w:bCs/>
          <w:color w:val="000000" w:themeColor="text1"/>
        </w:rPr>
        <w:t xml:space="preserve">Supplementary Table 1. </w:t>
      </w:r>
      <w:r w:rsidRPr="001157F6">
        <w:rPr>
          <w:rFonts w:cs="Times New Roman"/>
          <w:color w:val="000000" w:themeColor="text1"/>
        </w:rPr>
        <w:t>Excluded studies</w:t>
      </w:r>
    </w:p>
    <w:tbl>
      <w:tblPr>
        <w:tblStyle w:val="TabloKlavuzu"/>
        <w:tblpPr w:leftFromText="141" w:rightFromText="141" w:vertAnchor="page" w:horzAnchor="margin" w:tblpY="1787"/>
        <w:tblW w:w="8784" w:type="dxa"/>
        <w:tblLook w:val="04A0" w:firstRow="1" w:lastRow="0" w:firstColumn="1" w:lastColumn="0" w:noHBand="0" w:noVBand="1"/>
      </w:tblPr>
      <w:tblGrid>
        <w:gridCol w:w="4673"/>
        <w:gridCol w:w="2126"/>
        <w:gridCol w:w="1985"/>
      </w:tblGrid>
      <w:tr w:rsidR="007F0E47" w:rsidRPr="001157F6" w14:paraId="158541A5" w14:textId="77777777" w:rsidTr="007F0E47">
        <w:tc>
          <w:tcPr>
            <w:tcW w:w="4673" w:type="dxa"/>
          </w:tcPr>
          <w:p w14:paraId="546EF8C6" w14:textId="77777777" w:rsidR="007F0E47" w:rsidRPr="001157F6" w:rsidRDefault="007F0E47" w:rsidP="007F0E47">
            <w:pPr>
              <w:jc w:val="center"/>
              <w:rPr>
                <w:rFonts w:cs="Times New Roman"/>
                <w:b/>
                <w:bCs/>
                <w:color w:val="000000" w:themeColor="text1"/>
              </w:rPr>
            </w:pPr>
            <w:r w:rsidRPr="001157F6">
              <w:rPr>
                <w:rFonts w:cs="Times New Roman"/>
                <w:b/>
                <w:bCs/>
                <w:color w:val="000000" w:themeColor="text1"/>
              </w:rPr>
              <w:t>Study</w:t>
            </w:r>
          </w:p>
        </w:tc>
        <w:tc>
          <w:tcPr>
            <w:tcW w:w="2126" w:type="dxa"/>
          </w:tcPr>
          <w:p w14:paraId="404A9839" w14:textId="77777777" w:rsidR="007F0E47" w:rsidRPr="001157F6" w:rsidRDefault="007F0E47" w:rsidP="007F0E47">
            <w:pPr>
              <w:jc w:val="center"/>
              <w:rPr>
                <w:rFonts w:cs="Times New Roman"/>
                <w:b/>
                <w:bCs/>
                <w:color w:val="000000" w:themeColor="text1"/>
              </w:rPr>
            </w:pPr>
            <w:r w:rsidRPr="001157F6">
              <w:rPr>
                <w:rFonts w:cs="Times New Roman"/>
                <w:b/>
                <w:bCs/>
                <w:color w:val="000000" w:themeColor="text1"/>
              </w:rPr>
              <w:t>Author</w:t>
            </w:r>
          </w:p>
        </w:tc>
        <w:tc>
          <w:tcPr>
            <w:tcW w:w="1985" w:type="dxa"/>
          </w:tcPr>
          <w:p w14:paraId="08BEA9D0" w14:textId="77777777" w:rsidR="007F0E47" w:rsidRPr="001157F6" w:rsidRDefault="007F0E47" w:rsidP="007F0E47">
            <w:pPr>
              <w:jc w:val="center"/>
              <w:rPr>
                <w:rFonts w:cs="Times New Roman"/>
                <w:b/>
                <w:bCs/>
                <w:color w:val="000000" w:themeColor="text1"/>
              </w:rPr>
            </w:pPr>
            <w:r w:rsidRPr="001157F6">
              <w:rPr>
                <w:rFonts w:cs="Times New Roman"/>
                <w:b/>
                <w:bCs/>
                <w:color w:val="000000" w:themeColor="text1"/>
              </w:rPr>
              <w:t>Reason</w:t>
            </w:r>
          </w:p>
        </w:tc>
      </w:tr>
      <w:tr w:rsidR="007F0E47" w:rsidRPr="001157F6" w14:paraId="72A5F50D" w14:textId="77777777" w:rsidTr="007F0E47">
        <w:tc>
          <w:tcPr>
            <w:tcW w:w="4673" w:type="dxa"/>
          </w:tcPr>
          <w:p w14:paraId="34340972" w14:textId="77777777" w:rsidR="007F0E47" w:rsidRPr="001157F6" w:rsidRDefault="007F0E47" w:rsidP="007F0E47">
            <w:pPr>
              <w:jc w:val="center"/>
              <w:rPr>
                <w:rFonts w:cs="Times New Roman"/>
                <w:color w:val="000000" w:themeColor="text1"/>
              </w:rPr>
            </w:pPr>
            <w:r w:rsidRPr="001157F6">
              <w:rPr>
                <w:rFonts w:cs="Times New Roman"/>
                <w:color w:val="000000" w:themeColor="text1"/>
              </w:rPr>
              <w:t>Comprehensive RNA analysis of CSF reveals a role for CEACAM6 in lung cancer leptomeningeal metastases</w:t>
            </w:r>
          </w:p>
        </w:tc>
        <w:tc>
          <w:tcPr>
            <w:tcW w:w="2126" w:type="dxa"/>
          </w:tcPr>
          <w:p w14:paraId="4B5B1E39" w14:textId="77777777" w:rsidR="007F0E47" w:rsidRPr="001157F6" w:rsidRDefault="007F0E47" w:rsidP="007F0E47">
            <w:pPr>
              <w:jc w:val="center"/>
              <w:rPr>
                <w:rFonts w:cs="Times New Roman"/>
                <w:color w:val="000000" w:themeColor="text1"/>
              </w:rPr>
            </w:pPr>
            <w:r w:rsidRPr="001157F6">
              <w:rPr>
                <w:rFonts w:cs="Times New Roman"/>
                <w:color w:val="000000" w:themeColor="text1"/>
              </w:rPr>
              <w:t>Li et al. 2021</w:t>
            </w:r>
          </w:p>
        </w:tc>
        <w:tc>
          <w:tcPr>
            <w:tcW w:w="1985" w:type="dxa"/>
          </w:tcPr>
          <w:p w14:paraId="01A35950" w14:textId="77777777" w:rsidR="007F0E47" w:rsidRPr="001157F6" w:rsidRDefault="007F0E47" w:rsidP="007F0E47">
            <w:pPr>
              <w:jc w:val="center"/>
              <w:rPr>
                <w:rFonts w:cs="Times New Roman"/>
                <w:color w:val="000000" w:themeColor="text1"/>
              </w:rPr>
            </w:pPr>
            <w:r w:rsidRPr="001157F6">
              <w:rPr>
                <w:rFonts w:cs="Times New Roman"/>
                <w:color w:val="000000" w:themeColor="text1"/>
              </w:rPr>
              <w:t>Not enough mutation data</w:t>
            </w:r>
          </w:p>
        </w:tc>
      </w:tr>
      <w:tr w:rsidR="007F0E47" w:rsidRPr="001157F6" w14:paraId="107BF880" w14:textId="77777777" w:rsidTr="007F0E47">
        <w:tc>
          <w:tcPr>
            <w:tcW w:w="4673" w:type="dxa"/>
          </w:tcPr>
          <w:p w14:paraId="63B6ED41" w14:textId="77777777" w:rsidR="007F0E47" w:rsidRPr="001157F6" w:rsidRDefault="007F0E47" w:rsidP="007F0E47">
            <w:pPr>
              <w:jc w:val="center"/>
              <w:rPr>
                <w:rFonts w:cs="Times New Roman"/>
                <w:color w:val="000000" w:themeColor="text1"/>
              </w:rPr>
            </w:pPr>
            <w:r w:rsidRPr="001157F6">
              <w:rPr>
                <w:rFonts w:cs="Times New Roman"/>
                <w:color w:val="000000" w:themeColor="text1"/>
              </w:rPr>
              <w:t>Detection of Leptomeningeal Disease Using Cell-Free DNA From Cerebrospinal Fluid</w:t>
            </w:r>
          </w:p>
        </w:tc>
        <w:tc>
          <w:tcPr>
            <w:tcW w:w="2126" w:type="dxa"/>
          </w:tcPr>
          <w:p w14:paraId="7BB8D3D1" w14:textId="77777777" w:rsidR="007F0E47" w:rsidRPr="001157F6" w:rsidRDefault="007F0E47" w:rsidP="007F0E47">
            <w:pPr>
              <w:jc w:val="center"/>
              <w:rPr>
                <w:rFonts w:cs="Times New Roman"/>
                <w:color w:val="000000" w:themeColor="text1"/>
              </w:rPr>
            </w:pPr>
            <w:r w:rsidRPr="001157F6">
              <w:rPr>
                <w:rFonts w:cs="Times New Roman"/>
                <w:color w:val="000000" w:themeColor="text1"/>
              </w:rPr>
              <w:t>White et al. 2021</w:t>
            </w:r>
          </w:p>
        </w:tc>
        <w:tc>
          <w:tcPr>
            <w:tcW w:w="1985" w:type="dxa"/>
          </w:tcPr>
          <w:p w14:paraId="7CA2E6C4" w14:textId="77777777" w:rsidR="007F0E47" w:rsidRPr="001157F6" w:rsidRDefault="007F0E47" w:rsidP="007F0E47">
            <w:pPr>
              <w:jc w:val="center"/>
              <w:rPr>
                <w:rFonts w:cs="Times New Roman"/>
                <w:color w:val="000000" w:themeColor="text1"/>
              </w:rPr>
            </w:pPr>
            <w:r w:rsidRPr="001157F6">
              <w:rPr>
                <w:rFonts w:cs="Times New Roman"/>
                <w:color w:val="000000" w:themeColor="text1"/>
              </w:rPr>
              <w:t>Not enough mutation data</w:t>
            </w:r>
          </w:p>
        </w:tc>
      </w:tr>
      <w:tr w:rsidR="007F0E47" w:rsidRPr="001157F6" w14:paraId="6B548B28" w14:textId="77777777" w:rsidTr="007F0E47">
        <w:tc>
          <w:tcPr>
            <w:tcW w:w="4673" w:type="dxa"/>
          </w:tcPr>
          <w:p w14:paraId="7EF8ED62" w14:textId="77777777" w:rsidR="007F0E47" w:rsidRPr="001157F6" w:rsidRDefault="007F0E47" w:rsidP="007F0E47">
            <w:pPr>
              <w:jc w:val="center"/>
              <w:rPr>
                <w:rFonts w:cs="Times New Roman"/>
                <w:color w:val="000000" w:themeColor="text1"/>
              </w:rPr>
            </w:pPr>
            <w:r w:rsidRPr="001157F6">
              <w:rPr>
                <w:rFonts w:cs="Times New Roman"/>
                <w:color w:val="000000" w:themeColor="text1"/>
              </w:rPr>
              <w:t>Tumor DNA Mutations From Intraparenchymal Brain Metastases Are Detectable in CSF</w:t>
            </w:r>
          </w:p>
        </w:tc>
        <w:tc>
          <w:tcPr>
            <w:tcW w:w="2126" w:type="dxa"/>
          </w:tcPr>
          <w:p w14:paraId="2EB7D338" w14:textId="77777777" w:rsidR="007F0E47" w:rsidRPr="001157F6" w:rsidRDefault="007F0E47" w:rsidP="007F0E47">
            <w:pPr>
              <w:jc w:val="center"/>
              <w:rPr>
                <w:rFonts w:cs="Times New Roman"/>
                <w:color w:val="000000" w:themeColor="text1"/>
              </w:rPr>
            </w:pPr>
            <w:r w:rsidRPr="001157F6">
              <w:rPr>
                <w:rFonts w:cs="Times New Roman"/>
                <w:color w:val="000000" w:themeColor="text1"/>
                <w:shd w:val="clear" w:color="auto" w:fill="FFFFFF"/>
              </w:rPr>
              <w:t>Cheok et al. 2021</w:t>
            </w:r>
          </w:p>
        </w:tc>
        <w:tc>
          <w:tcPr>
            <w:tcW w:w="1985" w:type="dxa"/>
          </w:tcPr>
          <w:p w14:paraId="5D2EE6AE" w14:textId="77777777" w:rsidR="007F0E47" w:rsidRPr="001157F6" w:rsidRDefault="007F0E47" w:rsidP="007F0E47">
            <w:pPr>
              <w:jc w:val="center"/>
              <w:rPr>
                <w:rFonts w:cs="Times New Roman"/>
                <w:color w:val="000000" w:themeColor="text1"/>
              </w:rPr>
            </w:pPr>
            <w:r w:rsidRPr="001157F6">
              <w:rPr>
                <w:rFonts w:cs="Times New Roman"/>
                <w:color w:val="000000" w:themeColor="text1"/>
              </w:rPr>
              <w:t>Not enough mutation data</w:t>
            </w:r>
          </w:p>
        </w:tc>
      </w:tr>
      <w:tr w:rsidR="007F0E47" w:rsidRPr="001157F6" w14:paraId="5D4A4989" w14:textId="77777777" w:rsidTr="007F0E47">
        <w:tc>
          <w:tcPr>
            <w:tcW w:w="4673" w:type="dxa"/>
          </w:tcPr>
          <w:p w14:paraId="256B7797" w14:textId="77777777" w:rsidR="007F0E47" w:rsidRPr="001157F6" w:rsidRDefault="007F0E47" w:rsidP="007F0E47">
            <w:pPr>
              <w:jc w:val="center"/>
              <w:rPr>
                <w:rFonts w:cs="Times New Roman"/>
                <w:color w:val="000000" w:themeColor="text1"/>
              </w:rPr>
            </w:pPr>
            <w:r w:rsidRPr="001157F6">
              <w:rPr>
                <w:rFonts w:cs="Times New Roman"/>
                <w:color w:val="000000" w:themeColor="text1"/>
              </w:rPr>
              <w:t>Cancer cells deploy lipocalin-2 to collect limiting iron in leptomeningeal metastasis</w:t>
            </w:r>
          </w:p>
        </w:tc>
        <w:tc>
          <w:tcPr>
            <w:tcW w:w="2126" w:type="dxa"/>
          </w:tcPr>
          <w:p w14:paraId="26D7B1A6" w14:textId="77777777" w:rsidR="007F0E47" w:rsidRPr="001157F6" w:rsidRDefault="007F0E47" w:rsidP="007F0E47">
            <w:pPr>
              <w:jc w:val="center"/>
              <w:rPr>
                <w:rFonts w:cs="Times New Roman"/>
                <w:color w:val="000000" w:themeColor="text1"/>
              </w:rPr>
            </w:pPr>
            <w:r w:rsidRPr="001157F6">
              <w:rPr>
                <w:rFonts w:cs="Times New Roman"/>
                <w:color w:val="000000" w:themeColor="text1"/>
              </w:rPr>
              <w:t>Chi et al. 2020</w:t>
            </w:r>
          </w:p>
        </w:tc>
        <w:tc>
          <w:tcPr>
            <w:tcW w:w="1985" w:type="dxa"/>
          </w:tcPr>
          <w:p w14:paraId="3BC70652" w14:textId="77777777" w:rsidR="007F0E47" w:rsidRPr="001157F6" w:rsidRDefault="007F0E47" w:rsidP="007F0E47">
            <w:pPr>
              <w:jc w:val="center"/>
              <w:rPr>
                <w:rFonts w:cs="Times New Roman"/>
                <w:color w:val="000000" w:themeColor="text1"/>
              </w:rPr>
            </w:pPr>
            <w:r w:rsidRPr="001157F6">
              <w:rPr>
                <w:rFonts w:cs="Times New Roman"/>
                <w:color w:val="000000" w:themeColor="text1"/>
              </w:rPr>
              <w:t>Not enough mutation data</w:t>
            </w:r>
          </w:p>
        </w:tc>
      </w:tr>
      <w:tr w:rsidR="007F0E47" w:rsidRPr="001157F6" w14:paraId="019DDE4B" w14:textId="77777777" w:rsidTr="007F0E47">
        <w:tc>
          <w:tcPr>
            <w:tcW w:w="4673" w:type="dxa"/>
          </w:tcPr>
          <w:p w14:paraId="05F3ED22" w14:textId="77777777" w:rsidR="007F0E47" w:rsidRPr="001157F6" w:rsidRDefault="007F0E47" w:rsidP="007F0E47">
            <w:pPr>
              <w:jc w:val="center"/>
              <w:rPr>
                <w:rFonts w:cs="Times New Roman"/>
                <w:color w:val="000000" w:themeColor="text1"/>
              </w:rPr>
            </w:pPr>
            <w:r w:rsidRPr="001157F6">
              <w:rPr>
                <w:rFonts w:cs="Times New Roman"/>
                <w:color w:val="000000" w:themeColor="text1"/>
              </w:rPr>
              <w:t>Circulating Tumor DNA Analysis for Patients with Oncogene-Addicted NSCLC With Isolated Central Nervous System Progression</w:t>
            </w:r>
          </w:p>
        </w:tc>
        <w:tc>
          <w:tcPr>
            <w:tcW w:w="2126" w:type="dxa"/>
          </w:tcPr>
          <w:p w14:paraId="79DCD517" w14:textId="77777777" w:rsidR="007F0E47" w:rsidRPr="001157F6" w:rsidRDefault="007F0E47" w:rsidP="007F0E47">
            <w:pPr>
              <w:jc w:val="center"/>
              <w:rPr>
                <w:rFonts w:cs="Times New Roman"/>
                <w:color w:val="000000" w:themeColor="text1"/>
              </w:rPr>
            </w:pPr>
            <w:r w:rsidRPr="001157F6">
              <w:rPr>
                <w:rFonts w:cs="Times New Roman"/>
                <w:color w:val="000000" w:themeColor="text1"/>
              </w:rPr>
              <w:t>Aldea et al. 2020</w:t>
            </w:r>
          </w:p>
        </w:tc>
        <w:tc>
          <w:tcPr>
            <w:tcW w:w="1985" w:type="dxa"/>
          </w:tcPr>
          <w:p w14:paraId="27E7C5D9" w14:textId="77777777" w:rsidR="007F0E47" w:rsidRPr="001157F6" w:rsidRDefault="007F0E47" w:rsidP="007F0E47">
            <w:pPr>
              <w:jc w:val="center"/>
              <w:rPr>
                <w:rFonts w:cs="Times New Roman"/>
                <w:color w:val="000000" w:themeColor="text1"/>
              </w:rPr>
            </w:pPr>
            <w:r w:rsidRPr="001157F6">
              <w:rPr>
                <w:rFonts w:cs="Times New Roman"/>
                <w:color w:val="000000" w:themeColor="text1"/>
              </w:rPr>
              <w:t>T</w:t>
            </w:r>
            <w:r w:rsidRPr="00A07C6E">
              <w:rPr>
                <w:rFonts w:cs="Times New Roman"/>
                <w:color w:val="000000" w:themeColor="text1"/>
              </w:rPr>
              <w:t>umor cells not derived from CFS</w:t>
            </w:r>
          </w:p>
        </w:tc>
      </w:tr>
      <w:tr w:rsidR="007F0E47" w:rsidRPr="001157F6" w14:paraId="69293CB2" w14:textId="77777777" w:rsidTr="007F0E47">
        <w:tc>
          <w:tcPr>
            <w:tcW w:w="4673" w:type="dxa"/>
          </w:tcPr>
          <w:p w14:paraId="20658929" w14:textId="77777777" w:rsidR="007F0E47" w:rsidRPr="001157F6" w:rsidRDefault="007F0E47" w:rsidP="007F0E47">
            <w:pPr>
              <w:jc w:val="center"/>
              <w:rPr>
                <w:rFonts w:cs="Times New Roman"/>
                <w:color w:val="000000" w:themeColor="text1"/>
              </w:rPr>
            </w:pPr>
            <w:r w:rsidRPr="001157F6">
              <w:rPr>
                <w:rFonts w:cs="Times New Roman"/>
                <w:color w:val="000000" w:themeColor="text1"/>
              </w:rPr>
              <w:t>Biopsy-free circulating tumor DNA assay identifies actionable mutations in lung cancer</w:t>
            </w:r>
          </w:p>
        </w:tc>
        <w:tc>
          <w:tcPr>
            <w:tcW w:w="2126" w:type="dxa"/>
          </w:tcPr>
          <w:p w14:paraId="724BC049" w14:textId="77777777" w:rsidR="007F0E47" w:rsidRPr="001157F6" w:rsidRDefault="007F0E47" w:rsidP="007F0E47">
            <w:pPr>
              <w:jc w:val="center"/>
              <w:rPr>
                <w:rFonts w:cs="Times New Roman"/>
                <w:color w:val="000000" w:themeColor="text1"/>
              </w:rPr>
            </w:pPr>
            <w:r w:rsidRPr="001157F6">
              <w:rPr>
                <w:rFonts w:cs="Times New Roman"/>
                <w:color w:val="000000" w:themeColor="text1"/>
                <w:shd w:val="clear" w:color="auto" w:fill="FFFFFF"/>
              </w:rPr>
              <w:t>Villaflor et al. 2016</w:t>
            </w:r>
          </w:p>
        </w:tc>
        <w:tc>
          <w:tcPr>
            <w:tcW w:w="1985" w:type="dxa"/>
          </w:tcPr>
          <w:p w14:paraId="5F1CA66B" w14:textId="77777777" w:rsidR="007F0E47" w:rsidRPr="001157F6" w:rsidRDefault="007F0E47" w:rsidP="007F0E47">
            <w:pPr>
              <w:jc w:val="center"/>
              <w:rPr>
                <w:rFonts w:cs="Times New Roman"/>
                <w:color w:val="000000" w:themeColor="text1"/>
              </w:rPr>
            </w:pPr>
            <w:r w:rsidRPr="001157F6">
              <w:rPr>
                <w:rFonts w:cs="Times New Roman"/>
                <w:color w:val="000000" w:themeColor="text1"/>
              </w:rPr>
              <w:t>T</w:t>
            </w:r>
            <w:r w:rsidRPr="00A07C6E">
              <w:rPr>
                <w:rFonts w:cs="Times New Roman"/>
                <w:color w:val="000000" w:themeColor="text1"/>
              </w:rPr>
              <w:t>umor cells not derived from CFS</w:t>
            </w:r>
          </w:p>
        </w:tc>
      </w:tr>
    </w:tbl>
    <w:p w14:paraId="039F635D" w14:textId="67964B0E" w:rsidR="00A07C6E" w:rsidRDefault="00730E5A">
      <w:pPr>
        <w:rPr>
          <w:rFonts w:cs="Times New Roman"/>
          <w:color w:val="000000" w:themeColor="text1"/>
        </w:rPr>
      </w:pPr>
      <w:r>
        <w:rPr>
          <w:rFonts w:cs="Times New Roman"/>
          <w:color w:val="000000" w:themeColor="text1"/>
        </w:rPr>
        <w:t>CSF</w:t>
      </w:r>
      <w:r w:rsidR="00272A94">
        <w:rPr>
          <w:rFonts w:cs="Times New Roman"/>
          <w:color w:val="000000" w:themeColor="text1"/>
        </w:rPr>
        <w:t xml:space="preserve">, </w:t>
      </w:r>
      <w:r>
        <w:rPr>
          <w:rFonts w:cs="Times New Roman"/>
          <w:color w:val="000000" w:themeColor="text1"/>
        </w:rPr>
        <w:t>cerebrospinal fluid</w:t>
      </w:r>
    </w:p>
    <w:p w14:paraId="3B12C283" w14:textId="59BCE0BF" w:rsidR="00730E5A" w:rsidRDefault="00730E5A">
      <w:pPr>
        <w:rPr>
          <w:rFonts w:cs="Times New Roman"/>
          <w:color w:val="000000" w:themeColor="text1"/>
        </w:rPr>
      </w:pPr>
    </w:p>
    <w:p w14:paraId="3E06F254" w14:textId="77777777" w:rsidR="00730E5A" w:rsidRPr="001157F6" w:rsidRDefault="00730E5A">
      <w:pPr>
        <w:rPr>
          <w:rFonts w:cs="Times New Roman"/>
          <w:color w:val="000000" w:themeColor="text1"/>
        </w:rPr>
      </w:pPr>
    </w:p>
    <w:p w14:paraId="3DDDBA49" w14:textId="73819F34" w:rsidR="00276015" w:rsidRPr="001157F6" w:rsidRDefault="00276015" w:rsidP="007F0E47">
      <w:pPr>
        <w:spacing w:line="276" w:lineRule="auto"/>
        <w:ind w:firstLine="284"/>
        <w:rPr>
          <w:rFonts w:cs="Times New Roman"/>
          <w:color w:val="000000" w:themeColor="text1"/>
          <w:shd w:val="clear" w:color="auto" w:fill="FFFFFF"/>
        </w:rPr>
      </w:pPr>
      <w:r w:rsidRPr="001157F6">
        <w:rPr>
          <w:rFonts w:cs="Times New Roman"/>
          <w:color w:val="000000" w:themeColor="text1"/>
          <w:shd w:val="clear" w:color="auto" w:fill="FFFFFF"/>
        </w:rPr>
        <w:t>Aldea M, Hendriks L, Mezquita L, Jovelet C, Planchard D, Auclin E, Remon J, Howarth K, Benitez JC, Gazzah A, Lavaud P, Naltet C, Lacroix L, de Kievit F, Morris C, Green E, Ngo-Camus M, Rouleau E, Massard C, Caramella C, Friboulet L, Besse B. Circulating Tumor DNA Analysis for Patients with Oncogene-Addicted NSCLC With Isolated Central Nervous System Progression. J Thorac Oncol. 2020 Mar;15(3):383-391. doi: 10.1016/j.jtho.2019.11.024. Epub 2019 Dec 13. PMID: 31843682.</w:t>
      </w:r>
    </w:p>
    <w:p w14:paraId="4EC581BB" w14:textId="0A0EB5E2" w:rsidR="00276015" w:rsidRPr="001157F6" w:rsidRDefault="00276015" w:rsidP="007F0E47">
      <w:pPr>
        <w:spacing w:line="276" w:lineRule="auto"/>
        <w:ind w:firstLine="284"/>
        <w:rPr>
          <w:rFonts w:cs="Times New Roman"/>
          <w:color w:val="000000" w:themeColor="text1"/>
          <w:shd w:val="clear" w:color="auto" w:fill="FFFFFF"/>
        </w:rPr>
      </w:pPr>
    </w:p>
    <w:p w14:paraId="3130E465" w14:textId="77777777" w:rsidR="00276015" w:rsidRPr="001157F6" w:rsidRDefault="00276015" w:rsidP="007F0E47">
      <w:pPr>
        <w:spacing w:line="276" w:lineRule="auto"/>
        <w:ind w:firstLine="284"/>
        <w:rPr>
          <w:rFonts w:cs="Times New Roman"/>
          <w:color w:val="000000" w:themeColor="text1"/>
          <w:shd w:val="clear" w:color="auto" w:fill="FFFFFF"/>
        </w:rPr>
      </w:pPr>
      <w:r w:rsidRPr="001157F6">
        <w:rPr>
          <w:rFonts w:cs="Times New Roman"/>
          <w:color w:val="000000" w:themeColor="text1"/>
          <w:shd w:val="clear" w:color="auto" w:fill="FFFFFF"/>
        </w:rPr>
        <w:t>Cheok SK, Narayan A, Arnal-Estape A, Gettinger S, Goldberg SB, Kluger HM, Nguyen D, Patel A, Chiang V. Tumor DNA Mutations From Intraparenchymal Brain Metastases Are Detectable in CSF. JCO Precis Oncol. 2021 Jan 12;5:PO.20.00292. doi: 10.1200/PO.20.00292. PMID: 34250381; PMCID: PMC8232069.</w:t>
      </w:r>
    </w:p>
    <w:p w14:paraId="3BB6C8E3" w14:textId="77777777" w:rsidR="00276015" w:rsidRPr="001157F6" w:rsidRDefault="00276015" w:rsidP="007F0E47">
      <w:pPr>
        <w:spacing w:line="276" w:lineRule="auto"/>
        <w:ind w:firstLine="284"/>
        <w:rPr>
          <w:rFonts w:cs="Times New Roman"/>
          <w:color w:val="000000" w:themeColor="text1"/>
          <w:shd w:val="clear" w:color="auto" w:fill="FFFFFF"/>
        </w:rPr>
      </w:pPr>
    </w:p>
    <w:p w14:paraId="6E459044" w14:textId="77777777" w:rsidR="00276015" w:rsidRPr="00A07C6E" w:rsidRDefault="00276015" w:rsidP="007F0E47">
      <w:pPr>
        <w:spacing w:line="276" w:lineRule="auto"/>
        <w:ind w:firstLine="284"/>
        <w:rPr>
          <w:rFonts w:eastAsia="Times New Roman" w:cs="Times New Roman"/>
          <w:color w:val="000000" w:themeColor="text1"/>
          <w:lang w:val="tr-TR" w:eastAsia="tr-TR"/>
        </w:rPr>
      </w:pPr>
      <w:r w:rsidRPr="001157F6">
        <w:rPr>
          <w:rFonts w:cs="Times New Roman"/>
          <w:color w:val="000000" w:themeColor="text1"/>
          <w:shd w:val="clear" w:color="auto" w:fill="FFFFFF"/>
        </w:rPr>
        <w:t>Chi Y, Remsik J, Kiseliovas V, Derderian C, Sener U, Alghader M, Saadeh F, Nikishina K, Bale T, Iacobuzio-Donahue C, Thomas T, Pe'er D, Mazutis L, Boire A. Cancer cells deploy lipocalin-2 to collect limiting iron in leptomeningeal metastasis. Science. 2020 Jul 17;369(6501):276-282. doi: 10.1126/science.aaz2193. PMID: 32675368; PMCID: PMC7816199.</w:t>
      </w:r>
    </w:p>
    <w:p w14:paraId="0809D13E" w14:textId="77777777" w:rsidR="00276015" w:rsidRPr="001157F6" w:rsidRDefault="00276015" w:rsidP="007F0E47">
      <w:pPr>
        <w:spacing w:line="276" w:lineRule="auto"/>
        <w:rPr>
          <w:rFonts w:cs="Times New Roman"/>
          <w:color w:val="000000" w:themeColor="text1"/>
          <w:shd w:val="clear" w:color="auto" w:fill="FFFFFF"/>
        </w:rPr>
      </w:pPr>
    </w:p>
    <w:p w14:paraId="06AE55F7" w14:textId="7E406905" w:rsidR="00A07C6E" w:rsidRPr="001157F6" w:rsidRDefault="00A07C6E" w:rsidP="007F0E47">
      <w:pPr>
        <w:spacing w:line="276" w:lineRule="auto"/>
        <w:ind w:firstLine="284"/>
        <w:rPr>
          <w:rFonts w:cs="Times New Roman"/>
          <w:color w:val="000000" w:themeColor="text1"/>
          <w:shd w:val="clear" w:color="auto" w:fill="FFFFFF"/>
        </w:rPr>
      </w:pPr>
      <w:r w:rsidRPr="001157F6">
        <w:rPr>
          <w:rFonts w:cs="Times New Roman"/>
          <w:color w:val="000000" w:themeColor="text1"/>
          <w:shd w:val="clear" w:color="auto" w:fill="FFFFFF"/>
        </w:rPr>
        <w:t>Li Y, Polyak D, Lamsam L, Connolly ID, Johnson E, Khoeur LK, Andersen S, Granucci M, Stanley G, Liu B, Nagpal S, Hayden Gephart M. Comprehensive RNA analysis of CSF reveals a role for CEACAM6 in lung cancer leptomeningeal metastases. NPJ Precis Oncol. 2021 Oct 8;5(1):90. doi: 10.1038/s41698-021-00228-6. PMID: 34625644; PMCID: PMC8501028.</w:t>
      </w:r>
    </w:p>
    <w:p w14:paraId="3F9EC8F1" w14:textId="4D4234DA" w:rsidR="00A07C6E" w:rsidRPr="001157F6" w:rsidRDefault="00A07C6E" w:rsidP="007F0E47">
      <w:pPr>
        <w:spacing w:line="276" w:lineRule="auto"/>
        <w:rPr>
          <w:rFonts w:cs="Times New Roman"/>
          <w:color w:val="000000" w:themeColor="text1"/>
          <w:shd w:val="clear" w:color="auto" w:fill="FFFFFF"/>
        </w:rPr>
      </w:pPr>
    </w:p>
    <w:p w14:paraId="7FF271A6" w14:textId="77D9669C" w:rsidR="001157F6" w:rsidRDefault="001157F6" w:rsidP="007F0E47">
      <w:pPr>
        <w:spacing w:line="276" w:lineRule="auto"/>
        <w:ind w:firstLine="284"/>
        <w:rPr>
          <w:rFonts w:cs="Times New Roman"/>
          <w:color w:val="000000" w:themeColor="text1"/>
          <w:shd w:val="clear" w:color="auto" w:fill="FFFFFF"/>
        </w:rPr>
      </w:pPr>
      <w:r w:rsidRPr="001157F6">
        <w:rPr>
          <w:rFonts w:cs="Times New Roman"/>
          <w:color w:val="000000" w:themeColor="text1"/>
          <w:shd w:val="clear" w:color="auto" w:fill="FFFFFF"/>
        </w:rPr>
        <w:t xml:space="preserve">Villaflor V, Won B, Nagy R, Banks K, Lanman RB, Talasaz A, Salgia R. Biopsy-free circulating tumor DNA assay identifies actionable mutations in lung cancer. Oncotarget. 2016 </w:t>
      </w:r>
      <w:r w:rsidRPr="001157F6">
        <w:rPr>
          <w:rFonts w:cs="Times New Roman"/>
          <w:color w:val="000000" w:themeColor="text1"/>
          <w:shd w:val="clear" w:color="auto" w:fill="FFFFFF"/>
        </w:rPr>
        <w:lastRenderedPageBreak/>
        <w:t>Oct 11;7(41):66880-66891. doi: 10.18632/oncotarget.11801. PMID: 27602770; PMCID: PMC5341844.</w:t>
      </w:r>
    </w:p>
    <w:p w14:paraId="6A425FD0" w14:textId="0F629332" w:rsidR="001157F6" w:rsidRDefault="001157F6" w:rsidP="007F0E47">
      <w:pPr>
        <w:spacing w:line="276" w:lineRule="auto"/>
        <w:ind w:firstLine="284"/>
        <w:rPr>
          <w:rFonts w:cs="Times New Roman"/>
          <w:color w:val="000000" w:themeColor="text1"/>
          <w:shd w:val="clear" w:color="auto" w:fill="FFFFFF"/>
        </w:rPr>
      </w:pPr>
    </w:p>
    <w:p w14:paraId="53B59677" w14:textId="77777777" w:rsidR="001157F6" w:rsidRPr="001157F6" w:rsidRDefault="001157F6" w:rsidP="007F0E47">
      <w:pPr>
        <w:spacing w:line="276" w:lineRule="auto"/>
        <w:ind w:firstLine="284"/>
        <w:rPr>
          <w:rFonts w:cs="Times New Roman"/>
          <w:color w:val="000000" w:themeColor="text1"/>
          <w:shd w:val="clear" w:color="auto" w:fill="FFFFFF"/>
        </w:rPr>
      </w:pPr>
    </w:p>
    <w:p w14:paraId="5BDE7A60" w14:textId="7B78CCBB" w:rsidR="00A07C6E" w:rsidRPr="001157F6" w:rsidRDefault="00A07C6E" w:rsidP="007F0E47">
      <w:pPr>
        <w:spacing w:line="276" w:lineRule="auto"/>
        <w:ind w:firstLine="284"/>
        <w:rPr>
          <w:rFonts w:cs="Times New Roman"/>
          <w:color w:val="000000" w:themeColor="text1"/>
          <w:shd w:val="clear" w:color="auto" w:fill="FFFFFF"/>
        </w:rPr>
      </w:pPr>
      <w:r w:rsidRPr="001157F6">
        <w:rPr>
          <w:rFonts w:cs="Times New Roman"/>
          <w:color w:val="000000" w:themeColor="text1"/>
          <w:shd w:val="clear" w:color="auto" w:fill="FFFFFF"/>
        </w:rPr>
        <w:t>White MD, Klein RH, Shaw B, Kim A, Subramanian M, Mora JL, Giobbie-Hurder A, Nagabhushan D, Jain A, Singh M, Kuter BM, Nayyar N, Bertalan MS, Stocking JH, Markson SC, Lastrapes M, Alvarez-Breckenridge C, Cahill DP, Gydush G, Rhoades J, Rotem D, Adalsteinsson VA, Mahar M, Kaplan A, Oh K, Sullivan RJ, Gerstner E, Carter SL, Brastianos PK. Detection of Leptomeningeal Disease Using Cell-Free DNA From Cerebrospinal Fluid. JAMA Netw Open. 2021 Aug 2;4(8):e2120040. doi: 10.1001/jamanetworkopen.2021.20040. PMID: 34369989; PMCID: PMC8353541.</w:t>
      </w:r>
    </w:p>
    <w:p w14:paraId="64532CA0" w14:textId="65E3D85B" w:rsidR="00332C66" w:rsidRPr="001157F6" w:rsidRDefault="00332C66" w:rsidP="007F0E47">
      <w:pPr>
        <w:spacing w:line="276" w:lineRule="auto"/>
        <w:ind w:firstLine="284"/>
        <w:rPr>
          <w:rFonts w:cs="Times New Roman"/>
          <w:color w:val="000000" w:themeColor="text1"/>
          <w:shd w:val="clear" w:color="auto" w:fill="FFFFFF"/>
        </w:rPr>
      </w:pPr>
    </w:p>
    <w:sectPr w:rsidR="00332C66" w:rsidRPr="00115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6E"/>
    <w:rsid w:val="001157F6"/>
    <w:rsid w:val="00143C90"/>
    <w:rsid w:val="00272A94"/>
    <w:rsid w:val="00276015"/>
    <w:rsid w:val="00332C66"/>
    <w:rsid w:val="00730E5A"/>
    <w:rsid w:val="007F0E47"/>
    <w:rsid w:val="00A07C6E"/>
    <w:rsid w:val="00A565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E6D8320"/>
  <w15:chartTrackingRefBased/>
  <w15:docId w15:val="{AA5579D3-A857-1342-BC24-FFE7CF49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C90"/>
    <w:pPr>
      <w:jc w:val="both"/>
    </w:pPr>
    <w:rPr>
      <w:rFonts w:ascii="Times New Roman" w:hAnsi="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7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7C6E"/>
    <w:pPr>
      <w:spacing w:before="100" w:beforeAutospacing="1" w:after="100" w:afterAutospacing="1"/>
      <w:jc w:val="left"/>
    </w:pPr>
    <w:rPr>
      <w:rFonts w:eastAsia="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70591">
      <w:bodyDiv w:val="1"/>
      <w:marLeft w:val="0"/>
      <w:marRight w:val="0"/>
      <w:marTop w:val="0"/>
      <w:marBottom w:val="0"/>
      <w:divBdr>
        <w:top w:val="none" w:sz="0" w:space="0" w:color="auto"/>
        <w:left w:val="none" w:sz="0" w:space="0" w:color="auto"/>
        <w:bottom w:val="none" w:sz="0" w:space="0" w:color="auto"/>
        <w:right w:val="none" w:sz="0" w:space="0" w:color="auto"/>
      </w:divBdr>
    </w:div>
    <w:div w:id="1095204851">
      <w:bodyDiv w:val="1"/>
      <w:marLeft w:val="0"/>
      <w:marRight w:val="0"/>
      <w:marTop w:val="0"/>
      <w:marBottom w:val="0"/>
      <w:divBdr>
        <w:top w:val="none" w:sz="0" w:space="0" w:color="auto"/>
        <w:left w:val="none" w:sz="0" w:space="0" w:color="auto"/>
        <w:bottom w:val="none" w:sz="0" w:space="0" w:color="auto"/>
        <w:right w:val="none" w:sz="0" w:space="0" w:color="auto"/>
      </w:divBdr>
    </w:div>
    <w:div w:id="1140610801">
      <w:bodyDiv w:val="1"/>
      <w:marLeft w:val="0"/>
      <w:marRight w:val="0"/>
      <w:marTop w:val="0"/>
      <w:marBottom w:val="0"/>
      <w:divBdr>
        <w:top w:val="none" w:sz="0" w:space="0" w:color="auto"/>
        <w:left w:val="none" w:sz="0" w:space="0" w:color="auto"/>
        <w:bottom w:val="none" w:sz="0" w:space="0" w:color="auto"/>
        <w:right w:val="none" w:sz="0" w:space="0" w:color="auto"/>
      </w:divBdr>
    </w:div>
    <w:div w:id="1202134903">
      <w:bodyDiv w:val="1"/>
      <w:marLeft w:val="0"/>
      <w:marRight w:val="0"/>
      <w:marTop w:val="0"/>
      <w:marBottom w:val="0"/>
      <w:divBdr>
        <w:top w:val="none" w:sz="0" w:space="0" w:color="auto"/>
        <w:left w:val="none" w:sz="0" w:space="0" w:color="auto"/>
        <w:bottom w:val="none" w:sz="0" w:space="0" w:color="auto"/>
        <w:right w:val="none" w:sz="0" w:space="0" w:color="auto"/>
      </w:divBdr>
    </w:div>
    <w:div w:id="1740977558">
      <w:bodyDiv w:val="1"/>
      <w:marLeft w:val="0"/>
      <w:marRight w:val="0"/>
      <w:marTop w:val="0"/>
      <w:marBottom w:val="0"/>
      <w:divBdr>
        <w:top w:val="none" w:sz="0" w:space="0" w:color="auto"/>
        <w:left w:val="none" w:sz="0" w:space="0" w:color="auto"/>
        <w:bottom w:val="none" w:sz="0" w:space="0" w:color="auto"/>
        <w:right w:val="none" w:sz="0" w:space="0" w:color="auto"/>
      </w:divBdr>
    </w:div>
    <w:div w:id="20269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476</Words>
  <Characters>2714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Çongur</dc:creator>
  <cp:keywords/>
  <dc:description/>
  <cp:lastModifiedBy>İrem Çongur</cp:lastModifiedBy>
  <cp:revision>5</cp:revision>
  <dcterms:created xsi:type="dcterms:W3CDTF">2023-01-23T14:29:00Z</dcterms:created>
  <dcterms:modified xsi:type="dcterms:W3CDTF">2023-01-23T16:16:00Z</dcterms:modified>
</cp:coreProperties>
</file>