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2255" w14:textId="77777777" w:rsidR="00BA7210" w:rsidRDefault="00000000">
      <w:pPr>
        <w:pStyle w:val="a3"/>
        <w:spacing w:before="28" w:line="249" w:lineRule="auto"/>
        <w:ind w:left="498"/>
      </w:pPr>
      <w:r>
        <w:rPr>
          <w:color w:val="231F20"/>
          <w:w w:val="105"/>
        </w:rPr>
        <w:t>NOTE:</w:t>
      </w:r>
      <w:r>
        <w:rPr>
          <w:color w:val="231F20"/>
          <w:spacing w:val="-16"/>
          <w:w w:val="105"/>
        </w:rPr>
        <w:t xml:space="preserve"> </w:t>
      </w:r>
      <w:r>
        <w:rPr>
          <w:color w:val="231F20"/>
          <w:w w:val="105"/>
        </w:rPr>
        <w:t>Please</w:t>
      </w:r>
      <w:r>
        <w:rPr>
          <w:color w:val="231F20"/>
          <w:spacing w:val="-16"/>
          <w:w w:val="105"/>
        </w:rPr>
        <w:t xml:space="preserve"> </w:t>
      </w:r>
      <w:r>
        <w:rPr>
          <w:color w:val="231F20"/>
          <w:w w:val="105"/>
        </w:rPr>
        <w:t>save</w:t>
      </w:r>
      <w:r>
        <w:rPr>
          <w:color w:val="231F20"/>
          <w:spacing w:val="-16"/>
          <w:w w:val="105"/>
        </w:rPr>
        <w:t xml:space="preserve"> </w:t>
      </w:r>
      <w:r>
        <w:rPr>
          <w:color w:val="231F20"/>
          <w:w w:val="105"/>
        </w:rPr>
        <w:t>this</w:t>
      </w:r>
      <w:r>
        <w:rPr>
          <w:color w:val="231F20"/>
          <w:spacing w:val="-15"/>
          <w:w w:val="105"/>
        </w:rPr>
        <w:t xml:space="preserve"> </w:t>
      </w:r>
      <w:r>
        <w:rPr>
          <w:color w:val="231F20"/>
          <w:w w:val="105"/>
        </w:rPr>
        <w:t>file</w:t>
      </w:r>
      <w:r>
        <w:rPr>
          <w:color w:val="231F20"/>
          <w:spacing w:val="-16"/>
          <w:w w:val="105"/>
        </w:rPr>
        <w:t xml:space="preserve"> </w:t>
      </w:r>
      <w:r>
        <w:rPr>
          <w:color w:val="231F20"/>
          <w:w w:val="105"/>
        </w:rPr>
        <w:t>locally</w:t>
      </w:r>
      <w:r>
        <w:rPr>
          <w:color w:val="231F20"/>
          <w:spacing w:val="-18"/>
          <w:w w:val="105"/>
        </w:rPr>
        <w:t xml:space="preserve"> </w:t>
      </w:r>
      <w:r>
        <w:rPr>
          <w:color w:val="231F20"/>
          <w:w w:val="105"/>
        </w:rPr>
        <w:t>before</w:t>
      </w:r>
      <w:r>
        <w:rPr>
          <w:color w:val="231F20"/>
          <w:spacing w:val="-15"/>
          <w:w w:val="105"/>
        </w:rPr>
        <w:t xml:space="preserve"> </w:t>
      </w:r>
      <w:r>
        <w:rPr>
          <w:color w:val="231F20"/>
          <w:w w:val="105"/>
        </w:rPr>
        <w:t>filling</w:t>
      </w:r>
      <w:r>
        <w:rPr>
          <w:color w:val="231F20"/>
          <w:spacing w:val="-16"/>
          <w:w w:val="105"/>
        </w:rPr>
        <w:t xml:space="preserve"> </w:t>
      </w:r>
      <w:r>
        <w:rPr>
          <w:color w:val="231F20"/>
          <w:w w:val="105"/>
        </w:rPr>
        <w:t>in</w:t>
      </w:r>
      <w:r>
        <w:rPr>
          <w:color w:val="231F20"/>
          <w:spacing w:val="-16"/>
          <w:w w:val="105"/>
        </w:rPr>
        <w:t xml:space="preserve"> </w:t>
      </w:r>
      <w:r>
        <w:rPr>
          <w:color w:val="231F20"/>
          <w:w w:val="105"/>
        </w:rPr>
        <w:t>the</w:t>
      </w:r>
      <w:r>
        <w:rPr>
          <w:color w:val="231F20"/>
          <w:spacing w:val="-15"/>
          <w:w w:val="105"/>
        </w:rPr>
        <w:t xml:space="preserve"> </w:t>
      </w:r>
      <w:r>
        <w:rPr>
          <w:color w:val="231F20"/>
          <w:w w:val="105"/>
        </w:rPr>
        <w:t>table,</w:t>
      </w:r>
      <w:r>
        <w:rPr>
          <w:color w:val="231F20"/>
          <w:spacing w:val="-16"/>
          <w:w w:val="105"/>
        </w:rPr>
        <w:t xml:space="preserve"> </w:t>
      </w:r>
      <w:r>
        <w:rPr>
          <w:color w:val="231F20"/>
          <w:w w:val="105"/>
        </w:rPr>
        <w:t>DO</w:t>
      </w:r>
      <w:r>
        <w:rPr>
          <w:color w:val="231F20"/>
          <w:spacing w:val="-16"/>
          <w:w w:val="105"/>
        </w:rPr>
        <w:t xml:space="preserve"> </w:t>
      </w:r>
      <w:r>
        <w:rPr>
          <w:color w:val="231F20"/>
          <w:w w:val="105"/>
        </w:rPr>
        <w:t>NOT</w:t>
      </w:r>
      <w:r>
        <w:rPr>
          <w:color w:val="231F20"/>
          <w:spacing w:val="-16"/>
          <w:w w:val="105"/>
        </w:rPr>
        <w:t xml:space="preserve"> </w:t>
      </w:r>
      <w:r>
        <w:rPr>
          <w:color w:val="231F20"/>
          <w:w w:val="105"/>
        </w:rPr>
        <w:t>work</w:t>
      </w:r>
      <w:r>
        <w:rPr>
          <w:color w:val="231F20"/>
          <w:spacing w:val="-16"/>
          <w:w w:val="105"/>
        </w:rPr>
        <w:t xml:space="preserve"> </w:t>
      </w:r>
      <w:r>
        <w:rPr>
          <w:color w:val="231F20"/>
          <w:w w:val="105"/>
        </w:rPr>
        <w:t>on</w:t>
      </w:r>
      <w:r>
        <w:rPr>
          <w:color w:val="231F20"/>
          <w:spacing w:val="-16"/>
          <w:w w:val="105"/>
        </w:rPr>
        <w:t xml:space="preserve"> </w:t>
      </w:r>
      <w:r>
        <w:rPr>
          <w:color w:val="231F20"/>
          <w:w w:val="105"/>
        </w:rPr>
        <w:t>the</w:t>
      </w:r>
      <w:r>
        <w:rPr>
          <w:color w:val="231F20"/>
          <w:spacing w:val="-16"/>
          <w:w w:val="105"/>
        </w:rPr>
        <w:t xml:space="preserve"> </w:t>
      </w:r>
      <w:r>
        <w:rPr>
          <w:color w:val="231F20"/>
          <w:w w:val="105"/>
        </w:rPr>
        <w:t>file</w:t>
      </w:r>
      <w:r>
        <w:rPr>
          <w:color w:val="231F20"/>
          <w:spacing w:val="-15"/>
          <w:w w:val="105"/>
        </w:rPr>
        <w:t xml:space="preserve"> </w:t>
      </w:r>
      <w:r>
        <w:rPr>
          <w:color w:val="231F20"/>
          <w:w w:val="105"/>
        </w:rPr>
        <w:t>within</w:t>
      </w:r>
      <w:r>
        <w:rPr>
          <w:color w:val="231F20"/>
          <w:spacing w:val="-18"/>
          <w:w w:val="105"/>
        </w:rPr>
        <w:t xml:space="preserve"> </w:t>
      </w:r>
      <w:r>
        <w:rPr>
          <w:color w:val="231F20"/>
          <w:w w:val="105"/>
        </w:rPr>
        <w:t>your</w:t>
      </w:r>
      <w:r>
        <w:rPr>
          <w:color w:val="231F20"/>
          <w:spacing w:val="-15"/>
          <w:w w:val="105"/>
        </w:rPr>
        <w:t xml:space="preserve"> </w:t>
      </w:r>
      <w:r>
        <w:rPr>
          <w:color w:val="231F20"/>
          <w:w w:val="105"/>
        </w:rPr>
        <w:t>internet</w:t>
      </w:r>
      <w:r>
        <w:rPr>
          <w:color w:val="231F20"/>
          <w:spacing w:val="-16"/>
          <w:w w:val="105"/>
        </w:rPr>
        <w:t xml:space="preserve"> </w:t>
      </w:r>
      <w:r>
        <w:rPr>
          <w:color w:val="231F20"/>
          <w:w w:val="105"/>
        </w:rPr>
        <w:t>browser</w:t>
      </w:r>
      <w:r>
        <w:rPr>
          <w:color w:val="231F20"/>
          <w:spacing w:val="-16"/>
          <w:w w:val="105"/>
        </w:rPr>
        <w:t xml:space="preserve"> </w:t>
      </w:r>
      <w:r>
        <w:rPr>
          <w:color w:val="231F20"/>
          <w:w w:val="105"/>
        </w:rPr>
        <w:t>as</w:t>
      </w:r>
      <w:r>
        <w:rPr>
          <w:color w:val="231F20"/>
          <w:spacing w:val="-16"/>
          <w:w w:val="105"/>
        </w:rPr>
        <w:t xml:space="preserve"> </w:t>
      </w:r>
      <w:r>
        <w:rPr>
          <w:color w:val="231F20"/>
          <w:w w:val="105"/>
        </w:rPr>
        <w:t>changes</w:t>
      </w:r>
      <w:r>
        <w:rPr>
          <w:color w:val="231F20"/>
          <w:spacing w:val="-15"/>
          <w:w w:val="105"/>
        </w:rPr>
        <w:t xml:space="preserve"> </w:t>
      </w:r>
      <w:r>
        <w:rPr>
          <w:color w:val="231F20"/>
          <w:w w:val="105"/>
        </w:rPr>
        <w:t>will</w:t>
      </w:r>
      <w:r>
        <w:rPr>
          <w:color w:val="231F20"/>
          <w:spacing w:val="-16"/>
          <w:w w:val="105"/>
        </w:rPr>
        <w:t xml:space="preserve"> </w:t>
      </w:r>
      <w:r>
        <w:rPr>
          <w:color w:val="231F20"/>
          <w:w w:val="105"/>
        </w:rPr>
        <w:t>not</w:t>
      </w:r>
      <w:r>
        <w:rPr>
          <w:color w:val="231F20"/>
          <w:spacing w:val="-16"/>
          <w:w w:val="105"/>
        </w:rPr>
        <w:t xml:space="preserve"> </w:t>
      </w:r>
      <w:r>
        <w:rPr>
          <w:color w:val="231F20"/>
          <w:w w:val="105"/>
        </w:rPr>
        <w:t>be</w:t>
      </w:r>
      <w:r>
        <w:rPr>
          <w:color w:val="231F20"/>
          <w:spacing w:val="-15"/>
          <w:w w:val="105"/>
        </w:rPr>
        <w:t xml:space="preserve"> </w:t>
      </w:r>
      <w:r>
        <w:rPr>
          <w:color w:val="231F20"/>
          <w:w w:val="105"/>
        </w:rPr>
        <w:t>saved.</w:t>
      </w:r>
      <w:r>
        <w:rPr>
          <w:color w:val="231F20"/>
          <w:spacing w:val="-16"/>
          <w:w w:val="105"/>
        </w:rPr>
        <w:t xml:space="preserve"> </w:t>
      </w:r>
      <w:r>
        <w:rPr>
          <w:color w:val="231F20"/>
          <w:w w:val="105"/>
        </w:rPr>
        <w:t>Adobe Acrobat</w:t>
      </w:r>
      <w:r>
        <w:rPr>
          <w:color w:val="231F20"/>
          <w:spacing w:val="-12"/>
          <w:w w:val="105"/>
        </w:rPr>
        <w:t xml:space="preserve"> </w:t>
      </w:r>
      <w:r>
        <w:rPr>
          <w:color w:val="231F20"/>
          <w:w w:val="105"/>
        </w:rPr>
        <w:t>Reader</w:t>
      </w:r>
      <w:r>
        <w:rPr>
          <w:color w:val="231F20"/>
          <w:spacing w:val="-11"/>
          <w:w w:val="105"/>
        </w:rPr>
        <w:t xml:space="preserve"> </w:t>
      </w:r>
      <w:r>
        <w:rPr>
          <w:color w:val="231F20"/>
          <w:w w:val="105"/>
        </w:rPr>
        <w:t>(available</w:t>
      </w:r>
      <w:r>
        <w:rPr>
          <w:color w:val="231F20"/>
          <w:spacing w:val="-12"/>
          <w:w w:val="105"/>
        </w:rPr>
        <w:t xml:space="preserve"> </w:t>
      </w:r>
      <w:r>
        <w:rPr>
          <w:color w:val="231F20"/>
          <w:w w:val="105"/>
        </w:rPr>
        <w:t>free</w:t>
      </w:r>
      <w:r>
        <w:rPr>
          <w:color w:val="231F20"/>
          <w:spacing w:val="-11"/>
          <w:w w:val="105"/>
        </w:rPr>
        <w:t xml:space="preserve"> </w:t>
      </w:r>
      <w:hyperlink r:id="rId7">
        <w:r>
          <w:rPr>
            <w:color w:val="7F007F"/>
            <w:w w:val="105"/>
          </w:rPr>
          <w:t>here</w:t>
        </w:r>
      </w:hyperlink>
      <w:r>
        <w:rPr>
          <w:color w:val="231F20"/>
          <w:w w:val="105"/>
        </w:rPr>
        <w:t>)</w:t>
      </w:r>
      <w:r>
        <w:rPr>
          <w:color w:val="231F20"/>
          <w:spacing w:val="-12"/>
          <w:w w:val="105"/>
        </w:rPr>
        <w:t xml:space="preserve"> </w:t>
      </w:r>
      <w:r>
        <w:rPr>
          <w:color w:val="231F20"/>
          <w:w w:val="105"/>
        </w:rPr>
        <w:t>is</w:t>
      </w:r>
      <w:r>
        <w:rPr>
          <w:color w:val="231F20"/>
          <w:spacing w:val="-11"/>
          <w:w w:val="105"/>
        </w:rPr>
        <w:t xml:space="preserve"> </w:t>
      </w:r>
      <w:r>
        <w:rPr>
          <w:color w:val="231F20"/>
          <w:w w:val="105"/>
        </w:rPr>
        <w:t>recommended</w:t>
      </w:r>
      <w:r>
        <w:rPr>
          <w:color w:val="231F20"/>
          <w:spacing w:val="-11"/>
          <w:w w:val="105"/>
        </w:rPr>
        <w:t xml:space="preserve"> </w:t>
      </w:r>
      <w:r>
        <w:rPr>
          <w:color w:val="231F20"/>
          <w:w w:val="105"/>
        </w:rPr>
        <w:t>for</w:t>
      </w:r>
      <w:r>
        <w:rPr>
          <w:color w:val="231F20"/>
          <w:spacing w:val="-12"/>
          <w:w w:val="105"/>
        </w:rPr>
        <w:t xml:space="preserve"> </w:t>
      </w:r>
      <w:r>
        <w:rPr>
          <w:color w:val="231F20"/>
          <w:w w:val="105"/>
        </w:rPr>
        <w:t>completion.</w:t>
      </w:r>
    </w:p>
    <w:p w14:paraId="4254F630" w14:textId="77777777" w:rsidR="00BA7210" w:rsidRDefault="00BA7210">
      <w:pPr>
        <w:pStyle w:val="a3"/>
        <w:rPr>
          <w:sz w:val="16"/>
        </w:rPr>
      </w:pPr>
    </w:p>
    <w:p w14:paraId="50756B13" w14:textId="77777777" w:rsidR="00BA7210" w:rsidRDefault="00BA7210">
      <w:pPr>
        <w:pStyle w:val="a3"/>
        <w:rPr>
          <w:sz w:val="16"/>
        </w:rPr>
      </w:pPr>
    </w:p>
    <w:p w14:paraId="4399975C" w14:textId="77777777" w:rsidR="00BA7210" w:rsidRDefault="00000000">
      <w:pPr>
        <w:spacing w:before="113"/>
        <w:ind w:left="2562"/>
        <w:rPr>
          <w:rFonts w:ascii="Century"/>
          <w:sz w:val="40"/>
        </w:rPr>
      </w:pPr>
      <w:r>
        <w:rPr>
          <w:noProof/>
        </w:rPr>
        <w:drawing>
          <wp:anchor distT="0" distB="0" distL="0" distR="0" simplePos="0" relativeHeight="251659264" behindDoc="0" locked="0" layoutInCell="1" allowOverlap="1" wp14:anchorId="6731627B" wp14:editId="6C9BF447">
            <wp:simplePos x="0" y="0"/>
            <wp:positionH relativeFrom="page">
              <wp:posOffset>505460</wp:posOffset>
            </wp:positionH>
            <wp:positionV relativeFrom="paragraph">
              <wp:posOffset>-9525</wp:posOffset>
            </wp:positionV>
            <wp:extent cx="1024255" cy="4375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1023938" cy="437201"/>
                    </a:xfrm>
                    <a:prstGeom prst="rect">
                      <a:avLst/>
                    </a:prstGeom>
                  </pic:spPr>
                </pic:pic>
              </a:graphicData>
            </a:graphic>
          </wp:anchor>
        </w:drawing>
      </w:r>
      <w:r>
        <w:rPr>
          <w:rFonts w:ascii="Century"/>
          <w:color w:val="231F20"/>
          <w:sz w:val="40"/>
        </w:rPr>
        <w:t>The ARRIVE guidelines 2.0: author checklist</w:t>
      </w:r>
    </w:p>
    <w:p w14:paraId="76508DFE" w14:textId="77777777" w:rsidR="00BA7210" w:rsidRDefault="00BA7210">
      <w:pPr>
        <w:pStyle w:val="a3"/>
        <w:rPr>
          <w:rFonts w:ascii="Century"/>
          <w:sz w:val="20"/>
        </w:rPr>
      </w:pPr>
    </w:p>
    <w:p w14:paraId="0B6446DB" w14:textId="77777777" w:rsidR="00BA7210" w:rsidRDefault="00BA7210">
      <w:pPr>
        <w:pStyle w:val="a3"/>
        <w:spacing w:before="7" w:after="1"/>
        <w:rPr>
          <w:rFonts w:ascii="Century"/>
          <w:sz w:val="18"/>
        </w:rPr>
      </w:pPr>
    </w:p>
    <w:tbl>
      <w:tblPr>
        <w:tblW w:w="0" w:type="auto"/>
        <w:tblInd w:w="387" w:type="dxa"/>
        <w:tblBorders>
          <w:top w:val="single" w:sz="6" w:space="0" w:color="762F67"/>
          <w:left w:val="single" w:sz="6" w:space="0" w:color="762F67"/>
          <w:bottom w:val="single" w:sz="6" w:space="0" w:color="762F67"/>
          <w:right w:val="single" w:sz="6" w:space="0" w:color="762F67"/>
          <w:insideH w:val="single" w:sz="6" w:space="0" w:color="762F67"/>
          <w:insideV w:val="single" w:sz="6" w:space="0" w:color="762F67"/>
        </w:tblBorders>
        <w:tblLayout w:type="fixed"/>
        <w:tblCellMar>
          <w:left w:w="0" w:type="dxa"/>
          <w:right w:w="0" w:type="dxa"/>
        </w:tblCellMar>
        <w:tblLook w:val="04A0" w:firstRow="1" w:lastRow="0" w:firstColumn="1" w:lastColumn="0" w:noHBand="0" w:noVBand="1"/>
      </w:tblPr>
      <w:tblGrid>
        <w:gridCol w:w="1457"/>
        <w:gridCol w:w="398"/>
        <w:gridCol w:w="6894"/>
        <w:gridCol w:w="1718"/>
      </w:tblGrid>
      <w:tr w:rsidR="00BA7210" w14:paraId="7236D57D" w14:textId="77777777">
        <w:trPr>
          <w:trHeight w:val="489"/>
        </w:trPr>
        <w:tc>
          <w:tcPr>
            <w:tcW w:w="10467" w:type="dxa"/>
            <w:gridSpan w:val="4"/>
            <w:tcBorders>
              <w:top w:val="nil"/>
              <w:left w:val="nil"/>
              <w:bottom w:val="nil"/>
              <w:right w:val="nil"/>
            </w:tcBorders>
            <w:shd w:val="clear" w:color="auto" w:fill="762F67"/>
          </w:tcPr>
          <w:p w14:paraId="20FF0385" w14:textId="77777777" w:rsidR="00BA7210" w:rsidRDefault="00000000">
            <w:pPr>
              <w:pStyle w:val="TableParagraph"/>
              <w:spacing w:before="60"/>
              <w:ind w:left="141"/>
              <w:rPr>
                <w:rFonts w:ascii="Century"/>
                <w:sz w:val="32"/>
              </w:rPr>
            </w:pPr>
            <w:r>
              <w:rPr>
                <w:rFonts w:ascii="Century"/>
                <w:color w:val="FFFFFF"/>
                <w:sz w:val="32"/>
              </w:rPr>
              <w:t>The ARRIVE Essential 10</w:t>
            </w:r>
          </w:p>
        </w:tc>
      </w:tr>
      <w:tr w:rsidR="00BA7210" w14:paraId="3B06EF76" w14:textId="77777777">
        <w:trPr>
          <w:trHeight w:val="679"/>
        </w:trPr>
        <w:tc>
          <w:tcPr>
            <w:tcW w:w="10467" w:type="dxa"/>
            <w:gridSpan w:val="4"/>
            <w:tcBorders>
              <w:top w:val="nil"/>
              <w:left w:val="nil"/>
              <w:right w:val="nil"/>
            </w:tcBorders>
            <w:shd w:val="clear" w:color="auto" w:fill="D9C8D2"/>
          </w:tcPr>
          <w:p w14:paraId="3CA903E3" w14:textId="77777777" w:rsidR="00BA7210" w:rsidRDefault="00000000">
            <w:pPr>
              <w:pStyle w:val="TableParagraph"/>
              <w:spacing w:before="80"/>
              <w:ind w:left="141"/>
              <w:rPr>
                <w:rFonts w:ascii="Century"/>
                <w:sz w:val="20"/>
              </w:rPr>
            </w:pPr>
            <w:r>
              <w:rPr>
                <w:rFonts w:ascii="Century"/>
                <w:color w:val="434142"/>
                <w:sz w:val="20"/>
              </w:rPr>
              <w:t>These</w:t>
            </w:r>
            <w:r>
              <w:rPr>
                <w:rFonts w:ascii="Century"/>
                <w:color w:val="434142"/>
                <w:spacing w:val="-15"/>
                <w:sz w:val="20"/>
              </w:rPr>
              <w:t xml:space="preserve"> </w:t>
            </w:r>
            <w:r>
              <w:rPr>
                <w:rFonts w:ascii="Century"/>
                <w:color w:val="434142"/>
                <w:sz w:val="20"/>
              </w:rPr>
              <w:t>items</w:t>
            </w:r>
            <w:r>
              <w:rPr>
                <w:rFonts w:ascii="Century"/>
                <w:color w:val="434142"/>
                <w:spacing w:val="-14"/>
                <w:sz w:val="20"/>
              </w:rPr>
              <w:t xml:space="preserve"> </w:t>
            </w:r>
            <w:r>
              <w:rPr>
                <w:rFonts w:ascii="Century"/>
                <w:color w:val="434142"/>
                <w:sz w:val="20"/>
              </w:rPr>
              <w:t>are</w:t>
            </w:r>
            <w:r>
              <w:rPr>
                <w:rFonts w:ascii="Century"/>
                <w:color w:val="434142"/>
                <w:spacing w:val="-14"/>
                <w:sz w:val="20"/>
              </w:rPr>
              <w:t xml:space="preserve"> </w:t>
            </w:r>
            <w:r>
              <w:rPr>
                <w:rFonts w:ascii="Century"/>
                <w:color w:val="434142"/>
                <w:sz w:val="20"/>
              </w:rPr>
              <w:t>the</w:t>
            </w:r>
            <w:r>
              <w:rPr>
                <w:rFonts w:ascii="Century"/>
                <w:color w:val="434142"/>
                <w:spacing w:val="-14"/>
                <w:sz w:val="20"/>
              </w:rPr>
              <w:t xml:space="preserve"> </w:t>
            </w:r>
            <w:r>
              <w:rPr>
                <w:rFonts w:ascii="Century"/>
                <w:color w:val="434142"/>
                <w:sz w:val="20"/>
              </w:rPr>
              <w:t>basic</w:t>
            </w:r>
            <w:r>
              <w:rPr>
                <w:rFonts w:ascii="Century"/>
                <w:color w:val="434142"/>
                <w:spacing w:val="-14"/>
                <w:sz w:val="20"/>
              </w:rPr>
              <w:t xml:space="preserve"> </w:t>
            </w:r>
            <w:r>
              <w:rPr>
                <w:rFonts w:ascii="Century"/>
                <w:color w:val="434142"/>
                <w:spacing w:val="2"/>
                <w:sz w:val="20"/>
              </w:rPr>
              <w:t>minimum</w:t>
            </w:r>
            <w:r>
              <w:rPr>
                <w:rFonts w:ascii="Century"/>
                <w:color w:val="434142"/>
                <w:spacing w:val="-14"/>
                <w:sz w:val="20"/>
              </w:rPr>
              <w:t xml:space="preserve"> </w:t>
            </w:r>
            <w:r>
              <w:rPr>
                <w:rFonts w:ascii="Century"/>
                <w:color w:val="434142"/>
                <w:sz w:val="20"/>
              </w:rPr>
              <w:t>to</w:t>
            </w:r>
            <w:r>
              <w:rPr>
                <w:rFonts w:ascii="Century"/>
                <w:color w:val="434142"/>
                <w:spacing w:val="-14"/>
                <w:sz w:val="20"/>
              </w:rPr>
              <w:t xml:space="preserve"> </w:t>
            </w:r>
            <w:r>
              <w:rPr>
                <w:rFonts w:ascii="Century"/>
                <w:color w:val="434142"/>
                <w:sz w:val="20"/>
              </w:rPr>
              <w:t>include</w:t>
            </w:r>
            <w:r>
              <w:rPr>
                <w:rFonts w:ascii="Century"/>
                <w:color w:val="434142"/>
                <w:spacing w:val="-14"/>
                <w:sz w:val="20"/>
              </w:rPr>
              <w:t xml:space="preserve"> </w:t>
            </w:r>
            <w:r>
              <w:rPr>
                <w:rFonts w:ascii="Century"/>
                <w:color w:val="434142"/>
                <w:sz w:val="20"/>
              </w:rPr>
              <w:t>in</w:t>
            </w:r>
            <w:r>
              <w:rPr>
                <w:rFonts w:ascii="Century"/>
                <w:color w:val="434142"/>
                <w:spacing w:val="-14"/>
                <w:sz w:val="20"/>
              </w:rPr>
              <w:t xml:space="preserve"> </w:t>
            </w:r>
            <w:r>
              <w:rPr>
                <w:rFonts w:ascii="Century"/>
                <w:color w:val="434142"/>
                <w:sz w:val="20"/>
              </w:rPr>
              <w:t>a</w:t>
            </w:r>
            <w:r>
              <w:rPr>
                <w:rFonts w:ascii="Century"/>
                <w:color w:val="434142"/>
                <w:spacing w:val="-14"/>
                <w:sz w:val="20"/>
              </w:rPr>
              <w:t xml:space="preserve"> </w:t>
            </w:r>
            <w:r>
              <w:rPr>
                <w:rFonts w:ascii="Century"/>
                <w:color w:val="434142"/>
                <w:sz w:val="20"/>
              </w:rPr>
              <w:t>manuscript.</w:t>
            </w:r>
            <w:r>
              <w:rPr>
                <w:rFonts w:ascii="Century"/>
                <w:color w:val="434142"/>
                <w:spacing w:val="-14"/>
                <w:sz w:val="20"/>
              </w:rPr>
              <w:t xml:space="preserve"> </w:t>
            </w:r>
            <w:r>
              <w:rPr>
                <w:rFonts w:ascii="Century"/>
                <w:color w:val="434142"/>
                <w:sz w:val="20"/>
              </w:rPr>
              <w:t>Without</w:t>
            </w:r>
            <w:r>
              <w:rPr>
                <w:rFonts w:ascii="Century"/>
                <w:color w:val="434142"/>
                <w:spacing w:val="-14"/>
                <w:sz w:val="20"/>
              </w:rPr>
              <w:t xml:space="preserve"> </w:t>
            </w:r>
            <w:r>
              <w:rPr>
                <w:rFonts w:ascii="Century"/>
                <w:color w:val="434142"/>
                <w:spacing w:val="2"/>
                <w:sz w:val="20"/>
              </w:rPr>
              <w:t>this</w:t>
            </w:r>
            <w:r>
              <w:rPr>
                <w:rFonts w:ascii="Century"/>
                <w:color w:val="434142"/>
                <w:spacing w:val="-14"/>
                <w:sz w:val="20"/>
              </w:rPr>
              <w:t xml:space="preserve"> </w:t>
            </w:r>
            <w:r>
              <w:rPr>
                <w:rFonts w:ascii="Century"/>
                <w:color w:val="434142"/>
                <w:sz w:val="20"/>
              </w:rPr>
              <w:t>information,</w:t>
            </w:r>
            <w:r>
              <w:rPr>
                <w:rFonts w:ascii="Century"/>
                <w:color w:val="434142"/>
                <w:spacing w:val="-14"/>
                <w:sz w:val="20"/>
              </w:rPr>
              <w:t xml:space="preserve"> </w:t>
            </w:r>
            <w:r>
              <w:rPr>
                <w:rFonts w:ascii="Century"/>
                <w:color w:val="434142"/>
                <w:sz w:val="20"/>
              </w:rPr>
              <w:t>readers</w:t>
            </w:r>
            <w:r>
              <w:rPr>
                <w:rFonts w:ascii="Century"/>
                <w:color w:val="434142"/>
                <w:spacing w:val="-14"/>
                <w:sz w:val="20"/>
              </w:rPr>
              <w:t xml:space="preserve"> </w:t>
            </w:r>
            <w:r>
              <w:rPr>
                <w:rFonts w:ascii="Century"/>
                <w:color w:val="434142"/>
                <w:sz w:val="20"/>
              </w:rPr>
              <w:t>and</w:t>
            </w:r>
            <w:r>
              <w:rPr>
                <w:rFonts w:ascii="Century"/>
                <w:color w:val="434142"/>
                <w:spacing w:val="-14"/>
                <w:sz w:val="20"/>
              </w:rPr>
              <w:t xml:space="preserve"> </w:t>
            </w:r>
            <w:r>
              <w:rPr>
                <w:rFonts w:ascii="Century"/>
                <w:color w:val="434142"/>
                <w:sz w:val="20"/>
              </w:rPr>
              <w:t>reviewers cannot assess the reliability of the</w:t>
            </w:r>
            <w:r>
              <w:rPr>
                <w:rFonts w:ascii="Century"/>
                <w:color w:val="434142"/>
                <w:spacing w:val="-29"/>
                <w:sz w:val="20"/>
              </w:rPr>
              <w:t xml:space="preserve"> </w:t>
            </w:r>
            <w:r>
              <w:rPr>
                <w:rFonts w:ascii="Century"/>
                <w:color w:val="434142"/>
                <w:sz w:val="20"/>
              </w:rPr>
              <w:t>findings.</w:t>
            </w:r>
          </w:p>
        </w:tc>
      </w:tr>
      <w:tr w:rsidR="00BA7210" w14:paraId="1D6EAECE" w14:textId="77777777">
        <w:trPr>
          <w:trHeight w:val="775"/>
        </w:trPr>
        <w:tc>
          <w:tcPr>
            <w:tcW w:w="1457" w:type="dxa"/>
            <w:tcBorders>
              <w:left w:val="nil"/>
              <w:right w:val="nil"/>
            </w:tcBorders>
          </w:tcPr>
          <w:p w14:paraId="141D4D19" w14:textId="77777777" w:rsidR="00BA7210" w:rsidRDefault="00BA7210">
            <w:pPr>
              <w:pStyle w:val="TableParagraph"/>
              <w:spacing w:before="1"/>
              <w:rPr>
                <w:rFonts w:ascii="Century"/>
                <w:sz w:val="23"/>
              </w:rPr>
            </w:pPr>
          </w:p>
          <w:p w14:paraId="432379A5" w14:textId="77777777" w:rsidR="00BA7210" w:rsidRDefault="00000000">
            <w:pPr>
              <w:pStyle w:val="TableParagraph"/>
              <w:spacing w:before="0"/>
              <w:ind w:left="730"/>
              <w:rPr>
                <w:rFonts w:ascii="Gill Sans MT"/>
                <w:b/>
                <w:sz w:val="17"/>
              </w:rPr>
            </w:pPr>
            <w:r>
              <w:rPr>
                <w:rFonts w:ascii="Gill Sans MT"/>
                <w:b/>
                <w:color w:val="434142"/>
                <w:sz w:val="17"/>
              </w:rPr>
              <w:t>Item</w:t>
            </w:r>
          </w:p>
        </w:tc>
        <w:tc>
          <w:tcPr>
            <w:tcW w:w="398" w:type="dxa"/>
            <w:tcBorders>
              <w:left w:val="nil"/>
              <w:right w:val="nil"/>
            </w:tcBorders>
          </w:tcPr>
          <w:p w14:paraId="42FE864F" w14:textId="77777777" w:rsidR="00BA7210" w:rsidRDefault="00BA7210">
            <w:pPr>
              <w:pStyle w:val="TableParagraph"/>
              <w:spacing w:before="0"/>
              <w:rPr>
                <w:rFonts w:ascii="Times New Roman"/>
                <w:sz w:val="16"/>
              </w:rPr>
            </w:pPr>
          </w:p>
        </w:tc>
        <w:tc>
          <w:tcPr>
            <w:tcW w:w="6894" w:type="dxa"/>
            <w:tcBorders>
              <w:left w:val="nil"/>
              <w:right w:val="nil"/>
            </w:tcBorders>
          </w:tcPr>
          <w:p w14:paraId="39735699" w14:textId="77777777" w:rsidR="00BA7210" w:rsidRDefault="00BA7210">
            <w:pPr>
              <w:pStyle w:val="TableParagraph"/>
              <w:spacing w:before="1"/>
              <w:rPr>
                <w:rFonts w:ascii="Century"/>
                <w:sz w:val="23"/>
              </w:rPr>
            </w:pPr>
          </w:p>
          <w:p w14:paraId="18CDF384" w14:textId="77777777" w:rsidR="00BA7210" w:rsidRDefault="00000000">
            <w:pPr>
              <w:pStyle w:val="TableParagraph"/>
              <w:spacing w:before="0"/>
              <w:ind w:left="2671" w:right="2694"/>
              <w:jc w:val="center"/>
              <w:rPr>
                <w:rFonts w:ascii="Gill Sans MT"/>
                <w:b/>
                <w:sz w:val="17"/>
              </w:rPr>
            </w:pPr>
            <w:r>
              <w:rPr>
                <w:rFonts w:ascii="Gill Sans MT"/>
                <w:b/>
                <w:color w:val="434142"/>
                <w:w w:val="105"/>
                <w:sz w:val="17"/>
              </w:rPr>
              <w:t>Recommendation</w:t>
            </w:r>
          </w:p>
        </w:tc>
        <w:tc>
          <w:tcPr>
            <w:tcW w:w="1718" w:type="dxa"/>
            <w:tcBorders>
              <w:left w:val="nil"/>
              <w:right w:val="nil"/>
            </w:tcBorders>
          </w:tcPr>
          <w:p w14:paraId="3003D0D1" w14:textId="77777777" w:rsidR="00BA7210" w:rsidRDefault="00000000">
            <w:pPr>
              <w:pStyle w:val="TableParagraph"/>
              <w:spacing w:line="252" w:lineRule="auto"/>
              <w:ind w:left="117" w:right="117" w:hanging="1"/>
              <w:jc w:val="center"/>
              <w:rPr>
                <w:rFonts w:ascii="Gill Sans MT"/>
                <w:b/>
                <w:sz w:val="17"/>
              </w:rPr>
            </w:pPr>
            <w:r>
              <w:rPr>
                <w:rFonts w:ascii="Gill Sans MT"/>
                <w:b/>
                <w:color w:val="434142"/>
                <w:w w:val="105"/>
                <w:sz w:val="17"/>
              </w:rPr>
              <w:t xml:space="preserve">Section/line </w:t>
            </w:r>
            <w:r>
              <w:rPr>
                <w:rFonts w:ascii="Gill Sans MT"/>
                <w:b/>
                <w:color w:val="434142"/>
                <w:spacing w:val="-3"/>
                <w:w w:val="105"/>
                <w:sz w:val="17"/>
              </w:rPr>
              <w:t xml:space="preserve">number, </w:t>
            </w:r>
            <w:r>
              <w:rPr>
                <w:rFonts w:ascii="Gill Sans MT"/>
                <w:b/>
                <w:color w:val="434142"/>
                <w:w w:val="105"/>
                <w:sz w:val="17"/>
              </w:rPr>
              <w:t>or</w:t>
            </w:r>
            <w:r>
              <w:rPr>
                <w:rFonts w:ascii="Gill Sans MT"/>
                <w:b/>
                <w:color w:val="434142"/>
                <w:spacing w:val="-41"/>
                <w:w w:val="105"/>
                <w:sz w:val="17"/>
              </w:rPr>
              <w:t xml:space="preserve"> </w:t>
            </w:r>
            <w:r>
              <w:rPr>
                <w:rFonts w:ascii="Gill Sans MT"/>
                <w:b/>
                <w:color w:val="434142"/>
                <w:spacing w:val="-4"/>
                <w:w w:val="105"/>
                <w:sz w:val="17"/>
              </w:rPr>
              <w:t xml:space="preserve">reason </w:t>
            </w:r>
            <w:r>
              <w:rPr>
                <w:rFonts w:ascii="Gill Sans MT"/>
                <w:b/>
                <w:color w:val="434142"/>
                <w:w w:val="105"/>
                <w:sz w:val="17"/>
              </w:rPr>
              <w:t>for not</w:t>
            </w:r>
            <w:r>
              <w:rPr>
                <w:rFonts w:ascii="Gill Sans MT"/>
                <w:b/>
                <w:color w:val="434142"/>
                <w:spacing w:val="-38"/>
                <w:w w:val="105"/>
                <w:sz w:val="17"/>
              </w:rPr>
              <w:t xml:space="preserve"> </w:t>
            </w:r>
            <w:r>
              <w:rPr>
                <w:rFonts w:ascii="Gill Sans MT"/>
                <w:b/>
                <w:color w:val="434142"/>
                <w:w w:val="105"/>
                <w:sz w:val="17"/>
              </w:rPr>
              <w:t>reporting</w:t>
            </w:r>
          </w:p>
        </w:tc>
      </w:tr>
      <w:tr w:rsidR="00BA7210" w14:paraId="7C6214A8" w14:textId="77777777">
        <w:trPr>
          <w:trHeight w:val="1174"/>
        </w:trPr>
        <w:tc>
          <w:tcPr>
            <w:tcW w:w="1457" w:type="dxa"/>
            <w:tcBorders>
              <w:left w:val="nil"/>
              <w:right w:val="nil"/>
            </w:tcBorders>
            <w:shd w:val="clear" w:color="auto" w:fill="D9C8D2"/>
          </w:tcPr>
          <w:p w14:paraId="3A34D640" w14:textId="77777777" w:rsidR="00BA7210" w:rsidRDefault="00000000">
            <w:pPr>
              <w:pStyle w:val="TableParagraph"/>
              <w:spacing w:before="72"/>
              <w:ind w:left="113"/>
              <w:rPr>
                <w:rFonts w:ascii="Gill Sans MT"/>
                <w:b/>
                <w:sz w:val="17"/>
              </w:rPr>
            </w:pPr>
            <w:r>
              <w:rPr>
                <w:rFonts w:ascii="Gill Sans MT"/>
                <w:b/>
                <w:color w:val="434142"/>
                <w:w w:val="110"/>
                <w:sz w:val="17"/>
              </w:rPr>
              <w:t>Study design</w:t>
            </w:r>
          </w:p>
        </w:tc>
        <w:tc>
          <w:tcPr>
            <w:tcW w:w="398" w:type="dxa"/>
            <w:tcBorders>
              <w:left w:val="nil"/>
              <w:right w:val="nil"/>
            </w:tcBorders>
            <w:shd w:val="clear" w:color="auto" w:fill="D9C8D2"/>
          </w:tcPr>
          <w:p w14:paraId="180C1EAF" w14:textId="77777777" w:rsidR="00BA7210" w:rsidRDefault="00000000">
            <w:pPr>
              <w:pStyle w:val="TableParagraph"/>
              <w:ind w:right="44"/>
              <w:jc w:val="center"/>
              <w:rPr>
                <w:sz w:val="17"/>
              </w:rPr>
            </w:pPr>
            <w:r>
              <w:rPr>
                <w:color w:val="434142"/>
                <w:w w:val="108"/>
                <w:sz w:val="17"/>
              </w:rPr>
              <w:t>1</w:t>
            </w:r>
          </w:p>
        </w:tc>
        <w:tc>
          <w:tcPr>
            <w:tcW w:w="6894" w:type="dxa"/>
            <w:tcBorders>
              <w:left w:val="nil"/>
            </w:tcBorders>
            <w:shd w:val="clear" w:color="auto" w:fill="D9C8D2"/>
          </w:tcPr>
          <w:p w14:paraId="2401D35A" w14:textId="738E5B83" w:rsidR="00BA7210" w:rsidRDefault="00CB7F77" w:rsidP="00CB7F77">
            <w:pPr>
              <w:pStyle w:val="TableParagraph"/>
              <w:rPr>
                <w:sz w:val="17"/>
              </w:rPr>
            </w:pPr>
            <w:r>
              <w:rPr>
                <w:color w:val="434142"/>
                <w:w w:val="105"/>
                <w:sz w:val="17"/>
              </w:rPr>
              <w:t xml:space="preserve"> </w:t>
            </w:r>
          </w:p>
          <w:p w14:paraId="64E082A4" w14:textId="53903195" w:rsidR="00BA7210" w:rsidRDefault="00CB7F77" w:rsidP="000D1C38">
            <w:pPr>
              <w:pStyle w:val="TableParagraph"/>
              <w:tabs>
                <w:tab w:val="left" w:pos="317"/>
              </w:tabs>
              <w:spacing w:before="113"/>
              <w:ind w:left="316" w:right="495" w:firstLineChars="200" w:firstLine="356"/>
              <w:rPr>
                <w:sz w:val="17"/>
              </w:rPr>
            </w:pPr>
            <w:r w:rsidRPr="00CB7F77">
              <w:rPr>
                <w:color w:val="434142"/>
                <w:w w:val="105"/>
                <w:sz w:val="17"/>
              </w:rPr>
              <w:t xml:space="preserve">Animals were placed on a 12:12 h light/dark cycle and received a regular granular diet.  The rats were fed in SPF lab from Fourth Military Medical University and were given free access to food and water.  They were placed in an animal chamber at room temperature 25°C±1°C, air humidity 60%.  Rats were randomly assigned to each experimental group.  </w:t>
            </w:r>
            <w:r w:rsidR="000D1C38">
              <w:rPr>
                <w:color w:val="434142"/>
                <w:w w:val="105"/>
                <w:sz w:val="17"/>
              </w:rPr>
              <w:t xml:space="preserve">   </w:t>
            </w:r>
            <w:r w:rsidRPr="00CB7F77">
              <w:rPr>
                <w:color w:val="434142"/>
                <w:w w:val="105"/>
                <w:sz w:val="17"/>
              </w:rPr>
              <w:t xml:space="preserve">Ten adult male salt-sensitive rats (180-200g) were purchased from Beijing Vital River Experimental Animal Science and Technology Co., Ltd. (SCXK 2016-0006).  The rats were fed in the Experimental Animal Center of Air Force Medical University.  They were placed in an animal chamber with room temperature 25°C ± 2°C, air humidity 50%-70%, and light/dark cycle for 12 h, and were given free access to food and water.  After 7 days of adaptive feeding, the rats were randomly divided into control group and model group (n = 5). Then the rats in control group were fed with 0.3% of NaCl diet and the rats in model group were fed with 8% of NaCl high-salt diet for 8 weeks, respectively.  </w:t>
            </w:r>
          </w:p>
        </w:tc>
        <w:tc>
          <w:tcPr>
            <w:tcW w:w="1718" w:type="dxa"/>
            <w:tcBorders>
              <w:right w:val="nil"/>
            </w:tcBorders>
            <w:vAlign w:val="center"/>
          </w:tcPr>
          <w:p w14:paraId="1400C3BE" w14:textId="4DC213C6"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w:t>
            </w:r>
            <w:r w:rsidR="00F657DA">
              <w:rPr>
                <w:rFonts w:ascii="Times New Roman" w:eastAsia="宋体"/>
                <w:sz w:val="16"/>
                <w:lang w:eastAsia="zh-CN"/>
              </w:rPr>
              <w:t xml:space="preserve"> </w:t>
            </w:r>
            <w:r>
              <w:rPr>
                <w:rFonts w:ascii="Times New Roman" w:eastAsia="宋体" w:hint="eastAsia"/>
                <w:sz w:val="16"/>
                <w:lang w:eastAsia="zh-CN"/>
              </w:rPr>
              <w:t>2</w:t>
            </w:r>
            <w:r w:rsidR="00BD7BF4">
              <w:rPr>
                <w:rFonts w:ascii="Times New Roman" w:eastAsia="宋体"/>
                <w:sz w:val="16"/>
                <w:lang w:eastAsia="zh-CN"/>
              </w:rPr>
              <w:t xml:space="preserve"> </w:t>
            </w:r>
            <w:r>
              <w:rPr>
                <w:rFonts w:ascii="Times New Roman" w:eastAsia="宋体" w:hint="eastAsia"/>
                <w:sz w:val="16"/>
                <w:lang w:eastAsia="zh-CN"/>
              </w:rPr>
              <w:t>，</w:t>
            </w:r>
            <w:r>
              <w:rPr>
                <w:rFonts w:ascii="Times New Roman" w:eastAsia="宋体" w:hint="eastAsia"/>
                <w:sz w:val="16"/>
                <w:lang w:eastAsia="zh-CN"/>
              </w:rPr>
              <w:t>Section</w:t>
            </w:r>
            <w:r w:rsidR="00BD7BF4">
              <w:rPr>
                <w:rFonts w:ascii="Times New Roman" w:eastAsia="宋体"/>
                <w:sz w:val="16"/>
                <w:lang w:eastAsia="zh-CN"/>
              </w:rPr>
              <w:t xml:space="preserve"> </w:t>
            </w:r>
            <w:r>
              <w:rPr>
                <w:rFonts w:ascii="Times New Roman" w:eastAsia="宋体" w:hint="eastAsia"/>
                <w:sz w:val="16"/>
                <w:lang w:eastAsia="zh-CN"/>
              </w:rPr>
              <w:t>1</w:t>
            </w:r>
          </w:p>
        </w:tc>
      </w:tr>
      <w:tr w:rsidR="00BA7210" w14:paraId="7A7AE933" w14:textId="77777777">
        <w:trPr>
          <w:trHeight w:val="1060"/>
        </w:trPr>
        <w:tc>
          <w:tcPr>
            <w:tcW w:w="1457" w:type="dxa"/>
            <w:tcBorders>
              <w:left w:val="nil"/>
              <w:right w:val="nil"/>
            </w:tcBorders>
          </w:tcPr>
          <w:p w14:paraId="59BF598E" w14:textId="77777777" w:rsidR="00BA7210" w:rsidRDefault="00000000">
            <w:pPr>
              <w:pStyle w:val="TableParagraph"/>
              <w:spacing w:before="72"/>
              <w:ind w:left="113"/>
              <w:rPr>
                <w:rFonts w:ascii="Gill Sans MT"/>
                <w:b/>
                <w:sz w:val="17"/>
              </w:rPr>
            </w:pPr>
            <w:r>
              <w:rPr>
                <w:rFonts w:ascii="Gill Sans MT"/>
                <w:b/>
                <w:color w:val="434142"/>
                <w:w w:val="105"/>
                <w:sz w:val="17"/>
              </w:rPr>
              <w:t>Sample size</w:t>
            </w:r>
          </w:p>
        </w:tc>
        <w:tc>
          <w:tcPr>
            <w:tcW w:w="398" w:type="dxa"/>
            <w:tcBorders>
              <w:left w:val="nil"/>
              <w:right w:val="nil"/>
            </w:tcBorders>
          </w:tcPr>
          <w:p w14:paraId="1CDB856A" w14:textId="77777777" w:rsidR="00BA7210" w:rsidRDefault="00000000">
            <w:pPr>
              <w:pStyle w:val="TableParagraph"/>
              <w:ind w:right="44"/>
              <w:jc w:val="center"/>
              <w:rPr>
                <w:sz w:val="17"/>
              </w:rPr>
            </w:pPr>
            <w:r>
              <w:rPr>
                <w:color w:val="434142"/>
                <w:w w:val="108"/>
                <w:sz w:val="17"/>
              </w:rPr>
              <w:t>2</w:t>
            </w:r>
          </w:p>
        </w:tc>
        <w:tc>
          <w:tcPr>
            <w:tcW w:w="6894" w:type="dxa"/>
            <w:tcBorders>
              <w:left w:val="nil"/>
            </w:tcBorders>
          </w:tcPr>
          <w:p w14:paraId="27E8BB97" w14:textId="1C7A5DD1" w:rsidR="00BA7210" w:rsidRDefault="00CB7F77" w:rsidP="00CB7F77">
            <w:pPr>
              <w:pStyle w:val="TableParagraph"/>
              <w:tabs>
                <w:tab w:val="left" w:pos="317"/>
              </w:tabs>
              <w:spacing w:before="112"/>
              <w:ind w:left="316" w:right="374" w:firstLineChars="200" w:firstLine="356"/>
              <w:rPr>
                <w:sz w:val="17"/>
              </w:rPr>
            </w:pPr>
            <w:r w:rsidRPr="00CB7F77">
              <w:rPr>
                <w:color w:val="434142"/>
                <w:w w:val="105"/>
                <w:sz w:val="17"/>
              </w:rPr>
              <w:t xml:space="preserve">Ten adult male salt-sensitive rats (180-200g) were purchased from Beijing Vital River Experimental Animal Science and Technology Co., Ltd. (SCXK 2016-0006).  The rats were fed in the Experimental Animal Center of Air Force Medical University.  They were placed in an animal chamber with room temperature 25°C ± 2°C, air humidity 50%-70%, and light/dark cycle for 12 h, and were given free access to food and water.  After 7 days of adaptive feeding, the rats were randomly divided into control group and model group (n = 5). Then the rats in control group were fed with 0.3% of NaCl diet and the rats in model group were fed with 8% of NaCl high-salt diet for 8 weeks, respectively.  </w:t>
            </w:r>
          </w:p>
        </w:tc>
        <w:tc>
          <w:tcPr>
            <w:tcW w:w="1718" w:type="dxa"/>
            <w:tcBorders>
              <w:right w:val="nil"/>
            </w:tcBorders>
            <w:vAlign w:val="center"/>
          </w:tcPr>
          <w:p w14:paraId="26715C49" w14:textId="308A7DA4"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w:t>
            </w:r>
            <w:r w:rsidR="00F657DA">
              <w:rPr>
                <w:rFonts w:ascii="Times New Roman" w:eastAsia="宋体"/>
                <w:sz w:val="16"/>
                <w:lang w:eastAsia="zh-CN"/>
              </w:rPr>
              <w:t xml:space="preserve"> </w:t>
            </w:r>
            <w:r>
              <w:rPr>
                <w:rFonts w:ascii="Times New Roman" w:eastAsia="宋体" w:hint="eastAsia"/>
                <w:sz w:val="16"/>
                <w:lang w:eastAsia="zh-CN"/>
              </w:rPr>
              <w:t>2</w:t>
            </w:r>
            <w:r>
              <w:rPr>
                <w:rFonts w:ascii="Times New Roman" w:eastAsia="宋体" w:hint="eastAsia"/>
                <w:sz w:val="16"/>
                <w:lang w:eastAsia="zh-CN"/>
              </w:rPr>
              <w:t>，</w:t>
            </w:r>
            <w:r>
              <w:rPr>
                <w:rFonts w:ascii="Times New Roman" w:eastAsia="宋体" w:hint="eastAsia"/>
                <w:sz w:val="16"/>
                <w:lang w:eastAsia="zh-CN"/>
              </w:rPr>
              <w:t>Section</w:t>
            </w:r>
            <w:r w:rsidR="00F657DA">
              <w:rPr>
                <w:rFonts w:ascii="Times New Roman" w:eastAsia="宋体"/>
                <w:sz w:val="16"/>
                <w:lang w:eastAsia="zh-CN"/>
              </w:rPr>
              <w:t xml:space="preserve"> </w:t>
            </w:r>
            <w:r w:rsidR="00D64F06">
              <w:rPr>
                <w:rFonts w:ascii="Times New Roman" w:eastAsia="宋体"/>
                <w:sz w:val="16"/>
                <w:lang w:eastAsia="zh-CN"/>
              </w:rPr>
              <w:t>1</w:t>
            </w:r>
          </w:p>
          <w:p w14:paraId="65EE1A7C" w14:textId="77777777" w:rsidR="00BA7210" w:rsidRDefault="00BA7210">
            <w:pPr>
              <w:pStyle w:val="TableParagraph"/>
              <w:spacing w:before="0"/>
              <w:jc w:val="center"/>
              <w:rPr>
                <w:rFonts w:ascii="Times New Roman" w:eastAsia="宋体"/>
                <w:sz w:val="16"/>
                <w:lang w:eastAsia="zh-CN"/>
              </w:rPr>
            </w:pPr>
          </w:p>
        </w:tc>
      </w:tr>
      <w:tr w:rsidR="00BA7210" w14:paraId="721CEA65" w14:textId="77777777">
        <w:trPr>
          <w:trHeight w:val="1563"/>
        </w:trPr>
        <w:tc>
          <w:tcPr>
            <w:tcW w:w="1457" w:type="dxa"/>
            <w:tcBorders>
              <w:left w:val="nil"/>
              <w:right w:val="nil"/>
            </w:tcBorders>
            <w:shd w:val="clear" w:color="auto" w:fill="D9C8D2"/>
          </w:tcPr>
          <w:p w14:paraId="585147C8" w14:textId="77777777" w:rsidR="00BA7210" w:rsidRDefault="00000000">
            <w:pPr>
              <w:pStyle w:val="TableParagraph"/>
              <w:spacing w:before="73" w:line="237" w:lineRule="auto"/>
              <w:ind w:left="113" w:right="231"/>
              <w:rPr>
                <w:rFonts w:ascii="Gill Sans MT"/>
                <w:b/>
                <w:sz w:val="17"/>
              </w:rPr>
            </w:pPr>
            <w:r>
              <w:rPr>
                <w:rFonts w:ascii="Gill Sans MT"/>
                <w:b/>
                <w:color w:val="434142"/>
                <w:w w:val="105"/>
                <w:sz w:val="17"/>
              </w:rPr>
              <w:t>Inclusion and exclusion criteria</w:t>
            </w:r>
          </w:p>
        </w:tc>
        <w:tc>
          <w:tcPr>
            <w:tcW w:w="398" w:type="dxa"/>
            <w:tcBorders>
              <w:left w:val="nil"/>
              <w:right w:val="nil"/>
            </w:tcBorders>
            <w:shd w:val="clear" w:color="auto" w:fill="D9C8D2"/>
          </w:tcPr>
          <w:p w14:paraId="413BA00B" w14:textId="77777777" w:rsidR="00BA7210" w:rsidRDefault="00000000">
            <w:pPr>
              <w:pStyle w:val="TableParagraph"/>
              <w:ind w:right="44"/>
              <w:jc w:val="center"/>
              <w:rPr>
                <w:sz w:val="17"/>
              </w:rPr>
            </w:pPr>
            <w:r>
              <w:rPr>
                <w:color w:val="434142"/>
                <w:w w:val="108"/>
                <w:sz w:val="17"/>
              </w:rPr>
              <w:t>3</w:t>
            </w:r>
          </w:p>
        </w:tc>
        <w:tc>
          <w:tcPr>
            <w:tcW w:w="6894" w:type="dxa"/>
            <w:tcBorders>
              <w:left w:val="nil"/>
            </w:tcBorders>
            <w:shd w:val="clear" w:color="auto" w:fill="D9C8D2"/>
          </w:tcPr>
          <w:p w14:paraId="57ACB492" w14:textId="7D548340" w:rsidR="0026288F" w:rsidRPr="0026288F" w:rsidRDefault="0026288F">
            <w:pPr>
              <w:pStyle w:val="TableParagraph"/>
              <w:numPr>
                <w:ilvl w:val="0"/>
                <w:numId w:val="3"/>
              </w:numPr>
              <w:tabs>
                <w:tab w:val="left" w:pos="317"/>
              </w:tabs>
              <w:ind w:right="235"/>
              <w:rPr>
                <w:color w:val="434142"/>
                <w:w w:val="105"/>
                <w:sz w:val="17"/>
              </w:rPr>
            </w:pPr>
            <w:r>
              <w:rPr>
                <w:color w:val="434142"/>
                <w:w w:val="105"/>
                <w:sz w:val="17"/>
              </w:rPr>
              <w:t xml:space="preserve">Criteria </w:t>
            </w:r>
            <w:proofErr w:type="gramStart"/>
            <w:r>
              <w:rPr>
                <w:color w:val="434142"/>
                <w:w w:val="105"/>
                <w:sz w:val="17"/>
              </w:rPr>
              <w:t>including</w:t>
            </w:r>
            <w:r>
              <w:rPr>
                <w:rFonts w:ascii="宋体" w:eastAsia="宋体" w:hAnsi="宋体" w:cs="宋体" w:hint="eastAsia"/>
                <w:color w:val="434142"/>
                <w:w w:val="105"/>
                <w:sz w:val="17"/>
                <w:lang w:eastAsia="zh-CN"/>
              </w:rPr>
              <w:t>:</w:t>
            </w:r>
            <w:r w:rsidRPr="0026288F">
              <w:rPr>
                <w:color w:val="434142"/>
                <w:w w:val="105"/>
                <w:sz w:val="17"/>
              </w:rPr>
              <w:t>LVEF</w:t>
            </w:r>
            <w:proofErr w:type="gramEnd"/>
            <w:r w:rsidRPr="0026288F">
              <w:rPr>
                <w:rFonts w:hint="eastAsia"/>
                <w:color w:val="434142"/>
                <w:w w:val="105"/>
                <w:sz w:val="17"/>
              </w:rPr>
              <w:t>≥</w:t>
            </w:r>
            <w:r w:rsidRPr="0026288F">
              <w:rPr>
                <w:color w:val="434142"/>
                <w:w w:val="105"/>
                <w:sz w:val="17"/>
              </w:rPr>
              <w:t>50%</w:t>
            </w:r>
            <w:r w:rsidRPr="0026288F">
              <w:rPr>
                <w:rFonts w:ascii="宋体" w:eastAsia="宋体" w:hAnsi="宋体" w:cs="宋体" w:hint="eastAsia"/>
                <w:color w:val="434142"/>
                <w:w w:val="105"/>
                <w:sz w:val="17"/>
              </w:rPr>
              <w:t>、</w:t>
            </w:r>
            <w:r w:rsidRPr="0026288F">
              <w:rPr>
                <w:color w:val="434142"/>
                <w:w w:val="105"/>
                <w:sz w:val="17"/>
              </w:rPr>
              <w:t>BNP</w:t>
            </w:r>
            <w:r w:rsidRPr="0026288F">
              <w:rPr>
                <w:rFonts w:ascii="宋体" w:eastAsia="宋体" w:hAnsi="宋体" w:cs="宋体" w:hint="eastAsia"/>
                <w:color w:val="434142"/>
                <w:w w:val="105"/>
                <w:sz w:val="17"/>
              </w:rPr>
              <w:t>＞</w:t>
            </w:r>
            <w:r w:rsidRPr="0026288F">
              <w:rPr>
                <w:color w:val="434142"/>
                <w:w w:val="105"/>
                <w:sz w:val="17"/>
              </w:rPr>
              <w:t xml:space="preserve">100 </w:t>
            </w:r>
            <w:proofErr w:type="spellStart"/>
            <w:r w:rsidRPr="0026288F">
              <w:rPr>
                <w:color w:val="434142"/>
                <w:w w:val="105"/>
                <w:sz w:val="17"/>
              </w:rPr>
              <w:t>pg</w:t>
            </w:r>
            <w:proofErr w:type="spellEnd"/>
            <w:r w:rsidRPr="0026288F">
              <w:rPr>
                <w:color w:val="434142"/>
                <w:w w:val="105"/>
                <w:sz w:val="17"/>
              </w:rPr>
              <w:t>/ml</w:t>
            </w:r>
            <w:r w:rsidRPr="0026288F">
              <w:rPr>
                <w:rFonts w:ascii="宋体" w:eastAsia="宋体" w:hAnsi="宋体" w:cs="宋体" w:hint="eastAsia"/>
                <w:color w:val="434142"/>
                <w:w w:val="105"/>
                <w:sz w:val="17"/>
              </w:rPr>
              <w:t>、</w:t>
            </w:r>
            <w:r w:rsidRPr="0026288F">
              <w:rPr>
                <w:color w:val="434142"/>
                <w:w w:val="105"/>
                <w:sz w:val="17"/>
              </w:rPr>
              <w:t>NT-ProBNP</w:t>
            </w:r>
            <w:r w:rsidRPr="0026288F">
              <w:rPr>
                <w:rFonts w:ascii="宋体" w:eastAsia="宋体" w:hAnsi="宋体" w:cs="宋体" w:hint="eastAsia"/>
                <w:color w:val="434142"/>
                <w:w w:val="105"/>
                <w:sz w:val="17"/>
              </w:rPr>
              <w:t>＞</w:t>
            </w:r>
            <w:r w:rsidRPr="0026288F">
              <w:rPr>
                <w:color w:val="434142"/>
                <w:w w:val="105"/>
                <w:sz w:val="17"/>
              </w:rPr>
              <w:t xml:space="preserve">300 </w:t>
            </w:r>
            <w:proofErr w:type="spellStart"/>
            <w:r w:rsidRPr="0026288F">
              <w:rPr>
                <w:color w:val="434142"/>
                <w:w w:val="105"/>
                <w:sz w:val="17"/>
              </w:rPr>
              <w:t>pg</w:t>
            </w:r>
            <w:proofErr w:type="spellEnd"/>
            <w:r w:rsidRPr="0026288F">
              <w:rPr>
                <w:color w:val="434142"/>
                <w:w w:val="105"/>
                <w:sz w:val="17"/>
              </w:rPr>
              <w:t>/ml</w:t>
            </w:r>
          </w:p>
          <w:p w14:paraId="330508DF" w14:textId="573ED955" w:rsidR="00BA7210" w:rsidRPr="0026288F" w:rsidRDefault="0026288F">
            <w:pPr>
              <w:pStyle w:val="TableParagraph"/>
              <w:numPr>
                <w:ilvl w:val="0"/>
                <w:numId w:val="3"/>
              </w:numPr>
              <w:tabs>
                <w:tab w:val="left" w:pos="317"/>
              </w:tabs>
              <w:spacing w:before="110"/>
              <w:ind w:right="107"/>
              <w:rPr>
                <w:color w:val="434142"/>
                <w:w w:val="105"/>
                <w:sz w:val="17"/>
              </w:rPr>
            </w:pPr>
            <w:r>
              <w:rPr>
                <w:color w:val="434142"/>
                <w:w w:val="105"/>
                <w:sz w:val="17"/>
              </w:rPr>
              <w:t>No</w:t>
            </w:r>
            <w:r>
              <w:rPr>
                <w:color w:val="434142"/>
                <w:spacing w:val="-10"/>
                <w:w w:val="105"/>
                <w:sz w:val="17"/>
              </w:rPr>
              <w:t xml:space="preserve"> </w:t>
            </w:r>
            <w:proofErr w:type="spellStart"/>
            <w:proofErr w:type="gramStart"/>
            <w:r>
              <w:rPr>
                <w:color w:val="434142"/>
                <w:w w:val="105"/>
                <w:sz w:val="17"/>
              </w:rPr>
              <w:t>exclusions</w:t>
            </w:r>
            <w:r>
              <w:rPr>
                <w:rFonts w:ascii="宋体" w:eastAsia="宋体" w:hAnsi="宋体" w:cs="宋体" w:hint="eastAsia"/>
                <w:color w:val="434142"/>
                <w:w w:val="105"/>
                <w:sz w:val="17"/>
                <w:lang w:eastAsia="zh-CN"/>
              </w:rPr>
              <w:t>:</w:t>
            </w:r>
            <w:r w:rsidRPr="0026288F">
              <w:rPr>
                <w:color w:val="434142"/>
                <w:w w:val="105"/>
                <w:sz w:val="17"/>
              </w:rPr>
              <w:t>Every</w:t>
            </w:r>
            <w:proofErr w:type="spellEnd"/>
            <w:proofErr w:type="gramEnd"/>
            <w:r w:rsidRPr="0026288F">
              <w:rPr>
                <w:color w:val="434142"/>
                <w:w w:val="105"/>
                <w:sz w:val="17"/>
              </w:rPr>
              <w:t xml:space="preserve"> rat met the criteria</w:t>
            </w:r>
          </w:p>
          <w:p w14:paraId="63322DF9" w14:textId="0FAF47B7" w:rsidR="00BA7210" w:rsidRDefault="00000000">
            <w:pPr>
              <w:pStyle w:val="TableParagraph"/>
              <w:numPr>
                <w:ilvl w:val="0"/>
                <w:numId w:val="3"/>
              </w:numPr>
              <w:tabs>
                <w:tab w:val="left" w:pos="317"/>
              </w:tabs>
              <w:spacing w:before="112"/>
              <w:ind w:hanging="228"/>
              <w:rPr>
                <w:sz w:val="17"/>
              </w:rPr>
            </w:pPr>
            <w:r>
              <w:rPr>
                <w:color w:val="434142"/>
                <w:w w:val="105"/>
                <w:sz w:val="17"/>
              </w:rPr>
              <w:t>For</w:t>
            </w:r>
            <w:r>
              <w:rPr>
                <w:color w:val="434142"/>
                <w:spacing w:val="-11"/>
                <w:w w:val="105"/>
                <w:sz w:val="17"/>
              </w:rPr>
              <w:t xml:space="preserve"> </w:t>
            </w:r>
            <w:r>
              <w:rPr>
                <w:color w:val="434142"/>
                <w:w w:val="105"/>
                <w:sz w:val="17"/>
              </w:rPr>
              <w:t>each</w:t>
            </w:r>
            <w:r w:rsidRPr="0026288F">
              <w:rPr>
                <w:color w:val="434142"/>
                <w:w w:val="105"/>
                <w:sz w:val="17"/>
              </w:rPr>
              <w:t xml:space="preserve"> </w:t>
            </w:r>
            <w:proofErr w:type="spellStart"/>
            <w:proofErr w:type="gramStart"/>
            <w:r>
              <w:rPr>
                <w:color w:val="434142"/>
                <w:w w:val="105"/>
                <w:sz w:val="17"/>
              </w:rPr>
              <w:t>analysis</w:t>
            </w:r>
            <w:r w:rsidR="0026288F">
              <w:rPr>
                <w:color w:val="434142"/>
                <w:w w:val="105"/>
                <w:sz w:val="17"/>
              </w:rPr>
              <w:t>,</w:t>
            </w:r>
            <w:r w:rsidR="0026288F" w:rsidRPr="0026288F">
              <w:rPr>
                <w:rFonts w:hint="eastAsia"/>
                <w:color w:val="434142"/>
                <w:w w:val="105"/>
                <w:sz w:val="17"/>
              </w:rPr>
              <w:t>n</w:t>
            </w:r>
            <w:proofErr w:type="spellEnd"/>
            <w:proofErr w:type="gramEnd"/>
            <w:r w:rsidR="0026288F" w:rsidRPr="0026288F">
              <w:rPr>
                <w:rFonts w:hint="eastAsia"/>
                <w:color w:val="434142"/>
                <w:w w:val="105"/>
                <w:sz w:val="17"/>
              </w:rPr>
              <w:t>=5</w:t>
            </w:r>
          </w:p>
        </w:tc>
        <w:tc>
          <w:tcPr>
            <w:tcW w:w="1718" w:type="dxa"/>
            <w:tcBorders>
              <w:right w:val="nil"/>
            </w:tcBorders>
            <w:vAlign w:val="center"/>
          </w:tcPr>
          <w:p w14:paraId="171A96EE" w14:textId="3F76BB90" w:rsidR="00BA7210" w:rsidRDefault="00000000">
            <w:pPr>
              <w:pStyle w:val="TableParagraph"/>
              <w:spacing w:before="0"/>
              <w:jc w:val="center"/>
              <w:rPr>
                <w:rFonts w:ascii="Times New Roman"/>
                <w:sz w:val="16"/>
              </w:rPr>
            </w:pPr>
            <w:r>
              <w:rPr>
                <w:rFonts w:ascii="Times New Roman" w:eastAsia="宋体" w:hint="eastAsia"/>
                <w:sz w:val="16"/>
                <w:lang w:eastAsia="zh-CN"/>
              </w:rPr>
              <w:t>Part</w:t>
            </w:r>
            <w:r w:rsidR="00F657DA">
              <w:rPr>
                <w:rFonts w:ascii="Times New Roman" w:eastAsia="宋体"/>
                <w:sz w:val="16"/>
                <w:lang w:eastAsia="zh-CN"/>
              </w:rPr>
              <w:t xml:space="preserve"> </w:t>
            </w:r>
            <w:r>
              <w:rPr>
                <w:rFonts w:ascii="Times New Roman" w:eastAsia="宋体" w:hint="eastAsia"/>
                <w:sz w:val="16"/>
                <w:lang w:eastAsia="zh-CN"/>
              </w:rPr>
              <w:t>2</w:t>
            </w:r>
            <w:r>
              <w:rPr>
                <w:rFonts w:ascii="Times New Roman" w:eastAsia="宋体" w:hint="eastAsia"/>
                <w:sz w:val="16"/>
                <w:lang w:eastAsia="zh-CN"/>
              </w:rPr>
              <w:t>，</w:t>
            </w:r>
            <w:r>
              <w:rPr>
                <w:rFonts w:ascii="Times New Roman" w:eastAsia="宋体" w:hint="eastAsia"/>
                <w:sz w:val="16"/>
                <w:lang w:eastAsia="zh-CN"/>
              </w:rPr>
              <w:t>Section</w:t>
            </w:r>
            <w:r w:rsidR="00F657DA">
              <w:rPr>
                <w:rFonts w:ascii="Times New Roman" w:eastAsia="宋体"/>
                <w:sz w:val="16"/>
                <w:lang w:eastAsia="zh-CN"/>
              </w:rPr>
              <w:t xml:space="preserve"> </w:t>
            </w:r>
            <w:r w:rsidR="00D64F06">
              <w:rPr>
                <w:rFonts w:ascii="Times New Roman" w:eastAsia="宋体"/>
                <w:sz w:val="16"/>
                <w:lang w:eastAsia="zh-CN"/>
              </w:rPr>
              <w:t>1</w:t>
            </w:r>
          </w:p>
        </w:tc>
      </w:tr>
      <w:tr w:rsidR="00BA7210" w14:paraId="6564E928" w14:textId="77777777">
        <w:trPr>
          <w:trHeight w:val="1449"/>
        </w:trPr>
        <w:tc>
          <w:tcPr>
            <w:tcW w:w="1457" w:type="dxa"/>
            <w:tcBorders>
              <w:left w:val="nil"/>
              <w:right w:val="nil"/>
            </w:tcBorders>
          </w:tcPr>
          <w:p w14:paraId="5A591EE6" w14:textId="77777777" w:rsidR="00BA7210" w:rsidRDefault="00000000">
            <w:pPr>
              <w:pStyle w:val="TableParagraph"/>
              <w:spacing w:before="72"/>
              <w:ind w:left="113"/>
              <w:rPr>
                <w:rFonts w:ascii="Gill Sans MT"/>
                <w:b/>
                <w:sz w:val="17"/>
              </w:rPr>
            </w:pPr>
            <w:proofErr w:type="spellStart"/>
            <w:r>
              <w:rPr>
                <w:rFonts w:ascii="Gill Sans MT"/>
                <w:b/>
                <w:color w:val="434142"/>
                <w:w w:val="105"/>
                <w:sz w:val="17"/>
              </w:rPr>
              <w:t>Randomisation</w:t>
            </w:r>
            <w:proofErr w:type="spellEnd"/>
          </w:p>
        </w:tc>
        <w:tc>
          <w:tcPr>
            <w:tcW w:w="398" w:type="dxa"/>
            <w:tcBorders>
              <w:left w:val="nil"/>
              <w:right w:val="nil"/>
            </w:tcBorders>
          </w:tcPr>
          <w:p w14:paraId="28034149" w14:textId="77777777" w:rsidR="00BA7210" w:rsidRDefault="00000000">
            <w:pPr>
              <w:pStyle w:val="TableParagraph"/>
              <w:ind w:right="44"/>
              <w:jc w:val="center"/>
              <w:rPr>
                <w:sz w:val="17"/>
              </w:rPr>
            </w:pPr>
            <w:r>
              <w:rPr>
                <w:color w:val="434142"/>
                <w:w w:val="108"/>
                <w:sz w:val="17"/>
              </w:rPr>
              <w:t>4</w:t>
            </w:r>
          </w:p>
        </w:tc>
        <w:tc>
          <w:tcPr>
            <w:tcW w:w="6894" w:type="dxa"/>
            <w:tcBorders>
              <w:left w:val="nil"/>
            </w:tcBorders>
          </w:tcPr>
          <w:p w14:paraId="04324B11" w14:textId="1A4C0DBB" w:rsidR="009E6CD4" w:rsidRPr="009E6CD4" w:rsidRDefault="009E6CD4" w:rsidP="00AD6ED8">
            <w:pPr>
              <w:pStyle w:val="TableParagraph"/>
              <w:tabs>
                <w:tab w:val="left" w:pos="317"/>
              </w:tabs>
              <w:spacing w:before="110"/>
              <w:ind w:right="289"/>
              <w:rPr>
                <w:sz w:val="17"/>
              </w:rPr>
            </w:pPr>
          </w:p>
          <w:p w14:paraId="49EA35BE" w14:textId="777929BD" w:rsidR="00BA7210" w:rsidRDefault="00AD6ED8">
            <w:pPr>
              <w:pStyle w:val="TableParagraph"/>
              <w:numPr>
                <w:ilvl w:val="0"/>
                <w:numId w:val="4"/>
              </w:numPr>
              <w:tabs>
                <w:tab w:val="left" w:pos="317"/>
              </w:tabs>
              <w:spacing w:before="110"/>
              <w:ind w:right="289"/>
              <w:rPr>
                <w:sz w:val="17"/>
              </w:rPr>
            </w:pPr>
            <w:r>
              <w:rPr>
                <w:color w:val="434142"/>
                <w:w w:val="110"/>
                <w:sz w:val="17"/>
              </w:rPr>
              <w:t>T</w:t>
            </w:r>
            <w:r w:rsidRPr="00AD6ED8">
              <w:rPr>
                <w:color w:val="434142"/>
                <w:w w:val="110"/>
                <w:sz w:val="17"/>
              </w:rPr>
              <w:t>he rat number</w:t>
            </w:r>
            <w:r>
              <w:rPr>
                <w:color w:val="434142"/>
                <w:w w:val="110"/>
                <w:sz w:val="17"/>
              </w:rPr>
              <w:t xml:space="preserve"> were accorded to</w:t>
            </w:r>
            <w:r w:rsidRPr="00AD6ED8">
              <w:rPr>
                <w:color w:val="434142"/>
                <w:w w:val="110"/>
                <w:sz w:val="17"/>
              </w:rPr>
              <w:t xml:space="preserve"> measurements </w:t>
            </w:r>
            <w:r>
              <w:rPr>
                <w:color w:val="434142"/>
                <w:w w:val="110"/>
                <w:sz w:val="17"/>
              </w:rPr>
              <w:t>and</w:t>
            </w:r>
            <w:r w:rsidRPr="00AD6ED8">
              <w:rPr>
                <w:color w:val="434142"/>
                <w:w w:val="110"/>
                <w:sz w:val="17"/>
              </w:rPr>
              <w:t xml:space="preserve"> animal/cage location.</w:t>
            </w:r>
          </w:p>
        </w:tc>
        <w:tc>
          <w:tcPr>
            <w:tcW w:w="1718" w:type="dxa"/>
            <w:tcBorders>
              <w:right w:val="nil"/>
            </w:tcBorders>
            <w:vAlign w:val="center"/>
          </w:tcPr>
          <w:p w14:paraId="391C9357" w14:textId="11A3F033"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w:t>
            </w:r>
            <w:r w:rsidR="00F657DA">
              <w:rPr>
                <w:rFonts w:ascii="Times New Roman" w:eastAsia="宋体"/>
                <w:sz w:val="16"/>
                <w:lang w:eastAsia="zh-CN"/>
              </w:rPr>
              <w:t xml:space="preserve"> </w:t>
            </w:r>
            <w:r>
              <w:rPr>
                <w:rFonts w:ascii="Times New Roman" w:eastAsia="宋体" w:hint="eastAsia"/>
                <w:sz w:val="16"/>
                <w:lang w:eastAsia="zh-CN"/>
              </w:rPr>
              <w:t>2</w:t>
            </w:r>
            <w:r>
              <w:rPr>
                <w:rFonts w:ascii="Times New Roman" w:eastAsia="宋体" w:hint="eastAsia"/>
                <w:sz w:val="16"/>
                <w:lang w:eastAsia="zh-CN"/>
              </w:rPr>
              <w:t>，</w:t>
            </w:r>
            <w:r>
              <w:rPr>
                <w:rFonts w:ascii="Times New Roman" w:eastAsia="宋体" w:hint="eastAsia"/>
                <w:sz w:val="16"/>
                <w:lang w:eastAsia="zh-CN"/>
              </w:rPr>
              <w:t>Section</w:t>
            </w:r>
            <w:r w:rsidR="00F657DA">
              <w:rPr>
                <w:rFonts w:ascii="Times New Roman" w:eastAsia="宋体"/>
                <w:sz w:val="16"/>
                <w:lang w:eastAsia="zh-CN"/>
              </w:rPr>
              <w:t xml:space="preserve"> </w:t>
            </w:r>
            <w:r w:rsidR="00D64F06">
              <w:rPr>
                <w:rFonts w:ascii="Times New Roman" w:eastAsia="宋体"/>
                <w:sz w:val="16"/>
                <w:lang w:eastAsia="zh-CN"/>
              </w:rPr>
              <w:t>1</w:t>
            </w:r>
          </w:p>
          <w:p w14:paraId="184D37DD" w14:textId="77777777" w:rsidR="00BA7210" w:rsidRDefault="00BA7210">
            <w:pPr>
              <w:pStyle w:val="TableParagraph"/>
              <w:spacing w:before="0"/>
              <w:jc w:val="center"/>
              <w:rPr>
                <w:rFonts w:ascii="Times New Roman"/>
                <w:sz w:val="16"/>
              </w:rPr>
            </w:pPr>
          </w:p>
        </w:tc>
      </w:tr>
      <w:tr w:rsidR="00BA7210" w14:paraId="7610F1D3" w14:textId="77777777">
        <w:trPr>
          <w:trHeight w:val="753"/>
        </w:trPr>
        <w:tc>
          <w:tcPr>
            <w:tcW w:w="1457" w:type="dxa"/>
            <w:tcBorders>
              <w:left w:val="nil"/>
              <w:right w:val="nil"/>
            </w:tcBorders>
            <w:shd w:val="clear" w:color="auto" w:fill="D9C8D2"/>
          </w:tcPr>
          <w:p w14:paraId="6B51957F" w14:textId="77777777" w:rsidR="00BA7210" w:rsidRDefault="00000000">
            <w:pPr>
              <w:pStyle w:val="TableParagraph"/>
              <w:spacing w:before="72"/>
              <w:ind w:left="113"/>
              <w:rPr>
                <w:rFonts w:ascii="Gill Sans MT"/>
                <w:b/>
                <w:sz w:val="17"/>
              </w:rPr>
            </w:pPr>
            <w:r>
              <w:rPr>
                <w:rFonts w:ascii="Gill Sans MT"/>
                <w:b/>
                <w:color w:val="434142"/>
                <w:w w:val="105"/>
                <w:sz w:val="17"/>
              </w:rPr>
              <w:t>Blinding</w:t>
            </w:r>
          </w:p>
        </w:tc>
        <w:tc>
          <w:tcPr>
            <w:tcW w:w="398" w:type="dxa"/>
            <w:tcBorders>
              <w:left w:val="nil"/>
              <w:right w:val="nil"/>
            </w:tcBorders>
            <w:shd w:val="clear" w:color="auto" w:fill="D9C8D2"/>
          </w:tcPr>
          <w:p w14:paraId="33E10D8B" w14:textId="77777777" w:rsidR="00BA7210" w:rsidRDefault="00000000">
            <w:pPr>
              <w:pStyle w:val="TableParagraph"/>
              <w:ind w:right="44"/>
              <w:jc w:val="center"/>
              <w:rPr>
                <w:sz w:val="17"/>
              </w:rPr>
            </w:pPr>
            <w:r>
              <w:rPr>
                <w:color w:val="434142"/>
                <w:w w:val="108"/>
                <w:sz w:val="17"/>
              </w:rPr>
              <w:t>5</w:t>
            </w:r>
          </w:p>
        </w:tc>
        <w:tc>
          <w:tcPr>
            <w:tcW w:w="6894" w:type="dxa"/>
            <w:tcBorders>
              <w:left w:val="nil"/>
            </w:tcBorders>
            <w:shd w:val="clear" w:color="auto" w:fill="D9C8D2"/>
          </w:tcPr>
          <w:p w14:paraId="0526F9F8" w14:textId="36BDEE51" w:rsidR="00BA7210" w:rsidRPr="00F3149B" w:rsidRDefault="00BA7210">
            <w:pPr>
              <w:pStyle w:val="TableParagraph"/>
              <w:ind w:left="89"/>
              <w:rPr>
                <w:color w:val="434142"/>
                <w:w w:val="110"/>
                <w:sz w:val="17"/>
              </w:rPr>
            </w:pPr>
          </w:p>
          <w:p w14:paraId="5BD15041" w14:textId="79214CAE" w:rsidR="00F3149B" w:rsidRPr="00F3149B" w:rsidRDefault="00F3149B">
            <w:pPr>
              <w:pStyle w:val="TableParagraph"/>
              <w:ind w:left="89"/>
              <w:rPr>
                <w:color w:val="434142"/>
                <w:w w:val="110"/>
                <w:sz w:val="17"/>
              </w:rPr>
            </w:pPr>
            <w:r w:rsidRPr="00F3149B">
              <w:rPr>
                <w:color w:val="434142"/>
                <w:w w:val="110"/>
                <w:sz w:val="17"/>
              </w:rPr>
              <w:t>E</w:t>
            </w:r>
            <w:r w:rsidR="00D767CB">
              <w:rPr>
                <w:color w:val="434142"/>
                <w:w w:val="110"/>
                <w:sz w:val="17"/>
              </w:rPr>
              <w:t>very</w:t>
            </w:r>
            <w:r w:rsidRPr="00F3149B">
              <w:rPr>
                <w:color w:val="434142"/>
                <w:w w:val="110"/>
                <w:sz w:val="17"/>
              </w:rPr>
              <w:t xml:space="preserve"> author was aware of the situation at the different stages of the experiment</w:t>
            </w:r>
            <w:r w:rsidR="00A03732">
              <w:rPr>
                <w:color w:val="434142"/>
                <w:w w:val="110"/>
                <w:sz w:val="17"/>
              </w:rPr>
              <w:t>.</w:t>
            </w:r>
          </w:p>
        </w:tc>
        <w:tc>
          <w:tcPr>
            <w:tcW w:w="1718" w:type="dxa"/>
            <w:tcBorders>
              <w:right w:val="nil"/>
            </w:tcBorders>
            <w:vAlign w:val="center"/>
          </w:tcPr>
          <w:p w14:paraId="20FBC713" w14:textId="5864CB73" w:rsidR="00BA7210" w:rsidRDefault="00AF0F96">
            <w:pPr>
              <w:pStyle w:val="TableParagraph"/>
              <w:spacing w:before="0"/>
              <w:jc w:val="center"/>
              <w:rPr>
                <w:rFonts w:ascii="Times New Roman"/>
                <w:sz w:val="16"/>
              </w:rPr>
            </w:pPr>
            <w:r w:rsidRPr="00AF0F96">
              <w:rPr>
                <w:rFonts w:ascii="Times New Roman" w:eastAsia="宋体"/>
                <w:sz w:val="16"/>
                <w:lang w:eastAsia="zh-CN"/>
              </w:rPr>
              <w:t>Authors</w:t>
            </w:r>
            <w:r w:rsidRPr="00AF0F96">
              <w:rPr>
                <w:rFonts w:ascii="Times New Roman" w:eastAsia="宋体"/>
                <w:sz w:val="16"/>
                <w:lang w:eastAsia="zh-CN"/>
              </w:rPr>
              <w:t>’</w:t>
            </w:r>
            <w:r w:rsidRPr="00AF0F96">
              <w:rPr>
                <w:rFonts w:ascii="Times New Roman" w:eastAsia="宋体"/>
                <w:sz w:val="16"/>
                <w:lang w:eastAsia="zh-CN"/>
              </w:rPr>
              <w:t xml:space="preserve"> contributions</w:t>
            </w:r>
          </w:p>
        </w:tc>
      </w:tr>
      <w:tr w:rsidR="00BA7210" w14:paraId="0A24F580" w14:textId="77777777">
        <w:trPr>
          <w:trHeight w:val="1060"/>
        </w:trPr>
        <w:tc>
          <w:tcPr>
            <w:tcW w:w="1457" w:type="dxa"/>
            <w:tcBorders>
              <w:left w:val="nil"/>
              <w:right w:val="nil"/>
            </w:tcBorders>
          </w:tcPr>
          <w:p w14:paraId="031A2843" w14:textId="77777777" w:rsidR="00BA7210" w:rsidRDefault="00000000">
            <w:pPr>
              <w:pStyle w:val="TableParagraph"/>
              <w:spacing w:before="73" w:line="237" w:lineRule="auto"/>
              <w:ind w:left="113" w:right="524"/>
              <w:rPr>
                <w:rFonts w:ascii="Gill Sans MT"/>
                <w:b/>
                <w:sz w:val="17"/>
              </w:rPr>
            </w:pPr>
            <w:r>
              <w:rPr>
                <w:rFonts w:ascii="Gill Sans MT"/>
                <w:b/>
                <w:color w:val="434142"/>
                <w:w w:val="105"/>
                <w:sz w:val="17"/>
              </w:rPr>
              <w:t>Outcome measures</w:t>
            </w:r>
          </w:p>
        </w:tc>
        <w:tc>
          <w:tcPr>
            <w:tcW w:w="398" w:type="dxa"/>
            <w:tcBorders>
              <w:left w:val="nil"/>
              <w:right w:val="nil"/>
            </w:tcBorders>
          </w:tcPr>
          <w:p w14:paraId="1D874884" w14:textId="77777777" w:rsidR="00BA7210" w:rsidRDefault="00000000">
            <w:pPr>
              <w:pStyle w:val="TableParagraph"/>
              <w:ind w:right="44"/>
              <w:jc w:val="center"/>
              <w:rPr>
                <w:sz w:val="17"/>
              </w:rPr>
            </w:pPr>
            <w:r>
              <w:rPr>
                <w:color w:val="434142"/>
                <w:w w:val="108"/>
                <w:sz w:val="17"/>
              </w:rPr>
              <w:t>6</w:t>
            </w:r>
          </w:p>
        </w:tc>
        <w:tc>
          <w:tcPr>
            <w:tcW w:w="6894" w:type="dxa"/>
            <w:tcBorders>
              <w:left w:val="nil"/>
            </w:tcBorders>
          </w:tcPr>
          <w:p w14:paraId="6B24040D" w14:textId="12D6CA45" w:rsidR="00476293" w:rsidRPr="00476293" w:rsidRDefault="00476293">
            <w:pPr>
              <w:pStyle w:val="TableParagraph"/>
              <w:numPr>
                <w:ilvl w:val="0"/>
                <w:numId w:val="5"/>
              </w:numPr>
              <w:tabs>
                <w:tab w:val="left" w:pos="317"/>
              </w:tabs>
              <w:spacing w:before="113"/>
              <w:ind w:right="507"/>
              <w:rPr>
                <w:sz w:val="17"/>
              </w:rPr>
            </w:pPr>
            <w:r w:rsidRPr="00476293">
              <w:rPr>
                <w:color w:val="434142"/>
                <w:w w:val="105"/>
                <w:sz w:val="17"/>
              </w:rPr>
              <w:t>Subject to changes in values or observed results</w:t>
            </w:r>
          </w:p>
          <w:p w14:paraId="69CDA047" w14:textId="5C3C8728" w:rsidR="00BA7210" w:rsidRDefault="00D767CB">
            <w:pPr>
              <w:pStyle w:val="TableParagraph"/>
              <w:numPr>
                <w:ilvl w:val="0"/>
                <w:numId w:val="5"/>
              </w:numPr>
              <w:tabs>
                <w:tab w:val="left" w:pos="317"/>
              </w:tabs>
              <w:spacing w:before="113"/>
              <w:ind w:right="507"/>
              <w:rPr>
                <w:sz w:val="17"/>
              </w:rPr>
            </w:pPr>
            <w:r>
              <w:rPr>
                <w:color w:val="434142"/>
                <w:w w:val="110"/>
                <w:sz w:val="17"/>
              </w:rPr>
              <w:t xml:space="preserve">Including </w:t>
            </w:r>
            <w:r w:rsidRPr="00D767CB">
              <w:rPr>
                <w:color w:val="434142"/>
                <w:w w:val="110"/>
                <w:sz w:val="17"/>
              </w:rPr>
              <w:t>body weight, running and swimming exhaustion time</w:t>
            </w:r>
            <w:r>
              <w:rPr>
                <w:color w:val="434142"/>
                <w:w w:val="110"/>
                <w:sz w:val="17"/>
              </w:rPr>
              <w:t xml:space="preserve">, </w:t>
            </w:r>
            <w:r w:rsidRPr="00D767CB">
              <w:rPr>
                <w:color w:val="434142"/>
                <w:w w:val="110"/>
                <w:sz w:val="17"/>
              </w:rPr>
              <w:t>cardiac functions</w:t>
            </w:r>
            <w:r>
              <w:rPr>
                <w:color w:val="434142"/>
                <w:w w:val="110"/>
                <w:sz w:val="17"/>
              </w:rPr>
              <w:t xml:space="preserve">, BNP and NT-proBNP, </w:t>
            </w:r>
            <w:r w:rsidRPr="00D767CB">
              <w:rPr>
                <w:color w:val="434142"/>
                <w:w w:val="110"/>
                <w:sz w:val="17"/>
              </w:rPr>
              <w:t>HE and Masson staining</w:t>
            </w:r>
            <w:r w:rsidR="00712E11">
              <w:rPr>
                <w:color w:val="434142"/>
                <w:w w:val="110"/>
                <w:sz w:val="17"/>
              </w:rPr>
              <w:t>,</w:t>
            </w:r>
            <w:r w:rsidR="00712E11">
              <w:t xml:space="preserve"> </w:t>
            </w:r>
            <w:r w:rsidR="00712E11" w:rsidRPr="00712E11">
              <w:rPr>
                <w:color w:val="434142"/>
                <w:w w:val="110"/>
                <w:sz w:val="17"/>
              </w:rPr>
              <w:t xml:space="preserve">Western </w:t>
            </w:r>
            <w:proofErr w:type="gramStart"/>
            <w:r w:rsidR="00712E11" w:rsidRPr="00712E11">
              <w:rPr>
                <w:color w:val="434142"/>
                <w:w w:val="110"/>
                <w:sz w:val="17"/>
              </w:rPr>
              <w:t>blotting</w:t>
            </w:r>
            <w:r w:rsidR="00712E11">
              <w:rPr>
                <w:color w:val="434142"/>
                <w:w w:val="110"/>
                <w:sz w:val="17"/>
              </w:rPr>
              <w:t xml:space="preserve"> </w:t>
            </w:r>
            <w:r>
              <w:rPr>
                <w:color w:val="434142"/>
                <w:w w:val="110"/>
                <w:sz w:val="17"/>
              </w:rPr>
              <w:t>.</w:t>
            </w:r>
            <w:proofErr w:type="gramEnd"/>
          </w:p>
        </w:tc>
        <w:tc>
          <w:tcPr>
            <w:tcW w:w="1718" w:type="dxa"/>
            <w:tcBorders>
              <w:right w:val="nil"/>
            </w:tcBorders>
            <w:vAlign w:val="center"/>
          </w:tcPr>
          <w:p w14:paraId="108AAB0C" w14:textId="6A8D6755"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w:t>
            </w:r>
            <w:r w:rsidR="00F657DA">
              <w:rPr>
                <w:rFonts w:ascii="Times New Roman" w:eastAsia="宋体"/>
                <w:sz w:val="16"/>
                <w:lang w:eastAsia="zh-CN"/>
              </w:rPr>
              <w:t xml:space="preserve"> </w:t>
            </w:r>
            <w:r>
              <w:rPr>
                <w:rFonts w:ascii="Times New Roman" w:eastAsia="宋体" w:hint="eastAsia"/>
                <w:sz w:val="16"/>
                <w:lang w:eastAsia="zh-CN"/>
              </w:rPr>
              <w:t>2</w:t>
            </w:r>
            <w:r>
              <w:rPr>
                <w:rFonts w:ascii="Times New Roman" w:eastAsia="宋体" w:hint="eastAsia"/>
                <w:sz w:val="16"/>
                <w:lang w:eastAsia="zh-CN"/>
              </w:rPr>
              <w:t>，</w:t>
            </w:r>
            <w:r>
              <w:rPr>
                <w:rFonts w:ascii="Times New Roman" w:eastAsia="宋体" w:hint="eastAsia"/>
                <w:sz w:val="16"/>
                <w:lang w:eastAsia="zh-CN"/>
              </w:rPr>
              <w:t>Section</w:t>
            </w:r>
            <w:r w:rsidR="00F657DA">
              <w:rPr>
                <w:rFonts w:ascii="Times New Roman" w:eastAsia="宋体"/>
                <w:sz w:val="16"/>
                <w:lang w:eastAsia="zh-CN"/>
              </w:rPr>
              <w:t xml:space="preserve"> </w:t>
            </w:r>
            <w:r>
              <w:rPr>
                <w:rFonts w:ascii="Times New Roman" w:eastAsia="宋体" w:hint="eastAsia"/>
                <w:sz w:val="16"/>
                <w:lang w:eastAsia="zh-CN"/>
              </w:rPr>
              <w:t>2</w:t>
            </w:r>
            <w:r>
              <w:rPr>
                <w:rFonts w:ascii="Times New Roman" w:eastAsia="宋体" w:hint="eastAsia"/>
                <w:sz w:val="16"/>
                <w:lang w:eastAsia="zh-CN"/>
              </w:rPr>
              <w:t>、</w:t>
            </w:r>
            <w:r w:rsidR="00D767CB">
              <w:rPr>
                <w:rFonts w:ascii="Times New Roman" w:eastAsia="宋体"/>
                <w:sz w:val="16"/>
                <w:lang w:eastAsia="zh-CN"/>
              </w:rPr>
              <w:t>3</w:t>
            </w:r>
            <w:r>
              <w:rPr>
                <w:rFonts w:ascii="Times New Roman" w:eastAsia="宋体" w:hint="eastAsia"/>
                <w:sz w:val="16"/>
                <w:lang w:eastAsia="zh-CN"/>
              </w:rPr>
              <w:t>、</w:t>
            </w:r>
            <w:r w:rsidR="00D767CB">
              <w:rPr>
                <w:rFonts w:ascii="Times New Roman" w:eastAsia="宋体"/>
                <w:sz w:val="16"/>
                <w:lang w:eastAsia="zh-CN"/>
              </w:rPr>
              <w:t>4</w:t>
            </w:r>
            <w:r>
              <w:rPr>
                <w:rFonts w:ascii="Times New Roman" w:eastAsia="宋体" w:hint="eastAsia"/>
                <w:sz w:val="16"/>
                <w:lang w:eastAsia="zh-CN"/>
              </w:rPr>
              <w:t>、</w:t>
            </w:r>
            <w:r w:rsidR="00D767CB">
              <w:rPr>
                <w:rFonts w:ascii="Times New Roman" w:eastAsia="宋体"/>
                <w:sz w:val="16"/>
                <w:lang w:eastAsia="zh-CN"/>
              </w:rPr>
              <w:t>5</w:t>
            </w:r>
            <w:r w:rsidR="00712E11">
              <w:rPr>
                <w:rFonts w:ascii="Times New Roman" w:eastAsia="宋体" w:hint="eastAsia"/>
                <w:sz w:val="16"/>
                <w:lang w:eastAsia="zh-CN"/>
              </w:rPr>
              <w:t>、</w:t>
            </w:r>
            <w:r w:rsidR="00712E11">
              <w:rPr>
                <w:rFonts w:ascii="Times New Roman" w:eastAsia="宋体" w:hint="eastAsia"/>
                <w:sz w:val="16"/>
                <w:lang w:eastAsia="zh-CN"/>
              </w:rPr>
              <w:t>8</w:t>
            </w:r>
          </w:p>
          <w:p w14:paraId="32D0AA60" w14:textId="77777777" w:rsidR="00BA7210" w:rsidRDefault="00BA7210">
            <w:pPr>
              <w:pStyle w:val="TableParagraph"/>
              <w:spacing w:before="0"/>
              <w:jc w:val="center"/>
              <w:rPr>
                <w:rFonts w:ascii="Times New Roman"/>
                <w:sz w:val="16"/>
              </w:rPr>
            </w:pPr>
          </w:p>
        </w:tc>
      </w:tr>
      <w:tr w:rsidR="00BA7210" w14:paraId="338E55BF" w14:textId="77777777">
        <w:trPr>
          <w:trHeight w:val="1060"/>
        </w:trPr>
        <w:tc>
          <w:tcPr>
            <w:tcW w:w="1457" w:type="dxa"/>
            <w:tcBorders>
              <w:left w:val="nil"/>
              <w:right w:val="nil"/>
            </w:tcBorders>
            <w:shd w:val="clear" w:color="auto" w:fill="D9C8D2"/>
          </w:tcPr>
          <w:p w14:paraId="46EAF40F" w14:textId="77777777" w:rsidR="00BA7210" w:rsidRDefault="00000000">
            <w:pPr>
              <w:pStyle w:val="TableParagraph"/>
              <w:spacing w:before="73" w:line="237" w:lineRule="auto"/>
              <w:ind w:left="113" w:right="498"/>
              <w:rPr>
                <w:rFonts w:ascii="Gill Sans MT"/>
                <w:b/>
                <w:sz w:val="17"/>
              </w:rPr>
            </w:pPr>
            <w:r>
              <w:rPr>
                <w:rFonts w:ascii="Gill Sans MT"/>
                <w:b/>
                <w:color w:val="434142"/>
                <w:w w:val="105"/>
                <w:sz w:val="17"/>
              </w:rPr>
              <w:t>Statistical methods</w:t>
            </w:r>
          </w:p>
        </w:tc>
        <w:tc>
          <w:tcPr>
            <w:tcW w:w="398" w:type="dxa"/>
            <w:tcBorders>
              <w:left w:val="nil"/>
              <w:right w:val="nil"/>
            </w:tcBorders>
            <w:shd w:val="clear" w:color="auto" w:fill="D9C8D2"/>
          </w:tcPr>
          <w:p w14:paraId="3EA1C502" w14:textId="77777777" w:rsidR="00BA7210" w:rsidRDefault="00000000">
            <w:pPr>
              <w:pStyle w:val="TableParagraph"/>
              <w:ind w:right="44"/>
              <w:jc w:val="center"/>
              <w:rPr>
                <w:sz w:val="17"/>
              </w:rPr>
            </w:pPr>
            <w:r>
              <w:rPr>
                <w:color w:val="434142"/>
                <w:w w:val="108"/>
                <w:sz w:val="17"/>
              </w:rPr>
              <w:t>7</w:t>
            </w:r>
          </w:p>
        </w:tc>
        <w:tc>
          <w:tcPr>
            <w:tcW w:w="6894" w:type="dxa"/>
            <w:tcBorders>
              <w:left w:val="nil"/>
            </w:tcBorders>
            <w:shd w:val="clear" w:color="auto" w:fill="D9C8D2"/>
          </w:tcPr>
          <w:p w14:paraId="761C68B6" w14:textId="295B5A27" w:rsidR="00BA7210" w:rsidRDefault="00712E11" w:rsidP="00712E11">
            <w:pPr>
              <w:pStyle w:val="TableParagraph"/>
              <w:tabs>
                <w:tab w:val="left" w:pos="317"/>
              </w:tabs>
              <w:spacing w:before="112"/>
              <w:ind w:left="316" w:right="282"/>
              <w:rPr>
                <w:sz w:val="17"/>
              </w:rPr>
            </w:pPr>
            <w:r w:rsidRPr="00712E11">
              <w:rPr>
                <w:color w:val="434142"/>
                <w:w w:val="110"/>
                <w:sz w:val="17"/>
              </w:rPr>
              <w:t>The experimental data were analyzed by SPSS 22.0 (Chicago, USA) and were presented as the mean ± standard deviation (SD). Comparison between two groups was made by two-tailed Student’s t-test. Statistical signiﬁcance was considered at p&lt;0.05.</w:t>
            </w:r>
          </w:p>
        </w:tc>
        <w:tc>
          <w:tcPr>
            <w:tcW w:w="1718" w:type="dxa"/>
            <w:tcBorders>
              <w:right w:val="nil"/>
            </w:tcBorders>
            <w:vAlign w:val="center"/>
          </w:tcPr>
          <w:p w14:paraId="3AEA02EE" w14:textId="25C831A9"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w:t>
            </w:r>
            <w:r w:rsidR="00F657DA">
              <w:rPr>
                <w:rFonts w:ascii="Times New Roman" w:eastAsia="宋体"/>
                <w:sz w:val="16"/>
                <w:lang w:eastAsia="zh-CN"/>
              </w:rPr>
              <w:t xml:space="preserve"> </w:t>
            </w:r>
            <w:r>
              <w:rPr>
                <w:rFonts w:ascii="Times New Roman" w:eastAsia="宋体" w:hint="eastAsia"/>
                <w:sz w:val="16"/>
                <w:lang w:eastAsia="zh-CN"/>
              </w:rPr>
              <w:t>2</w:t>
            </w:r>
            <w:r>
              <w:rPr>
                <w:rFonts w:ascii="Times New Roman" w:eastAsia="宋体" w:hint="eastAsia"/>
                <w:sz w:val="16"/>
                <w:lang w:eastAsia="zh-CN"/>
              </w:rPr>
              <w:t>，</w:t>
            </w:r>
            <w:r>
              <w:rPr>
                <w:rFonts w:ascii="Times New Roman" w:eastAsia="宋体" w:hint="eastAsia"/>
                <w:sz w:val="16"/>
                <w:lang w:eastAsia="zh-CN"/>
              </w:rPr>
              <w:t>Section</w:t>
            </w:r>
            <w:r w:rsidR="00F657DA">
              <w:rPr>
                <w:rFonts w:ascii="Times New Roman" w:eastAsia="宋体"/>
                <w:sz w:val="16"/>
                <w:lang w:eastAsia="zh-CN"/>
              </w:rPr>
              <w:t xml:space="preserve"> </w:t>
            </w:r>
            <w:r w:rsidR="00712E11">
              <w:rPr>
                <w:rFonts w:ascii="Times New Roman" w:eastAsia="宋体"/>
                <w:sz w:val="16"/>
                <w:lang w:eastAsia="zh-CN"/>
              </w:rPr>
              <w:t>9</w:t>
            </w:r>
          </w:p>
          <w:p w14:paraId="3E7F4532" w14:textId="77777777" w:rsidR="00BA7210" w:rsidRDefault="00BA7210">
            <w:pPr>
              <w:pStyle w:val="TableParagraph"/>
              <w:spacing w:before="0"/>
              <w:jc w:val="center"/>
              <w:rPr>
                <w:rFonts w:ascii="Times New Roman"/>
                <w:sz w:val="16"/>
              </w:rPr>
            </w:pPr>
          </w:p>
        </w:tc>
      </w:tr>
      <w:tr w:rsidR="00BA7210" w14:paraId="2E49F403" w14:textId="77777777">
        <w:trPr>
          <w:trHeight w:val="1060"/>
        </w:trPr>
        <w:tc>
          <w:tcPr>
            <w:tcW w:w="1457" w:type="dxa"/>
            <w:tcBorders>
              <w:left w:val="nil"/>
              <w:right w:val="nil"/>
            </w:tcBorders>
          </w:tcPr>
          <w:p w14:paraId="767C5E45" w14:textId="77777777" w:rsidR="00BA7210" w:rsidRDefault="00000000">
            <w:pPr>
              <w:pStyle w:val="TableParagraph"/>
              <w:spacing w:before="73" w:line="237" w:lineRule="auto"/>
              <w:ind w:left="113"/>
              <w:rPr>
                <w:rFonts w:ascii="Gill Sans MT"/>
                <w:b/>
                <w:sz w:val="17"/>
              </w:rPr>
            </w:pPr>
            <w:r>
              <w:rPr>
                <w:rFonts w:ascii="Gill Sans MT"/>
                <w:b/>
                <w:color w:val="434142"/>
                <w:sz w:val="17"/>
              </w:rPr>
              <w:t xml:space="preserve">Experimental </w:t>
            </w:r>
            <w:r>
              <w:rPr>
                <w:rFonts w:ascii="Gill Sans MT"/>
                <w:b/>
                <w:color w:val="434142"/>
                <w:w w:val="105"/>
                <w:sz w:val="17"/>
              </w:rPr>
              <w:t>animals</w:t>
            </w:r>
          </w:p>
        </w:tc>
        <w:tc>
          <w:tcPr>
            <w:tcW w:w="398" w:type="dxa"/>
            <w:tcBorders>
              <w:left w:val="nil"/>
              <w:right w:val="nil"/>
            </w:tcBorders>
          </w:tcPr>
          <w:p w14:paraId="1C396DC3" w14:textId="77777777" w:rsidR="00BA7210" w:rsidRDefault="00000000">
            <w:pPr>
              <w:pStyle w:val="TableParagraph"/>
              <w:ind w:right="44"/>
              <w:jc w:val="center"/>
              <w:rPr>
                <w:sz w:val="17"/>
              </w:rPr>
            </w:pPr>
            <w:r>
              <w:rPr>
                <w:color w:val="434142"/>
                <w:w w:val="108"/>
                <w:sz w:val="17"/>
              </w:rPr>
              <w:t>8</w:t>
            </w:r>
          </w:p>
        </w:tc>
        <w:tc>
          <w:tcPr>
            <w:tcW w:w="6894" w:type="dxa"/>
            <w:tcBorders>
              <w:left w:val="nil"/>
            </w:tcBorders>
          </w:tcPr>
          <w:p w14:paraId="1E54BBFA" w14:textId="6F615AFC" w:rsidR="00BA7210" w:rsidRDefault="00F26745" w:rsidP="00F26745">
            <w:pPr>
              <w:pStyle w:val="TableParagraph"/>
              <w:spacing w:before="0" w:line="195" w:lineRule="exact"/>
              <w:ind w:left="316"/>
              <w:rPr>
                <w:sz w:val="17"/>
              </w:rPr>
            </w:pPr>
            <w:r w:rsidRPr="00F26745">
              <w:rPr>
                <w:color w:val="434142"/>
                <w:w w:val="110"/>
                <w:sz w:val="17"/>
              </w:rPr>
              <w:t xml:space="preserve">Ten adult male salt-sensitive rats (180-200g) were purchased from Beijing Vital River Experimental Animal Science and Technology Co., Ltd. (SCXK 2016-0006). </w:t>
            </w:r>
          </w:p>
        </w:tc>
        <w:tc>
          <w:tcPr>
            <w:tcW w:w="1718" w:type="dxa"/>
            <w:tcBorders>
              <w:right w:val="nil"/>
            </w:tcBorders>
            <w:vAlign w:val="center"/>
          </w:tcPr>
          <w:p w14:paraId="33BC31A6" w14:textId="59BBAA49"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Part2</w:t>
            </w:r>
            <w:r>
              <w:rPr>
                <w:rFonts w:ascii="Times New Roman" w:eastAsia="宋体" w:hint="eastAsia"/>
                <w:sz w:val="16"/>
                <w:lang w:eastAsia="zh-CN"/>
              </w:rPr>
              <w:t>，</w:t>
            </w:r>
            <w:r>
              <w:rPr>
                <w:rFonts w:ascii="Times New Roman" w:eastAsia="宋体" w:hint="eastAsia"/>
                <w:sz w:val="16"/>
                <w:lang w:eastAsia="zh-CN"/>
              </w:rPr>
              <w:t>Section</w:t>
            </w:r>
            <w:r w:rsidR="00F26745">
              <w:rPr>
                <w:rFonts w:ascii="Times New Roman" w:eastAsia="宋体" w:hint="eastAsia"/>
                <w:sz w:val="16"/>
                <w:lang w:eastAsia="zh-CN"/>
              </w:rPr>
              <w:t>2</w:t>
            </w:r>
          </w:p>
          <w:p w14:paraId="55C98040" w14:textId="77777777" w:rsidR="00BA7210" w:rsidRDefault="00BA7210">
            <w:pPr>
              <w:pStyle w:val="TableParagraph"/>
              <w:spacing w:before="0"/>
              <w:jc w:val="center"/>
              <w:rPr>
                <w:rFonts w:ascii="Times New Roman"/>
                <w:sz w:val="16"/>
              </w:rPr>
            </w:pPr>
          </w:p>
        </w:tc>
      </w:tr>
      <w:tr w:rsidR="00BA7210" w14:paraId="184A9183" w14:textId="77777777">
        <w:trPr>
          <w:trHeight w:val="1789"/>
        </w:trPr>
        <w:tc>
          <w:tcPr>
            <w:tcW w:w="1457" w:type="dxa"/>
            <w:tcBorders>
              <w:left w:val="nil"/>
              <w:right w:val="nil"/>
            </w:tcBorders>
            <w:shd w:val="clear" w:color="auto" w:fill="D9C8D2"/>
          </w:tcPr>
          <w:p w14:paraId="6622EBFB" w14:textId="77777777" w:rsidR="00BA7210" w:rsidRDefault="00000000">
            <w:pPr>
              <w:pStyle w:val="TableParagraph"/>
              <w:spacing w:before="73" w:line="237" w:lineRule="auto"/>
              <w:ind w:left="113"/>
              <w:rPr>
                <w:rFonts w:ascii="Gill Sans MT"/>
                <w:b/>
                <w:sz w:val="17"/>
              </w:rPr>
            </w:pPr>
            <w:r>
              <w:rPr>
                <w:rFonts w:ascii="Gill Sans MT"/>
                <w:b/>
                <w:color w:val="434142"/>
                <w:sz w:val="17"/>
              </w:rPr>
              <w:lastRenderedPageBreak/>
              <w:t xml:space="preserve">Experimental </w:t>
            </w:r>
            <w:r>
              <w:rPr>
                <w:rFonts w:ascii="Gill Sans MT"/>
                <w:b/>
                <w:color w:val="434142"/>
                <w:w w:val="105"/>
                <w:sz w:val="17"/>
              </w:rPr>
              <w:t>procedures</w:t>
            </w:r>
          </w:p>
        </w:tc>
        <w:tc>
          <w:tcPr>
            <w:tcW w:w="398" w:type="dxa"/>
            <w:tcBorders>
              <w:left w:val="nil"/>
              <w:right w:val="nil"/>
            </w:tcBorders>
            <w:shd w:val="clear" w:color="auto" w:fill="D9C8D2"/>
          </w:tcPr>
          <w:p w14:paraId="64C3F4AB" w14:textId="77777777" w:rsidR="00BA7210" w:rsidRDefault="00000000">
            <w:pPr>
              <w:pStyle w:val="TableParagraph"/>
              <w:ind w:right="44"/>
              <w:jc w:val="center"/>
              <w:rPr>
                <w:sz w:val="17"/>
              </w:rPr>
            </w:pPr>
            <w:r>
              <w:rPr>
                <w:color w:val="434142"/>
                <w:w w:val="108"/>
                <w:sz w:val="17"/>
              </w:rPr>
              <w:t>9</w:t>
            </w:r>
          </w:p>
        </w:tc>
        <w:tc>
          <w:tcPr>
            <w:tcW w:w="6894" w:type="dxa"/>
            <w:tcBorders>
              <w:left w:val="nil"/>
            </w:tcBorders>
            <w:shd w:val="clear" w:color="auto" w:fill="D9C8D2"/>
          </w:tcPr>
          <w:p w14:paraId="623477FA" w14:textId="77777777" w:rsidR="00D64F06" w:rsidRPr="00D64F06" w:rsidRDefault="00D64F06" w:rsidP="00D64F06">
            <w:pPr>
              <w:pStyle w:val="TableParagraph"/>
              <w:tabs>
                <w:tab w:val="left" w:pos="317"/>
              </w:tabs>
              <w:spacing w:before="112"/>
              <w:ind w:left="316"/>
              <w:rPr>
                <w:sz w:val="17"/>
              </w:rPr>
            </w:pPr>
            <w:r w:rsidRPr="00D64F06">
              <w:rPr>
                <w:sz w:val="17"/>
              </w:rPr>
              <w:t xml:space="preserve">2.2 Measurement of body weight, running and swimming exhaustion time </w:t>
            </w:r>
          </w:p>
          <w:p w14:paraId="11EBA630" w14:textId="77777777" w:rsidR="00D64F06" w:rsidRPr="00D64F06" w:rsidRDefault="00D64F06" w:rsidP="00D64F06">
            <w:pPr>
              <w:pStyle w:val="TableParagraph"/>
              <w:tabs>
                <w:tab w:val="left" w:pos="317"/>
              </w:tabs>
              <w:spacing w:before="112"/>
              <w:ind w:left="316"/>
              <w:rPr>
                <w:sz w:val="17"/>
              </w:rPr>
            </w:pPr>
            <w:r w:rsidRPr="00D64F06">
              <w:rPr>
                <w:sz w:val="17"/>
              </w:rPr>
              <w:t>The body weight of the rats was measured by electronic scale for the first time and then the rats were weighed every Monday for 8 weeks to observe the weight changes of the rats. The running and swimming exhaustion experiments were conducted to observe the physical changes of the rats after 8 weeks of feeding. The rats in both groups were placed on the treadmill and ran at 20 m/min until they reached the exhaustion standard (i.e., righting reflex disappeared). On the 2nd day of the running experiment, rats were placed in a water tank (water temperature 28±3</w:t>
            </w:r>
            <w:r w:rsidRPr="00D64F06">
              <w:rPr>
                <w:rFonts w:ascii="宋体" w:eastAsia="宋体" w:hAnsi="宋体" w:cs="宋体" w:hint="eastAsia"/>
                <w:sz w:val="17"/>
              </w:rPr>
              <w:t>℃</w:t>
            </w:r>
            <w:r w:rsidRPr="00D64F06">
              <w:rPr>
                <w:sz w:val="17"/>
              </w:rPr>
              <w:t xml:space="preserve">, water depth 50 cm, </w:t>
            </w:r>
            <w:proofErr w:type="gramStart"/>
            <w:r w:rsidRPr="00D64F06">
              <w:rPr>
                <w:sz w:val="17"/>
              </w:rPr>
              <w:t>length</w:t>
            </w:r>
            <w:proofErr w:type="gramEnd"/>
            <w:r w:rsidRPr="00D64F06">
              <w:rPr>
                <w:sz w:val="17"/>
              </w:rPr>
              <w:t xml:space="preserve"> and width 50×50×80cm) and swam until they reached the exhaustion standard (i.e., their heads were submerged in water for 5 s and could not rise to the surface). </w:t>
            </w:r>
          </w:p>
          <w:p w14:paraId="1853364A" w14:textId="77777777" w:rsidR="00D64F06" w:rsidRPr="00D64F06" w:rsidRDefault="00D64F06" w:rsidP="00D64F06">
            <w:pPr>
              <w:pStyle w:val="TableParagraph"/>
              <w:tabs>
                <w:tab w:val="left" w:pos="317"/>
              </w:tabs>
              <w:spacing w:before="112"/>
              <w:ind w:left="316"/>
              <w:rPr>
                <w:sz w:val="17"/>
              </w:rPr>
            </w:pPr>
            <w:r w:rsidRPr="00D64F06">
              <w:rPr>
                <w:sz w:val="17"/>
              </w:rPr>
              <w:t xml:space="preserve">2.3 Detection of cardiac functions </w:t>
            </w:r>
          </w:p>
          <w:p w14:paraId="4B5666DC" w14:textId="77777777" w:rsidR="00D64F06" w:rsidRPr="00D64F06" w:rsidRDefault="00D64F06" w:rsidP="00D64F06">
            <w:pPr>
              <w:pStyle w:val="TableParagraph"/>
              <w:tabs>
                <w:tab w:val="left" w:pos="317"/>
              </w:tabs>
              <w:spacing w:before="112"/>
              <w:ind w:left="316"/>
              <w:rPr>
                <w:sz w:val="17"/>
              </w:rPr>
            </w:pPr>
            <w:r w:rsidRPr="00D64F06">
              <w:rPr>
                <w:sz w:val="17"/>
              </w:rPr>
              <w:t xml:space="preserve">After 8 weeks of feeding, the differences in cardiac functions of the rats in two groups were detected by echocardiography (X±SD, n=5). The rats were anesthetized through isoflurane inhalation. They were fixed in supine position on a table at 37°C with their hair on the left chest shaved. EF, left ventricular end systolic diameter (LVESD) and left ventricular end diastolic diameter (LVEDD) of the rats were detected by an ultrasound imaging system (RMV707B probe with a frequency of 30MHz and a detection depth of 12-16mm) with a 15L8 ultrasound probe. The probe was placed on the left chest of the rats and the left ventricular motion was recorded by M-mode ultrasound. </w:t>
            </w:r>
          </w:p>
          <w:p w14:paraId="4CB4E5AE" w14:textId="77777777" w:rsidR="00D64F06" w:rsidRPr="00D64F06" w:rsidRDefault="00D64F06" w:rsidP="00D64F06">
            <w:pPr>
              <w:pStyle w:val="TableParagraph"/>
              <w:tabs>
                <w:tab w:val="left" w:pos="317"/>
              </w:tabs>
              <w:spacing w:before="112"/>
              <w:ind w:left="316"/>
              <w:rPr>
                <w:sz w:val="17"/>
              </w:rPr>
            </w:pPr>
            <w:r w:rsidRPr="00D64F06">
              <w:rPr>
                <w:sz w:val="17"/>
              </w:rPr>
              <w:t>2.4 ELISA detection</w:t>
            </w:r>
          </w:p>
          <w:p w14:paraId="52DC234B" w14:textId="77777777" w:rsidR="00D64F06" w:rsidRPr="00D64F06" w:rsidRDefault="00D64F06" w:rsidP="00D64F06">
            <w:pPr>
              <w:pStyle w:val="TableParagraph"/>
              <w:tabs>
                <w:tab w:val="left" w:pos="317"/>
              </w:tabs>
              <w:spacing w:before="112"/>
              <w:ind w:left="316"/>
              <w:rPr>
                <w:sz w:val="17"/>
              </w:rPr>
            </w:pPr>
            <w:r w:rsidRPr="00D64F06">
              <w:rPr>
                <w:sz w:val="17"/>
              </w:rPr>
              <w:t xml:space="preserve">After the blood of the rats was taken from abdominal aorta by vacuum vessels, it was put on ice and centrifuged within 30 m. Serum was collected and stored at -80°C for use. Then brain natriuretic peptide (BNP) was detected by ELISA kit (sensitivity: 0.75 </w:t>
            </w:r>
            <w:proofErr w:type="spellStart"/>
            <w:r w:rsidRPr="00D64F06">
              <w:rPr>
                <w:sz w:val="17"/>
              </w:rPr>
              <w:t>pg</w:t>
            </w:r>
            <w:proofErr w:type="spellEnd"/>
            <w:r w:rsidRPr="00D64F06">
              <w:rPr>
                <w:sz w:val="17"/>
              </w:rPr>
              <w:t xml:space="preserve">/ml; Sigma Aldrich, USA) and N terminal pro B type natriuretic peptide (NT-proBNP) was detected by ELISA kit (sensitivity: 0.81 </w:t>
            </w:r>
            <w:proofErr w:type="spellStart"/>
            <w:r w:rsidRPr="00D64F06">
              <w:rPr>
                <w:sz w:val="17"/>
              </w:rPr>
              <w:t>pg</w:t>
            </w:r>
            <w:proofErr w:type="spellEnd"/>
            <w:r w:rsidRPr="00D64F06">
              <w:rPr>
                <w:sz w:val="17"/>
              </w:rPr>
              <w:t xml:space="preserve">/ml; Abcam, USA). Each sample was repeated three times with the average value as the result. The OD value of absorbance was set as the ordinate (Y) and the corresponding standard concentration was set as the abscissa (X) to draw the standard curve. The sample content was calculated in line with the OD value (expressed as </w:t>
            </w:r>
            <w:proofErr w:type="spellStart"/>
            <w:r w:rsidRPr="00D64F06">
              <w:rPr>
                <w:sz w:val="17"/>
              </w:rPr>
              <w:t>pg</w:t>
            </w:r>
            <w:proofErr w:type="spellEnd"/>
            <w:r w:rsidRPr="00D64F06">
              <w:rPr>
                <w:sz w:val="17"/>
              </w:rPr>
              <w:t>/ml) and the sample concentration was analyzed based on the standard curve.</w:t>
            </w:r>
          </w:p>
          <w:p w14:paraId="6242E157" w14:textId="77777777" w:rsidR="00D64F06" w:rsidRPr="00D64F06" w:rsidRDefault="00D64F06" w:rsidP="00D64F06">
            <w:pPr>
              <w:pStyle w:val="TableParagraph"/>
              <w:tabs>
                <w:tab w:val="left" w:pos="317"/>
              </w:tabs>
              <w:spacing w:before="112"/>
              <w:ind w:left="316"/>
              <w:rPr>
                <w:sz w:val="17"/>
              </w:rPr>
            </w:pPr>
            <w:r w:rsidRPr="00D64F06">
              <w:rPr>
                <w:sz w:val="17"/>
              </w:rPr>
              <w:t xml:space="preserve">2.5 HE staining and Masson staining </w:t>
            </w:r>
          </w:p>
          <w:p w14:paraId="3ACBB26E" w14:textId="77777777" w:rsidR="00D64F06" w:rsidRPr="00D64F06" w:rsidRDefault="00D64F06" w:rsidP="00D64F06">
            <w:pPr>
              <w:pStyle w:val="TableParagraph"/>
              <w:tabs>
                <w:tab w:val="left" w:pos="317"/>
              </w:tabs>
              <w:spacing w:before="112"/>
              <w:ind w:left="316"/>
              <w:rPr>
                <w:sz w:val="17"/>
              </w:rPr>
            </w:pPr>
            <w:r w:rsidRPr="00D64F06">
              <w:rPr>
                <w:sz w:val="17"/>
              </w:rPr>
              <w:t xml:space="preserve">Heart tissues of the rats were administered with HE staining and Masson staining according to previous </w:t>
            </w:r>
            <w:proofErr w:type="gramStart"/>
            <w:r w:rsidRPr="00D64F06">
              <w:rPr>
                <w:sz w:val="17"/>
              </w:rPr>
              <w:t>work[</w:t>
            </w:r>
            <w:proofErr w:type="gramEnd"/>
            <w:r w:rsidRPr="00D64F06">
              <w:rPr>
                <w:sz w:val="17"/>
              </w:rPr>
              <w:t xml:space="preserve">16]. Simply, heart tissues were cut with pathological methods and were observed with a microscope. </w:t>
            </w:r>
          </w:p>
          <w:p w14:paraId="3388E80C" w14:textId="77777777" w:rsidR="00D64F06" w:rsidRPr="00D64F06" w:rsidRDefault="00D64F06" w:rsidP="00D64F06">
            <w:pPr>
              <w:pStyle w:val="TableParagraph"/>
              <w:tabs>
                <w:tab w:val="left" w:pos="317"/>
              </w:tabs>
              <w:spacing w:before="112"/>
              <w:ind w:left="316"/>
              <w:rPr>
                <w:sz w:val="17"/>
              </w:rPr>
            </w:pPr>
            <w:r w:rsidRPr="00D64F06">
              <w:rPr>
                <w:sz w:val="17"/>
              </w:rPr>
              <w:t>2.6 iTRAQ analysis</w:t>
            </w:r>
          </w:p>
          <w:p w14:paraId="263AF625" w14:textId="77777777" w:rsidR="00D64F06" w:rsidRPr="00D64F06" w:rsidRDefault="00D64F06" w:rsidP="00D64F06">
            <w:pPr>
              <w:pStyle w:val="TableParagraph"/>
              <w:tabs>
                <w:tab w:val="left" w:pos="317"/>
              </w:tabs>
              <w:spacing w:before="112"/>
              <w:ind w:left="316"/>
              <w:rPr>
                <w:sz w:val="17"/>
              </w:rPr>
            </w:pPr>
            <w:r w:rsidRPr="00D64F06">
              <w:rPr>
                <w:sz w:val="17"/>
              </w:rPr>
              <w:t xml:space="preserve">iTRAQ technology was applied to screen and identify DEPs of the rats in control group and model group. Analyses were made according to the established procedures in our </w:t>
            </w:r>
            <w:proofErr w:type="gramStart"/>
            <w:r w:rsidRPr="00D64F06">
              <w:rPr>
                <w:sz w:val="17"/>
              </w:rPr>
              <w:t>laboratory[</w:t>
            </w:r>
            <w:proofErr w:type="gramEnd"/>
            <w:r w:rsidRPr="00D64F06">
              <w:rPr>
                <w:sz w:val="17"/>
              </w:rPr>
              <w:t>17] (Figure 1).</w:t>
            </w:r>
          </w:p>
          <w:p w14:paraId="3F019E7E" w14:textId="77777777" w:rsidR="00D64F06" w:rsidRPr="00D64F06" w:rsidRDefault="00D64F06" w:rsidP="00D64F06">
            <w:pPr>
              <w:pStyle w:val="TableParagraph"/>
              <w:tabs>
                <w:tab w:val="left" w:pos="317"/>
              </w:tabs>
              <w:spacing w:before="112"/>
              <w:ind w:left="316"/>
              <w:rPr>
                <w:sz w:val="17"/>
              </w:rPr>
            </w:pPr>
            <w:r w:rsidRPr="00D64F06">
              <w:rPr>
                <w:sz w:val="17"/>
              </w:rPr>
              <w:t xml:space="preserve">2.7 KEGG enrichment analysis and GO annotation of DEPs </w:t>
            </w:r>
          </w:p>
          <w:p w14:paraId="3C2A1254" w14:textId="77777777" w:rsidR="00D64F06" w:rsidRPr="00D64F06" w:rsidRDefault="00D64F06" w:rsidP="00D64F06">
            <w:pPr>
              <w:pStyle w:val="TableParagraph"/>
              <w:tabs>
                <w:tab w:val="left" w:pos="317"/>
              </w:tabs>
              <w:spacing w:before="112"/>
              <w:ind w:left="316"/>
              <w:rPr>
                <w:sz w:val="17"/>
              </w:rPr>
            </w:pPr>
            <w:r w:rsidRPr="00D64F06">
              <w:rPr>
                <w:sz w:val="17"/>
              </w:rPr>
              <w:t xml:space="preserve">KEGG enrichment analysis and GO annotation of DEPs were conducted using BGI analysis system (https://biosys.bgi.com/#/report/login). KEGG enrichment analysis was made for the relation of DEPs with signaling pathways by a two-tailed Fisher’s exact test. GO annotation analysis was made to classify the DEPs in PPAR signaling pathway into biological process, cellular </w:t>
            </w:r>
            <w:proofErr w:type="gramStart"/>
            <w:r w:rsidRPr="00D64F06">
              <w:rPr>
                <w:sz w:val="17"/>
              </w:rPr>
              <w:t>component</w:t>
            </w:r>
            <w:proofErr w:type="gramEnd"/>
            <w:r w:rsidRPr="00D64F06">
              <w:rPr>
                <w:sz w:val="17"/>
              </w:rPr>
              <w:t xml:space="preserve"> and molecular function. </w:t>
            </w:r>
          </w:p>
          <w:p w14:paraId="350DF017" w14:textId="77777777" w:rsidR="00D64F06" w:rsidRPr="00D64F06" w:rsidRDefault="00D64F06" w:rsidP="00D64F06">
            <w:pPr>
              <w:pStyle w:val="TableParagraph"/>
              <w:tabs>
                <w:tab w:val="left" w:pos="317"/>
              </w:tabs>
              <w:spacing w:before="112"/>
              <w:ind w:left="316"/>
              <w:rPr>
                <w:sz w:val="17"/>
              </w:rPr>
            </w:pPr>
            <w:r w:rsidRPr="00D64F06">
              <w:rPr>
                <w:sz w:val="17"/>
              </w:rPr>
              <w:t>2.8 Western blotting</w:t>
            </w:r>
          </w:p>
          <w:p w14:paraId="214A654C" w14:textId="72C07872" w:rsidR="00BA7210" w:rsidRDefault="00D64F06" w:rsidP="00D64F06">
            <w:pPr>
              <w:pStyle w:val="TableParagraph"/>
              <w:tabs>
                <w:tab w:val="left" w:pos="317"/>
              </w:tabs>
              <w:spacing w:before="112"/>
              <w:ind w:left="316"/>
              <w:rPr>
                <w:sz w:val="17"/>
              </w:rPr>
            </w:pPr>
            <w:r w:rsidRPr="00D64F06">
              <w:rPr>
                <w:sz w:val="17"/>
              </w:rPr>
              <w:t xml:space="preserve">The expression levels of PPARα, PPAR β/δ and PPARγ in heart tissues of the rats were analyzed by Western blotting according to previous </w:t>
            </w:r>
            <w:proofErr w:type="gramStart"/>
            <w:r w:rsidRPr="00D64F06">
              <w:rPr>
                <w:sz w:val="17"/>
              </w:rPr>
              <w:t>method[</w:t>
            </w:r>
            <w:proofErr w:type="gramEnd"/>
            <w:r w:rsidRPr="00D64F06">
              <w:rPr>
                <w:sz w:val="17"/>
              </w:rPr>
              <w:t xml:space="preserve">18]. After sealed, the membrane was combined with PPARα (15540-1-AP, Wuhan Sanying Biotechnology Co., Ltd), PPAR </w:t>
            </w:r>
            <w:r w:rsidRPr="00D64F06">
              <w:rPr>
                <w:rFonts w:hint="eastAsia"/>
                <w:sz w:val="17"/>
              </w:rPr>
              <w:t>β</w:t>
            </w:r>
            <w:r w:rsidRPr="00D64F06">
              <w:rPr>
                <w:sz w:val="17"/>
              </w:rPr>
              <w:t>/δ (GB113450, Wuhan Sewell Biotechnology Co., Ltd.) and PPARγ (16643-1-AP, Wuhan Sanying Biotechnology Co., Ltd.) as primary antibody, respectively and it was incubated at 4</w:t>
            </w:r>
            <w:r w:rsidRPr="00D64F06">
              <w:rPr>
                <w:rFonts w:ascii="宋体" w:eastAsia="宋体" w:hAnsi="宋体" w:cs="宋体" w:hint="eastAsia"/>
                <w:sz w:val="17"/>
              </w:rPr>
              <w:t>℃</w:t>
            </w:r>
            <w:r w:rsidRPr="00D64F06">
              <w:rPr>
                <w:sz w:val="17"/>
              </w:rPr>
              <w:t xml:space="preserve"> overnight. Then the membrane coupled with the secondary antibody (HRP, A21020, Wuhan </w:t>
            </w:r>
            <w:proofErr w:type="spellStart"/>
            <w:r w:rsidRPr="00D64F06">
              <w:rPr>
                <w:sz w:val="17"/>
              </w:rPr>
              <w:t>Abbkine</w:t>
            </w:r>
            <w:proofErr w:type="spellEnd"/>
            <w:r w:rsidRPr="00D64F06">
              <w:rPr>
                <w:sz w:val="17"/>
              </w:rPr>
              <w:t xml:space="preserve"> Biotechnology Co., Ltd.) was incubated at room temperature for 1.5 h. Enhanced ChemoLuminescence (ECL) was used to </w:t>
            </w:r>
            <w:proofErr w:type="gramStart"/>
            <w:r w:rsidRPr="00D64F06">
              <w:rPr>
                <w:sz w:val="17"/>
              </w:rPr>
              <w:t>detect  protein</w:t>
            </w:r>
            <w:proofErr w:type="gramEnd"/>
            <w:r w:rsidRPr="00D64F06">
              <w:rPr>
                <w:sz w:val="17"/>
              </w:rPr>
              <w:t xml:space="preserve"> band, which was visualized on autoradiography films. ImageJ was applied to read the band grey value.</w:t>
            </w:r>
          </w:p>
        </w:tc>
        <w:tc>
          <w:tcPr>
            <w:tcW w:w="1718" w:type="dxa"/>
            <w:tcBorders>
              <w:right w:val="nil"/>
            </w:tcBorders>
            <w:vAlign w:val="center"/>
          </w:tcPr>
          <w:p w14:paraId="3E1CCE01" w14:textId="24344B9A"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Part2</w:t>
            </w:r>
            <w:r>
              <w:rPr>
                <w:rFonts w:ascii="Times New Roman" w:eastAsia="宋体" w:hint="eastAsia"/>
                <w:sz w:val="16"/>
                <w:lang w:eastAsia="zh-CN"/>
              </w:rPr>
              <w:t>，</w:t>
            </w:r>
            <w:r>
              <w:rPr>
                <w:rFonts w:ascii="Times New Roman" w:eastAsia="宋体" w:hint="eastAsia"/>
                <w:sz w:val="16"/>
                <w:lang w:eastAsia="zh-CN"/>
              </w:rPr>
              <w:t>Section2-</w:t>
            </w:r>
            <w:r w:rsidR="00D64F06">
              <w:rPr>
                <w:rFonts w:ascii="Times New Roman" w:eastAsia="宋体"/>
                <w:sz w:val="16"/>
                <w:lang w:eastAsia="zh-CN"/>
              </w:rPr>
              <w:t>8</w:t>
            </w:r>
          </w:p>
          <w:p w14:paraId="7217DB72" w14:textId="77777777" w:rsidR="00BA7210" w:rsidRDefault="00BA7210">
            <w:pPr>
              <w:pStyle w:val="TableParagraph"/>
              <w:spacing w:before="0"/>
              <w:jc w:val="center"/>
              <w:rPr>
                <w:rFonts w:ascii="Times New Roman"/>
                <w:sz w:val="16"/>
              </w:rPr>
            </w:pPr>
          </w:p>
        </w:tc>
      </w:tr>
      <w:tr w:rsidR="00BA7210" w14:paraId="5FB19B4E" w14:textId="77777777">
        <w:trPr>
          <w:trHeight w:val="1178"/>
        </w:trPr>
        <w:tc>
          <w:tcPr>
            <w:tcW w:w="1457" w:type="dxa"/>
            <w:tcBorders>
              <w:left w:val="nil"/>
              <w:right w:val="nil"/>
            </w:tcBorders>
          </w:tcPr>
          <w:p w14:paraId="7FBD140B" w14:textId="77777777" w:rsidR="00BA7210" w:rsidRDefault="00000000">
            <w:pPr>
              <w:pStyle w:val="TableParagraph"/>
              <w:spacing w:before="72"/>
              <w:ind w:left="113"/>
              <w:rPr>
                <w:rFonts w:ascii="Gill Sans MT"/>
                <w:b/>
                <w:sz w:val="17"/>
              </w:rPr>
            </w:pPr>
            <w:r>
              <w:rPr>
                <w:rFonts w:ascii="Gill Sans MT"/>
                <w:b/>
                <w:color w:val="434142"/>
                <w:w w:val="110"/>
                <w:sz w:val="17"/>
              </w:rPr>
              <w:t>Results</w:t>
            </w:r>
          </w:p>
        </w:tc>
        <w:tc>
          <w:tcPr>
            <w:tcW w:w="398" w:type="dxa"/>
            <w:tcBorders>
              <w:left w:val="nil"/>
              <w:right w:val="nil"/>
            </w:tcBorders>
          </w:tcPr>
          <w:p w14:paraId="13B6F8D0" w14:textId="77777777" w:rsidR="00BA7210" w:rsidRDefault="00000000">
            <w:pPr>
              <w:pStyle w:val="TableParagraph"/>
              <w:ind w:left="80" w:right="70"/>
              <w:jc w:val="center"/>
              <w:rPr>
                <w:sz w:val="17"/>
              </w:rPr>
            </w:pPr>
            <w:r>
              <w:rPr>
                <w:color w:val="434142"/>
                <w:w w:val="110"/>
                <w:sz w:val="17"/>
              </w:rPr>
              <w:t>10</w:t>
            </w:r>
          </w:p>
        </w:tc>
        <w:tc>
          <w:tcPr>
            <w:tcW w:w="6894" w:type="dxa"/>
            <w:tcBorders>
              <w:left w:val="nil"/>
            </w:tcBorders>
          </w:tcPr>
          <w:p w14:paraId="6B1B1440" w14:textId="77777777" w:rsidR="00D64F06" w:rsidRPr="00D64F06" w:rsidRDefault="00D64F06" w:rsidP="00D64F06">
            <w:pPr>
              <w:pStyle w:val="TableParagraph"/>
              <w:tabs>
                <w:tab w:val="left" w:pos="317"/>
              </w:tabs>
              <w:spacing w:before="111"/>
              <w:ind w:left="316"/>
              <w:rPr>
                <w:sz w:val="17"/>
              </w:rPr>
            </w:pPr>
            <w:r w:rsidRPr="00D64F06">
              <w:rPr>
                <w:sz w:val="17"/>
              </w:rPr>
              <w:t xml:space="preserve">3.1 Changes in body weight, running/swimming exhaustion time of the rats </w:t>
            </w:r>
          </w:p>
          <w:p w14:paraId="08E4C5F4" w14:textId="77777777" w:rsidR="00D64F06" w:rsidRPr="00D64F06" w:rsidRDefault="00D64F06" w:rsidP="00D64F06">
            <w:pPr>
              <w:pStyle w:val="TableParagraph"/>
              <w:tabs>
                <w:tab w:val="left" w:pos="317"/>
              </w:tabs>
              <w:spacing w:before="111"/>
              <w:ind w:left="316"/>
              <w:rPr>
                <w:sz w:val="17"/>
              </w:rPr>
            </w:pPr>
            <w:r w:rsidRPr="00D64F06">
              <w:rPr>
                <w:sz w:val="17"/>
              </w:rPr>
              <w:t>The body weight of the rats in model group was decreased (294 ± 10.04 g) compared with that in control group (321.8±22.42 g) on the last day of the eighth week (Figure 2a, Table 1). The running exhaustion time of the rats in model group was shortened (224±35.07s) compared with that in control group (367±35.28s) (Figure 2b) while the swimming exhaustion time of the rats in model group was greatly shortened (148.8±19.38 s) compared with that in control group (317.8±36.17 s) (Figure 2c).</w:t>
            </w:r>
          </w:p>
          <w:p w14:paraId="4B8AC7EE" w14:textId="77777777" w:rsidR="00D64F06" w:rsidRPr="00D64F06" w:rsidRDefault="00D64F06" w:rsidP="00D64F06">
            <w:pPr>
              <w:pStyle w:val="TableParagraph"/>
              <w:tabs>
                <w:tab w:val="left" w:pos="317"/>
              </w:tabs>
              <w:spacing w:before="111"/>
              <w:ind w:left="316"/>
              <w:rPr>
                <w:sz w:val="17"/>
              </w:rPr>
            </w:pPr>
            <w:r w:rsidRPr="00D64F06">
              <w:rPr>
                <w:sz w:val="17"/>
              </w:rPr>
              <w:t>3.2 Changes in cardiac functions of the rats</w:t>
            </w:r>
          </w:p>
          <w:p w14:paraId="2624C855" w14:textId="77777777" w:rsidR="00D64F06" w:rsidRPr="00D64F06" w:rsidRDefault="00D64F06" w:rsidP="00D64F06">
            <w:pPr>
              <w:pStyle w:val="TableParagraph"/>
              <w:tabs>
                <w:tab w:val="left" w:pos="317"/>
              </w:tabs>
              <w:spacing w:before="111"/>
              <w:ind w:left="316"/>
              <w:rPr>
                <w:sz w:val="17"/>
              </w:rPr>
            </w:pPr>
            <w:r w:rsidRPr="00D64F06">
              <w:rPr>
                <w:sz w:val="17"/>
              </w:rPr>
              <w:t xml:space="preserve">Echocardiography detection revealed that LVPWs and LVEF values in model </w:t>
            </w:r>
            <w:proofErr w:type="spellStart"/>
            <w:r w:rsidRPr="00D64F06">
              <w:rPr>
                <w:sz w:val="17"/>
              </w:rPr>
              <w:t>groupwere</w:t>
            </w:r>
            <w:proofErr w:type="spellEnd"/>
            <w:r w:rsidRPr="00D64F06">
              <w:rPr>
                <w:sz w:val="17"/>
              </w:rPr>
              <w:t xml:space="preserve"> </w:t>
            </w:r>
            <w:proofErr w:type="spellStart"/>
            <w:r w:rsidRPr="00D64F06">
              <w:rPr>
                <w:sz w:val="17"/>
              </w:rPr>
              <w:t>greatlydecreased</w:t>
            </w:r>
            <w:proofErr w:type="spellEnd"/>
            <w:r w:rsidRPr="00D64F06">
              <w:rPr>
                <w:sz w:val="17"/>
              </w:rPr>
              <w:t xml:space="preserve"> than those in control group while </w:t>
            </w:r>
            <w:proofErr w:type="spellStart"/>
            <w:r w:rsidRPr="00D64F06">
              <w:rPr>
                <w:sz w:val="17"/>
              </w:rPr>
              <w:t>IVSd</w:t>
            </w:r>
            <w:proofErr w:type="spellEnd"/>
            <w:r w:rsidRPr="00D64F06">
              <w:rPr>
                <w:sz w:val="17"/>
              </w:rPr>
              <w:t xml:space="preserve">, </w:t>
            </w:r>
            <w:proofErr w:type="spellStart"/>
            <w:r w:rsidRPr="00D64F06">
              <w:rPr>
                <w:sz w:val="17"/>
              </w:rPr>
              <w:t>LVIDd</w:t>
            </w:r>
            <w:proofErr w:type="spellEnd"/>
            <w:r w:rsidRPr="00D64F06">
              <w:rPr>
                <w:sz w:val="17"/>
              </w:rPr>
              <w:t xml:space="preserve">, LVIDs, and </w:t>
            </w:r>
            <w:proofErr w:type="spellStart"/>
            <w:r w:rsidRPr="00D64F06">
              <w:rPr>
                <w:sz w:val="17"/>
              </w:rPr>
              <w:t>LVPWd</w:t>
            </w:r>
            <w:proofErr w:type="spellEnd"/>
            <w:r w:rsidRPr="00D64F06">
              <w:rPr>
                <w:sz w:val="17"/>
              </w:rPr>
              <w:t xml:space="preserve"> values in model group were higher than those in control group with only IVSs no obvious value change, which indicated concentric remodeling of LV (Figure 2d, Table 2). </w:t>
            </w:r>
          </w:p>
          <w:p w14:paraId="6C263AAB" w14:textId="77777777" w:rsidR="00D64F06" w:rsidRPr="00D64F06" w:rsidRDefault="00D64F06" w:rsidP="00D64F06">
            <w:pPr>
              <w:pStyle w:val="TableParagraph"/>
              <w:tabs>
                <w:tab w:val="left" w:pos="317"/>
              </w:tabs>
              <w:spacing w:before="111"/>
              <w:ind w:left="316"/>
              <w:rPr>
                <w:sz w:val="17"/>
              </w:rPr>
            </w:pPr>
            <w:r w:rsidRPr="00D64F06">
              <w:rPr>
                <w:sz w:val="17"/>
              </w:rPr>
              <w:t>3.3 Changes in biochemical indexes of the rats</w:t>
            </w:r>
          </w:p>
          <w:p w14:paraId="11A5B181" w14:textId="77777777" w:rsidR="00D64F06" w:rsidRPr="00D64F06" w:rsidRDefault="00D64F06" w:rsidP="00D64F06">
            <w:pPr>
              <w:pStyle w:val="TableParagraph"/>
              <w:tabs>
                <w:tab w:val="left" w:pos="317"/>
              </w:tabs>
              <w:spacing w:before="111"/>
              <w:ind w:left="316"/>
              <w:rPr>
                <w:sz w:val="17"/>
              </w:rPr>
            </w:pPr>
            <w:r w:rsidRPr="00D64F06">
              <w:rPr>
                <w:sz w:val="17"/>
              </w:rPr>
              <w:t xml:space="preserve">ELISA detection showed a remarkable difference in the contents of BNP and NT-proBNP in the rats of two groups. Compared with those in control group </w:t>
            </w:r>
            <w:r w:rsidRPr="00D64F06">
              <w:rPr>
                <w:sz w:val="17"/>
              </w:rPr>
              <w:lastRenderedPageBreak/>
              <w:t>(57.3855±4.0792, 115.5455±9.9917), BNP and NT-proBNP of the rats in model group (110.7114±5.1450, 368.8182±32.0747) were significantly increased (Table 3).</w:t>
            </w:r>
          </w:p>
          <w:p w14:paraId="1C974D40" w14:textId="77777777" w:rsidR="00D64F06" w:rsidRPr="00D64F06" w:rsidRDefault="00D64F06" w:rsidP="00D64F06">
            <w:pPr>
              <w:pStyle w:val="TableParagraph"/>
              <w:tabs>
                <w:tab w:val="left" w:pos="317"/>
              </w:tabs>
              <w:spacing w:before="111"/>
              <w:ind w:left="316"/>
              <w:rPr>
                <w:sz w:val="17"/>
              </w:rPr>
            </w:pPr>
            <w:r w:rsidRPr="00D64F06">
              <w:rPr>
                <w:sz w:val="17"/>
              </w:rPr>
              <w:t>3.4 Pathological changes in heart tissues of the rats</w:t>
            </w:r>
          </w:p>
          <w:p w14:paraId="737B4A3E" w14:textId="77777777" w:rsidR="00D64F06" w:rsidRPr="00D64F06" w:rsidRDefault="00D64F06" w:rsidP="00D64F06">
            <w:pPr>
              <w:pStyle w:val="TableParagraph"/>
              <w:tabs>
                <w:tab w:val="left" w:pos="317"/>
              </w:tabs>
              <w:spacing w:before="111"/>
              <w:ind w:left="316"/>
              <w:rPr>
                <w:sz w:val="17"/>
              </w:rPr>
            </w:pPr>
            <w:r w:rsidRPr="00D64F06">
              <w:rPr>
                <w:sz w:val="17"/>
              </w:rPr>
              <w:t xml:space="preserve">Figure 2f shows HE staining results of heart tissues of the rats in two groups. The myocardial cells in control group were orderly arranged with basically the same nuclear size, no swelling and atrophy, with good continuity and relatively parallel distribution. The vascular wall structure was complete, </w:t>
            </w:r>
            <w:proofErr w:type="gramStart"/>
            <w:r w:rsidRPr="00D64F06">
              <w:rPr>
                <w:sz w:val="17"/>
              </w:rPr>
              <w:t>thin</w:t>
            </w:r>
            <w:proofErr w:type="gramEnd"/>
            <w:r w:rsidRPr="00D64F06">
              <w:rPr>
                <w:sz w:val="17"/>
              </w:rPr>
              <w:t xml:space="preserve"> and thick, and the vascular intima was regularly arranged, with normal vascular ring shape. In contrast, there were disordered myocardial cells with inconsistent nuclear size, tangled and thickened vascular wall structure, broken and dissolved myocardial fibers, severe vascular lesions, and thickened vascular basement membrane in model group.</w:t>
            </w:r>
          </w:p>
          <w:p w14:paraId="5BDC1CFD" w14:textId="77777777" w:rsidR="00D64F06" w:rsidRPr="00D64F06" w:rsidRDefault="00D64F06" w:rsidP="00D64F06">
            <w:pPr>
              <w:pStyle w:val="TableParagraph"/>
              <w:tabs>
                <w:tab w:val="left" w:pos="317"/>
              </w:tabs>
              <w:spacing w:before="111"/>
              <w:ind w:left="316"/>
              <w:rPr>
                <w:sz w:val="17"/>
              </w:rPr>
            </w:pPr>
            <w:r w:rsidRPr="00D64F06">
              <w:rPr>
                <w:sz w:val="17"/>
              </w:rPr>
              <w:t>Figure 2g shows Masson staining observation of heart tissues of the rats in two groups. Myocardial cells in control group were neatly arranged and there were a few blue collagen fibers in the interstitium of cells and around blood vessels. However, a lot of collagen fibers were distributed in the myocardial interstitium and many interwoven collagen fibers were observed around blood vessels in model group. The accumulation of collagen fibers was greatly increased and the degree of fibrosis was significantly aggravated.</w:t>
            </w:r>
          </w:p>
          <w:p w14:paraId="2651087A" w14:textId="77777777" w:rsidR="00D64F06" w:rsidRPr="00D64F06" w:rsidRDefault="00D64F06" w:rsidP="00D64F06">
            <w:pPr>
              <w:pStyle w:val="TableParagraph"/>
              <w:tabs>
                <w:tab w:val="left" w:pos="317"/>
              </w:tabs>
              <w:spacing w:before="111"/>
              <w:ind w:left="316"/>
              <w:rPr>
                <w:sz w:val="17"/>
              </w:rPr>
            </w:pPr>
            <w:r w:rsidRPr="00D64F06">
              <w:rPr>
                <w:sz w:val="17"/>
              </w:rPr>
              <w:t>3.5 Identification of DEPs in rats</w:t>
            </w:r>
          </w:p>
          <w:p w14:paraId="0DBEFFBF" w14:textId="77777777" w:rsidR="00D64F06" w:rsidRPr="00D64F06" w:rsidRDefault="00D64F06" w:rsidP="00D64F06">
            <w:pPr>
              <w:pStyle w:val="TableParagraph"/>
              <w:tabs>
                <w:tab w:val="left" w:pos="317"/>
              </w:tabs>
              <w:spacing w:before="111"/>
              <w:ind w:left="316"/>
              <w:rPr>
                <w:sz w:val="17"/>
              </w:rPr>
            </w:pPr>
            <w:r w:rsidRPr="00D64F06">
              <w:rPr>
                <w:sz w:val="17"/>
              </w:rPr>
              <w:t xml:space="preserve">563 DEPs of the rats in two groups were analyzed according to Log2|Fold Change|&gt;1.2 standard (P&lt;0.05) through LC-MS/MS analysis (Figure 3a). Among them 243 proteins including </w:t>
            </w:r>
            <w:proofErr w:type="spellStart"/>
            <w:r w:rsidRPr="00D64F06">
              <w:rPr>
                <w:sz w:val="17"/>
              </w:rPr>
              <w:t>Podn</w:t>
            </w:r>
            <w:proofErr w:type="spellEnd"/>
            <w:r w:rsidRPr="00D64F06">
              <w:rPr>
                <w:sz w:val="17"/>
              </w:rPr>
              <w:t xml:space="preserve">, LOC498155, Sh3kbp1, Anxa7, Gfpt2 and </w:t>
            </w:r>
            <w:proofErr w:type="spellStart"/>
            <w:r w:rsidRPr="00D64F06">
              <w:rPr>
                <w:sz w:val="17"/>
              </w:rPr>
              <w:t>Bsg</w:t>
            </w:r>
            <w:proofErr w:type="spellEnd"/>
            <w:r w:rsidRPr="00D64F06">
              <w:rPr>
                <w:sz w:val="17"/>
              </w:rPr>
              <w:t xml:space="preserve"> were significantly up-regulated while 320 proteins such as Eng, </w:t>
            </w:r>
            <w:proofErr w:type="spellStart"/>
            <w:r w:rsidRPr="00D64F06">
              <w:rPr>
                <w:sz w:val="17"/>
              </w:rPr>
              <w:t>Clu</w:t>
            </w:r>
            <w:proofErr w:type="spellEnd"/>
            <w:r w:rsidRPr="00D64F06">
              <w:rPr>
                <w:sz w:val="17"/>
              </w:rPr>
              <w:t>, App, Bpgm5, LOC103689996 and Mrps18b were down-regulated.</w:t>
            </w:r>
          </w:p>
          <w:p w14:paraId="73660A8A" w14:textId="77777777" w:rsidR="00D64F06" w:rsidRPr="00D64F06" w:rsidRDefault="00D64F06" w:rsidP="00D64F06">
            <w:pPr>
              <w:pStyle w:val="TableParagraph"/>
              <w:tabs>
                <w:tab w:val="left" w:pos="317"/>
              </w:tabs>
              <w:spacing w:before="111"/>
              <w:ind w:left="316"/>
              <w:rPr>
                <w:sz w:val="17"/>
              </w:rPr>
            </w:pPr>
            <w:r w:rsidRPr="00D64F06">
              <w:rPr>
                <w:sz w:val="17"/>
              </w:rPr>
              <w:t>3.6 KEGG enrichment analysis and GO annotation of DEPs in PPAR signaling pathway in rats</w:t>
            </w:r>
          </w:p>
          <w:p w14:paraId="2CAF4D44" w14:textId="77777777" w:rsidR="00D64F06" w:rsidRPr="00D64F06" w:rsidRDefault="00D64F06" w:rsidP="00D64F06">
            <w:pPr>
              <w:pStyle w:val="TableParagraph"/>
              <w:tabs>
                <w:tab w:val="left" w:pos="317"/>
              </w:tabs>
              <w:spacing w:before="111"/>
              <w:ind w:left="316"/>
              <w:rPr>
                <w:sz w:val="17"/>
              </w:rPr>
            </w:pPr>
            <w:r w:rsidRPr="00D64F06">
              <w:rPr>
                <w:sz w:val="17"/>
              </w:rPr>
              <w:t>KEGG enrichment analysis showed that DEPs were most closely associated with PPAR signaling pathway, including its three subtypes: PPARα, PPAR β/δ and PPARγ. In addition, they were related to such signaling pathways as complement and coagulation cascades, biosynthesis of unsaturated fatty acids, primary bile acid biosynthesis, fatty acid degradation, ascorbate and aldarate metabolism, arachidonic acid metabolism, retinol metabolism, insect hormone biosynthesis, and fatty acid metabolism (Figure 3b). GO annotation analysis showed that these DEPs enriched in PPAR signaling pathway were mainly related to biological processes such as fatty acid (FA) beta-oxidation and fatty acid metabolic process (Figure 3c), cellular components such as peroxisome and extracellular space (Figure 3d), and molecular functions such as lipid binding and oleic acid binding (Figure 3e).</w:t>
            </w:r>
          </w:p>
          <w:p w14:paraId="5C33EA5D" w14:textId="77777777" w:rsidR="00D64F06" w:rsidRPr="00D64F06" w:rsidRDefault="00D64F06" w:rsidP="00D64F06">
            <w:pPr>
              <w:pStyle w:val="TableParagraph"/>
              <w:tabs>
                <w:tab w:val="left" w:pos="317"/>
              </w:tabs>
              <w:spacing w:before="111"/>
              <w:ind w:left="316"/>
              <w:rPr>
                <w:sz w:val="17"/>
              </w:rPr>
            </w:pPr>
            <w:r w:rsidRPr="00D64F06">
              <w:rPr>
                <w:sz w:val="17"/>
              </w:rPr>
              <w:t xml:space="preserve">3.7 Validation of PPAR signaling pathway in rats </w:t>
            </w:r>
          </w:p>
          <w:p w14:paraId="6B6E9211" w14:textId="4EB2E89F" w:rsidR="00BA7210" w:rsidRDefault="00D64F06" w:rsidP="00D64F06">
            <w:pPr>
              <w:pStyle w:val="TableParagraph"/>
              <w:tabs>
                <w:tab w:val="left" w:pos="317"/>
              </w:tabs>
              <w:spacing w:before="111"/>
              <w:ind w:left="316"/>
              <w:rPr>
                <w:sz w:val="17"/>
              </w:rPr>
            </w:pPr>
            <w:r w:rsidRPr="00D64F06">
              <w:rPr>
                <w:sz w:val="17"/>
              </w:rPr>
              <w:t>Western blotting analysis revealed that the expressions of PPAR signaling pathway in the rats of model group were downregulated, with PPARα ranked at the top, followed by PPARγ, and PPAR β/δ at the bottom (Figure 4). The results were consistent with the results of KEGG enrichment and GO annotation analysis of DEPs in the rats of two groups.</w:t>
            </w:r>
          </w:p>
        </w:tc>
        <w:tc>
          <w:tcPr>
            <w:tcW w:w="1718" w:type="dxa"/>
            <w:tcBorders>
              <w:right w:val="nil"/>
            </w:tcBorders>
            <w:vAlign w:val="center"/>
          </w:tcPr>
          <w:p w14:paraId="0BE67470" w14:textId="77777777"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lastRenderedPageBreak/>
              <w:t>Part3</w:t>
            </w:r>
            <w:r>
              <w:rPr>
                <w:rFonts w:ascii="Times New Roman" w:eastAsia="宋体" w:hint="eastAsia"/>
                <w:sz w:val="16"/>
                <w:lang w:eastAsia="zh-CN"/>
              </w:rPr>
              <w:t>，</w:t>
            </w:r>
            <w:r>
              <w:rPr>
                <w:rFonts w:ascii="Times New Roman" w:eastAsia="宋体" w:hint="eastAsia"/>
                <w:sz w:val="16"/>
                <w:lang w:eastAsia="zh-CN"/>
              </w:rPr>
              <w:t>Section1-7</w:t>
            </w:r>
          </w:p>
          <w:p w14:paraId="230DB3A6" w14:textId="77777777" w:rsidR="00BA7210" w:rsidRDefault="00BA7210">
            <w:pPr>
              <w:pStyle w:val="TableParagraph"/>
              <w:spacing w:before="0"/>
              <w:jc w:val="center"/>
              <w:rPr>
                <w:rFonts w:ascii="Times New Roman"/>
                <w:sz w:val="16"/>
              </w:rPr>
            </w:pPr>
          </w:p>
        </w:tc>
      </w:tr>
    </w:tbl>
    <w:p w14:paraId="3B9FDB6C" w14:textId="77777777" w:rsidR="00BA7210" w:rsidRDefault="00BA7210">
      <w:pPr>
        <w:rPr>
          <w:rFonts w:ascii="Times New Roman"/>
          <w:sz w:val="16"/>
        </w:rPr>
        <w:sectPr w:rsidR="00BA7210">
          <w:type w:val="continuous"/>
          <w:pgSz w:w="11910" w:h="16840"/>
          <w:pgMar w:top="0" w:right="620" w:bottom="280" w:left="340" w:header="720" w:footer="720" w:gutter="0"/>
          <w:cols w:space="720"/>
        </w:sectPr>
      </w:pPr>
    </w:p>
    <w:tbl>
      <w:tblPr>
        <w:tblW w:w="0" w:type="auto"/>
        <w:tblInd w:w="387"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4A0" w:firstRow="1" w:lastRow="0" w:firstColumn="1" w:lastColumn="0" w:noHBand="0" w:noVBand="1"/>
      </w:tblPr>
      <w:tblGrid>
        <w:gridCol w:w="1615"/>
        <w:gridCol w:w="468"/>
        <w:gridCol w:w="6646"/>
        <w:gridCol w:w="1737"/>
      </w:tblGrid>
      <w:tr w:rsidR="00BA7210" w14:paraId="7F7FB2EC" w14:textId="77777777">
        <w:trPr>
          <w:trHeight w:val="545"/>
        </w:trPr>
        <w:tc>
          <w:tcPr>
            <w:tcW w:w="10466" w:type="dxa"/>
            <w:gridSpan w:val="4"/>
            <w:tcBorders>
              <w:top w:val="nil"/>
              <w:left w:val="nil"/>
              <w:bottom w:val="nil"/>
              <w:right w:val="nil"/>
            </w:tcBorders>
            <w:shd w:val="clear" w:color="auto" w:fill="63B1DC"/>
          </w:tcPr>
          <w:p w14:paraId="7EB1A123" w14:textId="77777777" w:rsidR="00BA7210" w:rsidRDefault="00000000">
            <w:pPr>
              <w:pStyle w:val="TableParagraph"/>
              <w:spacing w:before="60"/>
              <w:ind w:left="141"/>
              <w:rPr>
                <w:rFonts w:ascii="Century"/>
                <w:sz w:val="32"/>
              </w:rPr>
            </w:pPr>
            <w:r>
              <w:rPr>
                <w:rFonts w:ascii="Century"/>
                <w:color w:val="FFFFFF"/>
                <w:sz w:val="32"/>
              </w:rPr>
              <w:lastRenderedPageBreak/>
              <w:t>The Recommended Set</w:t>
            </w:r>
          </w:p>
        </w:tc>
      </w:tr>
      <w:tr w:rsidR="00BA7210" w14:paraId="5931D473" w14:textId="77777777">
        <w:trPr>
          <w:trHeight w:val="699"/>
        </w:trPr>
        <w:tc>
          <w:tcPr>
            <w:tcW w:w="10466" w:type="dxa"/>
            <w:gridSpan w:val="4"/>
            <w:tcBorders>
              <w:top w:val="nil"/>
              <w:left w:val="nil"/>
              <w:right w:val="nil"/>
            </w:tcBorders>
            <w:shd w:val="clear" w:color="auto" w:fill="DBE9F5"/>
          </w:tcPr>
          <w:p w14:paraId="610007A3" w14:textId="77777777" w:rsidR="00BA7210" w:rsidRDefault="00000000">
            <w:pPr>
              <w:pStyle w:val="TableParagraph"/>
              <w:spacing w:before="80" w:line="259" w:lineRule="auto"/>
              <w:ind w:left="141"/>
              <w:rPr>
                <w:rFonts w:ascii="Century"/>
                <w:sz w:val="20"/>
              </w:rPr>
            </w:pPr>
            <w:r>
              <w:rPr>
                <w:rFonts w:ascii="Century"/>
                <w:color w:val="434142"/>
                <w:sz w:val="20"/>
              </w:rPr>
              <w:t>These</w:t>
            </w:r>
            <w:r>
              <w:rPr>
                <w:rFonts w:ascii="Century"/>
                <w:color w:val="434142"/>
                <w:spacing w:val="-25"/>
                <w:sz w:val="20"/>
              </w:rPr>
              <w:t xml:space="preserve"> </w:t>
            </w:r>
            <w:r>
              <w:rPr>
                <w:rFonts w:ascii="Century"/>
                <w:color w:val="434142"/>
                <w:sz w:val="20"/>
              </w:rPr>
              <w:t>items</w:t>
            </w:r>
            <w:r>
              <w:rPr>
                <w:rFonts w:ascii="Century"/>
                <w:color w:val="434142"/>
                <w:spacing w:val="-25"/>
                <w:sz w:val="20"/>
              </w:rPr>
              <w:t xml:space="preserve"> </w:t>
            </w:r>
            <w:r>
              <w:rPr>
                <w:rFonts w:ascii="Century"/>
                <w:color w:val="434142"/>
                <w:sz w:val="20"/>
              </w:rPr>
              <w:t>complement</w:t>
            </w:r>
            <w:r>
              <w:rPr>
                <w:rFonts w:ascii="Century"/>
                <w:color w:val="434142"/>
                <w:spacing w:val="-25"/>
                <w:sz w:val="20"/>
              </w:rPr>
              <w:t xml:space="preserve"> </w:t>
            </w:r>
            <w:r>
              <w:rPr>
                <w:rFonts w:ascii="Century"/>
                <w:color w:val="434142"/>
                <w:sz w:val="20"/>
              </w:rPr>
              <w:t>the</w:t>
            </w:r>
            <w:r>
              <w:rPr>
                <w:rFonts w:ascii="Century"/>
                <w:color w:val="434142"/>
                <w:spacing w:val="-25"/>
                <w:sz w:val="20"/>
              </w:rPr>
              <w:t xml:space="preserve"> </w:t>
            </w:r>
            <w:r>
              <w:rPr>
                <w:rFonts w:ascii="Century"/>
                <w:color w:val="434142"/>
                <w:sz w:val="20"/>
              </w:rPr>
              <w:t>Essential</w:t>
            </w:r>
            <w:r>
              <w:rPr>
                <w:rFonts w:ascii="Century"/>
                <w:color w:val="434142"/>
                <w:spacing w:val="-25"/>
                <w:sz w:val="20"/>
              </w:rPr>
              <w:t xml:space="preserve"> </w:t>
            </w:r>
            <w:r>
              <w:rPr>
                <w:rFonts w:ascii="Century"/>
                <w:color w:val="434142"/>
                <w:sz w:val="20"/>
              </w:rPr>
              <w:t>10</w:t>
            </w:r>
            <w:r>
              <w:rPr>
                <w:rFonts w:ascii="Century"/>
                <w:color w:val="434142"/>
                <w:spacing w:val="-25"/>
                <w:sz w:val="20"/>
              </w:rPr>
              <w:t xml:space="preserve"> </w:t>
            </w:r>
            <w:r>
              <w:rPr>
                <w:rFonts w:ascii="Century"/>
                <w:color w:val="434142"/>
                <w:sz w:val="20"/>
              </w:rPr>
              <w:t>and</w:t>
            </w:r>
            <w:r>
              <w:rPr>
                <w:rFonts w:ascii="Century"/>
                <w:color w:val="434142"/>
                <w:spacing w:val="-25"/>
                <w:sz w:val="20"/>
              </w:rPr>
              <w:t xml:space="preserve"> </w:t>
            </w:r>
            <w:r>
              <w:rPr>
                <w:rFonts w:ascii="Century"/>
                <w:color w:val="434142"/>
                <w:sz w:val="20"/>
              </w:rPr>
              <w:t>add</w:t>
            </w:r>
            <w:r>
              <w:rPr>
                <w:rFonts w:ascii="Century"/>
                <w:color w:val="434142"/>
                <w:spacing w:val="-25"/>
                <w:sz w:val="20"/>
              </w:rPr>
              <w:t xml:space="preserve"> </w:t>
            </w:r>
            <w:r>
              <w:rPr>
                <w:rFonts w:ascii="Century"/>
                <w:color w:val="434142"/>
                <w:sz w:val="20"/>
              </w:rPr>
              <w:t>important</w:t>
            </w:r>
            <w:r>
              <w:rPr>
                <w:rFonts w:ascii="Century"/>
                <w:color w:val="434142"/>
                <w:spacing w:val="-24"/>
                <w:sz w:val="20"/>
              </w:rPr>
              <w:t xml:space="preserve"> </w:t>
            </w:r>
            <w:r>
              <w:rPr>
                <w:rFonts w:ascii="Century"/>
                <w:color w:val="434142"/>
                <w:sz w:val="20"/>
              </w:rPr>
              <w:t>context</w:t>
            </w:r>
            <w:r>
              <w:rPr>
                <w:rFonts w:ascii="Century"/>
                <w:color w:val="434142"/>
                <w:spacing w:val="-25"/>
                <w:sz w:val="20"/>
              </w:rPr>
              <w:t xml:space="preserve"> </w:t>
            </w:r>
            <w:r>
              <w:rPr>
                <w:rFonts w:ascii="Century"/>
                <w:color w:val="434142"/>
                <w:sz w:val="20"/>
              </w:rPr>
              <w:t>to</w:t>
            </w:r>
            <w:r>
              <w:rPr>
                <w:rFonts w:ascii="Century"/>
                <w:color w:val="434142"/>
                <w:spacing w:val="-25"/>
                <w:sz w:val="20"/>
              </w:rPr>
              <w:t xml:space="preserve"> </w:t>
            </w:r>
            <w:r>
              <w:rPr>
                <w:rFonts w:ascii="Century"/>
                <w:color w:val="434142"/>
                <w:sz w:val="20"/>
              </w:rPr>
              <w:t>the</w:t>
            </w:r>
            <w:r>
              <w:rPr>
                <w:rFonts w:ascii="Century"/>
                <w:color w:val="434142"/>
                <w:spacing w:val="-25"/>
                <w:sz w:val="20"/>
              </w:rPr>
              <w:t xml:space="preserve"> </w:t>
            </w:r>
            <w:r>
              <w:rPr>
                <w:rFonts w:ascii="Century"/>
                <w:color w:val="434142"/>
                <w:sz w:val="20"/>
              </w:rPr>
              <w:t>study.</w:t>
            </w:r>
            <w:r>
              <w:rPr>
                <w:rFonts w:ascii="Century"/>
                <w:color w:val="434142"/>
                <w:spacing w:val="-25"/>
                <w:sz w:val="20"/>
              </w:rPr>
              <w:t xml:space="preserve"> </w:t>
            </w:r>
            <w:r>
              <w:rPr>
                <w:rFonts w:ascii="Century"/>
                <w:color w:val="434142"/>
                <w:sz w:val="20"/>
              </w:rPr>
              <w:t>Reporting</w:t>
            </w:r>
            <w:r>
              <w:rPr>
                <w:rFonts w:ascii="Century"/>
                <w:color w:val="434142"/>
                <w:spacing w:val="-25"/>
                <w:sz w:val="20"/>
              </w:rPr>
              <w:t xml:space="preserve"> </w:t>
            </w:r>
            <w:r>
              <w:rPr>
                <w:rFonts w:ascii="Century"/>
                <w:color w:val="434142"/>
                <w:sz w:val="20"/>
              </w:rPr>
              <w:t>the</w:t>
            </w:r>
            <w:r>
              <w:rPr>
                <w:rFonts w:ascii="Century"/>
                <w:color w:val="434142"/>
                <w:spacing w:val="-25"/>
                <w:sz w:val="20"/>
              </w:rPr>
              <w:t xml:space="preserve"> </w:t>
            </w:r>
            <w:r>
              <w:rPr>
                <w:rFonts w:ascii="Century"/>
                <w:color w:val="434142"/>
                <w:sz w:val="20"/>
              </w:rPr>
              <w:t>items</w:t>
            </w:r>
            <w:r>
              <w:rPr>
                <w:rFonts w:ascii="Century"/>
                <w:color w:val="434142"/>
                <w:spacing w:val="-25"/>
                <w:sz w:val="20"/>
              </w:rPr>
              <w:t xml:space="preserve"> </w:t>
            </w:r>
            <w:r>
              <w:rPr>
                <w:rFonts w:ascii="Century"/>
                <w:color w:val="434142"/>
                <w:sz w:val="20"/>
              </w:rPr>
              <w:t>in</w:t>
            </w:r>
            <w:r>
              <w:rPr>
                <w:rFonts w:ascii="Century"/>
                <w:color w:val="434142"/>
                <w:spacing w:val="-24"/>
                <w:sz w:val="20"/>
              </w:rPr>
              <w:t xml:space="preserve"> </w:t>
            </w:r>
            <w:r>
              <w:rPr>
                <w:rFonts w:ascii="Century"/>
                <w:color w:val="434142"/>
                <w:sz w:val="20"/>
              </w:rPr>
              <w:t>both</w:t>
            </w:r>
            <w:r>
              <w:rPr>
                <w:rFonts w:ascii="Century"/>
                <w:color w:val="434142"/>
                <w:spacing w:val="-25"/>
                <w:sz w:val="20"/>
              </w:rPr>
              <w:t xml:space="preserve"> </w:t>
            </w:r>
            <w:r>
              <w:rPr>
                <w:rFonts w:ascii="Century"/>
                <w:color w:val="434142"/>
                <w:sz w:val="20"/>
              </w:rPr>
              <w:t>sets represents best</w:t>
            </w:r>
            <w:r>
              <w:rPr>
                <w:rFonts w:ascii="Century"/>
                <w:color w:val="434142"/>
                <w:spacing w:val="-9"/>
                <w:sz w:val="20"/>
              </w:rPr>
              <w:t xml:space="preserve"> </w:t>
            </w:r>
            <w:r>
              <w:rPr>
                <w:rFonts w:ascii="Century"/>
                <w:color w:val="434142"/>
                <w:sz w:val="20"/>
              </w:rPr>
              <w:t>practice.</w:t>
            </w:r>
          </w:p>
        </w:tc>
      </w:tr>
      <w:tr w:rsidR="00BA7210" w14:paraId="31CE5818" w14:textId="77777777">
        <w:trPr>
          <w:trHeight w:val="781"/>
        </w:trPr>
        <w:tc>
          <w:tcPr>
            <w:tcW w:w="1615" w:type="dxa"/>
            <w:tcBorders>
              <w:left w:val="nil"/>
              <w:right w:val="nil"/>
            </w:tcBorders>
          </w:tcPr>
          <w:p w14:paraId="67B0309E" w14:textId="77777777" w:rsidR="00BA7210" w:rsidRDefault="00BA7210">
            <w:pPr>
              <w:pStyle w:val="TableParagraph"/>
              <w:spacing w:before="4"/>
              <w:rPr>
                <w:rFonts w:ascii="Century"/>
                <w:sz w:val="23"/>
              </w:rPr>
            </w:pPr>
          </w:p>
          <w:p w14:paraId="6D460C5D" w14:textId="77777777" w:rsidR="00BA7210" w:rsidRDefault="00000000">
            <w:pPr>
              <w:pStyle w:val="TableParagraph"/>
              <w:spacing w:before="0"/>
              <w:ind w:left="858"/>
              <w:rPr>
                <w:rFonts w:ascii="Gill Sans MT"/>
                <w:b/>
                <w:sz w:val="17"/>
              </w:rPr>
            </w:pPr>
            <w:r>
              <w:rPr>
                <w:rFonts w:ascii="Gill Sans MT"/>
                <w:b/>
                <w:color w:val="434142"/>
                <w:sz w:val="17"/>
              </w:rPr>
              <w:t>Item</w:t>
            </w:r>
          </w:p>
        </w:tc>
        <w:tc>
          <w:tcPr>
            <w:tcW w:w="468" w:type="dxa"/>
            <w:tcBorders>
              <w:left w:val="nil"/>
              <w:right w:val="nil"/>
            </w:tcBorders>
          </w:tcPr>
          <w:p w14:paraId="33554C5D" w14:textId="77777777" w:rsidR="00BA7210" w:rsidRDefault="00BA7210">
            <w:pPr>
              <w:pStyle w:val="TableParagraph"/>
              <w:spacing w:before="0"/>
              <w:rPr>
                <w:rFonts w:ascii="Times New Roman"/>
                <w:sz w:val="16"/>
              </w:rPr>
            </w:pPr>
          </w:p>
        </w:tc>
        <w:tc>
          <w:tcPr>
            <w:tcW w:w="6646" w:type="dxa"/>
            <w:tcBorders>
              <w:left w:val="nil"/>
              <w:right w:val="nil"/>
            </w:tcBorders>
          </w:tcPr>
          <w:p w14:paraId="6A5F59EF" w14:textId="77777777" w:rsidR="00BA7210" w:rsidRDefault="00BA7210">
            <w:pPr>
              <w:pStyle w:val="TableParagraph"/>
              <w:spacing w:before="4"/>
              <w:rPr>
                <w:rFonts w:ascii="Century"/>
                <w:sz w:val="23"/>
              </w:rPr>
            </w:pPr>
          </w:p>
          <w:p w14:paraId="670A10F8" w14:textId="77777777" w:rsidR="00BA7210" w:rsidRDefault="00000000">
            <w:pPr>
              <w:pStyle w:val="TableParagraph"/>
              <w:spacing w:before="0"/>
              <w:ind w:left="2560" w:right="2557"/>
              <w:jc w:val="center"/>
              <w:rPr>
                <w:rFonts w:ascii="Gill Sans MT"/>
                <w:b/>
                <w:sz w:val="17"/>
              </w:rPr>
            </w:pPr>
            <w:r>
              <w:rPr>
                <w:rFonts w:ascii="Gill Sans MT"/>
                <w:b/>
                <w:color w:val="434142"/>
                <w:w w:val="105"/>
                <w:sz w:val="17"/>
              </w:rPr>
              <w:t>Recommendation</w:t>
            </w:r>
          </w:p>
        </w:tc>
        <w:tc>
          <w:tcPr>
            <w:tcW w:w="1737" w:type="dxa"/>
            <w:tcBorders>
              <w:left w:val="nil"/>
              <w:right w:val="nil"/>
            </w:tcBorders>
          </w:tcPr>
          <w:p w14:paraId="0839F08F" w14:textId="77777777" w:rsidR="00BA7210" w:rsidRDefault="00000000">
            <w:pPr>
              <w:pStyle w:val="TableParagraph"/>
              <w:spacing w:before="72" w:line="254" w:lineRule="auto"/>
              <w:ind w:left="119" w:right="117" w:hanging="1"/>
              <w:jc w:val="center"/>
              <w:rPr>
                <w:rFonts w:ascii="Gill Sans MT"/>
                <w:b/>
                <w:sz w:val="17"/>
              </w:rPr>
            </w:pPr>
            <w:r>
              <w:rPr>
                <w:rFonts w:ascii="Gill Sans MT"/>
                <w:b/>
                <w:color w:val="434142"/>
                <w:w w:val="105"/>
                <w:sz w:val="17"/>
              </w:rPr>
              <w:t xml:space="preserve">Section/line </w:t>
            </w:r>
            <w:r>
              <w:rPr>
                <w:rFonts w:ascii="Gill Sans MT"/>
                <w:b/>
                <w:color w:val="434142"/>
                <w:spacing w:val="-3"/>
                <w:w w:val="105"/>
                <w:sz w:val="17"/>
              </w:rPr>
              <w:t xml:space="preserve">number, </w:t>
            </w:r>
            <w:r>
              <w:rPr>
                <w:rFonts w:ascii="Gill Sans MT"/>
                <w:b/>
                <w:color w:val="434142"/>
                <w:w w:val="105"/>
                <w:sz w:val="17"/>
              </w:rPr>
              <w:t>or</w:t>
            </w:r>
            <w:r>
              <w:rPr>
                <w:rFonts w:ascii="Gill Sans MT"/>
                <w:b/>
                <w:color w:val="434142"/>
                <w:spacing w:val="-26"/>
                <w:w w:val="105"/>
                <w:sz w:val="17"/>
              </w:rPr>
              <w:t xml:space="preserve"> </w:t>
            </w:r>
            <w:r>
              <w:rPr>
                <w:rFonts w:ascii="Gill Sans MT"/>
                <w:b/>
                <w:color w:val="434142"/>
                <w:spacing w:val="-4"/>
                <w:w w:val="105"/>
                <w:sz w:val="17"/>
              </w:rPr>
              <w:t xml:space="preserve">reason </w:t>
            </w:r>
            <w:r>
              <w:rPr>
                <w:rFonts w:ascii="Gill Sans MT"/>
                <w:b/>
                <w:color w:val="434142"/>
                <w:w w:val="105"/>
                <w:sz w:val="17"/>
              </w:rPr>
              <w:t>for not</w:t>
            </w:r>
            <w:r>
              <w:rPr>
                <w:rFonts w:ascii="Gill Sans MT"/>
                <w:b/>
                <w:color w:val="434142"/>
                <w:spacing w:val="-28"/>
                <w:w w:val="105"/>
                <w:sz w:val="17"/>
              </w:rPr>
              <w:t xml:space="preserve"> </w:t>
            </w:r>
            <w:r>
              <w:rPr>
                <w:rFonts w:ascii="Gill Sans MT"/>
                <w:b/>
                <w:color w:val="434142"/>
                <w:w w:val="105"/>
                <w:sz w:val="17"/>
              </w:rPr>
              <w:t>reporting</w:t>
            </w:r>
          </w:p>
        </w:tc>
      </w:tr>
      <w:tr w:rsidR="00BA7210" w14:paraId="0D3FC388" w14:textId="77777777">
        <w:trPr>
          <w:trHeight w:val="575"/>
        </w:trPr>
        <w:tc>
          <w:tcPr>
            <w:tcW w:w="1615" w:type="dxa"/>
            <w:tcBorders>
              <w:left w:val="nil"/>
              <w:right w:val="nil"/>
            </w:tcBorders>
            <w:shd w:val="clear" w:color="auto" w:fill="DBE9F5"/>
          </w:tcPr>
          <w:p w14:paraId="541668C2" w14:textId="77777777" w:rsidR="00BA7210" w:rsidRDefault="00000000">
            <w:pPr>
              <w:pStyle w:val="TableParagraph"/>
              <w:spacing w:before="72"/>
              <w:ind w:left="113"/>
              <w:rPr>
                <w:rFonts w:ascii="Gill Sans MT"/>
                <w:b/>
                <w:sz w:val="17"/>
              </w:rPr>
            </w:pPr>
            <w:r>
              <w:rPr>
                <w:rFonts w:ascii="Gill Sans MT"/>
                <w:b/>
                <w:color w:val="434142"/>
                <w:w w:val="105"/>
                <w:sz w:val="17"/>
              </w:rPr>
              <w:t>Abstract</w:t>
            </w:r>
          </w:p>
        </w:tc>
        <w:tc>
          <w:tcPr>
            <w:tcW w:w="468" w:type="dxa"/>
            <w:tcBorders>
              <w:left w:val="nil"/>
              <w:right w:val="nil"/>
            </w:tcBorders>
            <w:shd w:val="clear" w:color="auto" w:fill="DBE9F5"/>
          </w:tcPr>
          <w:p w14:paraId="7ABDC4B9" w14:textId="77777777" w:rsidR="00BA7210" w:rsidRDefault="00000000">
            <w:pPr>
              <w:pStyle w:val="TableParagraph"/>
              <w:ind w:right="115"/>
              <w:jc w:val="right"/>
              <w:rPr>
                <w:sz w:val="17"/>
              </w:rPr>
            </w:pPr>
            <w:r>
              <w:rPr>
                <w:color w:val="434142"/>
                <w:w w:val="105"/>
                <w:sz w:val="17"/>
              </w:rPr>
              <w:t>11</w:t>
            </w:r>
          </w:p>
        </w:tc>
        <w:tc>
          <w:tcPr>
            <w:tcW w:w="6646" w:type="dxa"/>
            <w:tcBorders>
              <w:left w:val="nil"/>
            </w:tcBorders>
            <w:shd w:val="clear" w:color="auto" w:fill="DBE9F5"/>
          </w:tcPr>
          <w:p w14:paraId="082A53C3" w14:textId="77777777" w:rsidR="009A399C" w:rsidRPr="009A399C" w:rsidRDefault="009A399C" w:rsidP="009A399C">
            <w:pPr>
              <w:pStyle w:val="TableParagraph"/>
              <w:ind w:left="116"/>
              <w:rPr>
                <w:color w:val="434142"/>
                <w:w w:val="105"/>
                <w:sz w:val="17"/>
              </w:rPr>
            </w:pPr>
            <w:r w:rsidRPr="009A399C">
              <w:rPr>
                <w:color w:val="434142"/>
                <w:w w:val="105"/>
                <w:sz w:val="17"/>
              </w:rPr>
              <w:t xml:space="preserve">Objective: Heart failure with preserved ejection fraction (HFpEF) is an emerging public health problem worldwide. Treatments for the patients with HFpEF are not satisfactory because there is no unified understanding of the pathological mechanism of HFpEF. This study aims at investigating the potential pathological mechanism for the effective diagnosis and treatment of HFpEF. </w:t>
            </w:r>
          </w:p>
          <w:p w14:paraId="5ADC2645" w14:textId="77777777" w:rsidR="009A399C" w:rsidRPr="009A399C" w:rsidRDefault="009A399C" w:rsidP="009A399C">
            <w:pPr>
              <w:pStyle w:val="TableParagraph"/>
              <w:ind w:left="116"/>
              <w:rPr>
                <w:color w:val="434142"/>
                <w:w w:val="105"/>
                <w:sz w:val="17"/>
              </w:rPr>
            </w:pPr>
            <w:r w:rsidRPr="009A399C">
              <w:rPr>
                <w:color w:val="434142"/>
                <w:w w:val="105"/>
                <w:sz w:val="17"/>
              </w:rPr>
              <w:t xml:space="preserve">Methods: Ten adult male salt-sensitive rats (180-200 g) were divided into control and model groups. The rats in model group were fed with a high-salt diet (8% NaCl) to induce HFpEF for this comparative study. Behavioral changes, biochemical indexes, and histopathological changes of the rats were detected. Then iTRAQ technology combined with bioinformatics analysis was employed to study the differentially expressed proteins (DEPs) and their enrichment in signaling pathways. </w:t>
            </w:r>
          </w:p>
          <w:p w14:paraId="4AB51B61" w14:textId="77777777" w:rsidR="009A399C" w:rsidRPr="009A399C" w:rsidRDefault="009A399C" w:rsidP="009A399C">
            <w:pPr>
              <w:pStyle w:val="TableParagraph"/>
              <w:ind w:left="116"/>
              <w:rPr>
                <w:color w:val="434142"/>
                <w:w w:val="105"/>
                <w:sz w:val="17"/>
              </w:rPr>
            </w:pPr>
            <w:r w:rsidRPr="009A399C">
              <w:rPr>
                <w:color w:val="434142"/>
                <w:w w:val="105"/>
                <w:sz w:val="17"/>
              </w:rPr>
              <w:t xml:space="preserve">Results: 563 DEPs were identified in the rats of HFpEF and controls, with 243 up-regulated and 320 down-regulated. Compared with those in control group, the expression of PPAR signaling pathway in the rats of model group was down-regulated, with PPARα ranked at the top, followed by PPARγ, and PPAR β/δ at the bottom. The DEPs enriched in PPAR signaling pathway were mainly related to such biological processes as fatty acid beta-oxidation, such cellular components as peroxisome, and such molecular functions as lipid binding. </w:t>
            </w:r>
          </w:p>
          <w:p w14:paraId="3692839A" w14:textId="20E82AD0" w:rsidR="00BA7210" w:rsidRDefault="009A399C" w:rsidP="009A399C">
            <w:pPr>
              <w:pStyle w:val="TableParagraph"/>
              <w:spacing w:before="5"/>
              <w:ind w:left="116"/>
              <w:rPr>
                <w:sz w:val="17"/>
              </w:rPr>
            </w:pPr>
            <w:r w:rsidRPr="009A399C">
              <w:rPr>
                <w:color w:val="434142"/>
                <w:w w:val="105"/>
                <w:sz w:val="17"/>
              </w:rPr>
              <w:t>Conclusions: NaCl high-salt diet is one of the factors to increase the incidence of HFpEF in rats. PPARα, PPARγ and PPAR β/δ might be the targets of HFpEF. The findings may provide a theoretical basis for the treatment of HFpEF in clinical practice.</w:t>
            </w:r>
          </w:p>
        </w:tc>
        <w:tc>
          <w:tcPr>
            <w:tcW w:w="1737" w:type="dxa"/>
            <w:tcBorders>
              <w:right w:val="nil"/>
            </w:tcBorders>
            <w:vAlign w:val="center"/>
          </w:tcPr>
          <w:p w14:paraId="2DCF8576" w14:textId="77777777" w:rsidR="00BA7210" w:rsidRDefault="00000000">
            <w:pPr>
              <w:pStyle w:val="TableParagraph"/>
              <w:spacing w:before="0"/>
              <w:jc w:val="center"/>
              <w:rPr>
                <w:rFonts w:ascii="Times New Roman"/>
                <w:sz w:val="16"/>
              </w:rPr>
            </w:pPr>
            <w:r>
              <w:rPr>
                <w:rFonts w:ascii="Times New Roman" w:hint="eastAsia"/>
                <w:sz w:val="16"/>
              </w:rPr>
              <w:t>Abstract</w:t>
            </w:r>
          </w:p>
        </w:tc>
      </w:tr>
      <w:tr w:rsidR="00BA7210" w14:paraId="141E7F51" w14:textId="77777777">
        <w:trPr>
          <w:trHeight w:val="1144"/>
        </w:trPr>
        <w:tc>
          <w:tcPr>
            <w:tcW w:w="1615" w:type="dxa"/>
            <w:tcBorders>
              <w:left w:val="nil"/>
              <w:right w:val="nil"/>
            </w:tcBorders>
          </w:tcPr>
          <w:p w14:paraId="623CECB4" w14:textId="77777777" w:rsidR="00BA7210" w:rsidRDefault="00000000">
            <w:pPr>
              <w:pStyle w:val="TableParagraph"/>
              <w:spacing w:before="72"/>
              <w:ind w:left="113"/>
              <w:rPr>
                <w:rFonts w:ascii="Gill Sans MT"/>
                <w:b/>
                <w:sz w:val="17"/>
              </w:rPr>
            </w:pPr>
            <w:r>
              <w:rPr>
                <w:rFonts w:ascii="Gill Sans MT"/>
                <w:b/>
                <w:color w:val="434142"/>
                <w:w w:val="105"/>
                <w:sz w:val="17"/>
              </w:rPr>
              <w:t>Background</w:t>
            </w:r>
          </w:p>
        </w:tc>
        <w:tc>
          <w:tcPr>
            <w:tcW w:w="468" w:type="dxa"/>
            <w:tcBorders>
              <w:left w:val="nil"/>
              <w:right w:val="nil"/>
            </w:tcBorders>
          </w:tcPr>
          <w:p w14:paraId="5651AD5A" w14:textId="77777777" w:rsidR="00BA7210" w:rsidRDefault="00000000">
            <w:pPr>
              <w:pStyle w:val="TableParagraph"/>
              <w:ind w:right="115"/>
              <w:jc w:val="right"/>
              <w:rPr>
                <w:sz w:val="17"/>
              </w:rPr>
            </w:pPr>
            <w:r>
              <w:rPr>
                <w:color w:val="434142"/>
                <w:w w:val="105"/>
                <w:sz w:val="17"/>
              </w:rPr>
              <w:t>12</w:t>
            </w:r>
          </w:p>
        </w:tc>
        <w:tc>
          <w:tcPr>
            <w:tcW w:w="6646" w:type="dxa"/>
            <w:tcBorders>
              <w:left w:val="nil"/>
            </w:tcBorders>
          </w:tcPr>
          <w:p w14:paraId="18CCB596" w14:textId="61269F97" w:rsidR="000A44BA" w:rsidRPr="000A44BA" w:rsidRDefault="000A44BA" w:rsidP="000A44BA">
            <w:pPr>
              <w:pStyle w:val="TableParagraph"/>
              <w:spacing w:before="4"/>
              <w:ind w:left="294" w:right="994"/>
              <w:rPr>
                <w:color w:val="434142"/>
                <w:w w:val="105"/>
                <w:sz w:val="17"/>
              </w:rPr>
            </w:pPr>
            <w:r w:rsidRPr="000A44BA">
              <w:rPr>
                <w:color w:val="434142"/>
                <w:w w:val="105"/>
                <w:sz w:val="17"/>
              </w:rPr>
              <w:t>Heart failure (HF) is a very common cardiovascular syndrome in the world. HF is classified into four types according to left ventricular ejection fraction (LVEF) in universal definition and classification of heart failure in 2021. They are HF with reduced EF (HFrEF), HF with mildly reduced EF (HFmrEF), HF with preserved EF (HFpEF), and HF with improved EF (HFimpEF). Among them HFpEF accounts for more than 40% of HF patients with high mortality and morbidity. Majority of HFpEF patients are elderly women accompanied by such complications as hypertension, atrial fibrillation and renal insufficiency They suffer from impaired left ventricular diastolic function, increased stiffness and pulmonary congestion, leading to dyspnea, pulmonary hypertension and exercise intolerance. Since HFpEF has different clinical phenotypes and complex pathophysiological mechanism, HFpEF patients are currently considered as the largest “unmet needs” in cardiology. Therefore, in-depth study of HFpEF pathological mechanism is essential for the effective treatment of HFpEF.</w:t>
            </w:r>
          </w:p>
          <w:p w14:paraId="005EED8C" w14:textId="031D34E9" w:rsidR="000A44BA" w:rsidRPr="000A44BA" w:rsidRDefault="000A44BA" w:rsidP="000A44BA">
            <w:pPr>
              <w:pStyle w:val="TableParagraph"/>
              <w:spacing w:before="4"/>
              <w:ind w:left="294" w:right="994"/>
              <w:rPr>
                <w:color w:val="434142"/>
                <w:w w:val="105"/>
                <w:sz w:val="17"/>
              </w:rPr>
            </w:pPr>
            <w:r w:rsidRPr="000A44BA">
              <w:rPr>
                <w:color w:val="434142"/>
                <w:w w:val="105"/>
                <w:sz w:val="17"/>
              </w:rPr>
              <w:t xml:space="preserve">Previous research has explored the pathogenesis of HFpEF based on epidemiology, pathophysiology, and cytology. Studies have found that hypertension is a main cause of HFpEF and HFpEF is mainly correlated with left ventricular diastolic dysfunction, exogenous constraints and left ventricular filling pressure, left ventricular systolic dysfunction, left atrial dysfunction, pulmonary hypertension, right ventricular dysfunction, coronary microvascular dysfunction, vascular and microvascular dysfunction, and abnormal peripheral and cardiac amyloidosis. Some studies of the transgenic mice expressing catalase in mitochondria have showed that mitochondrial abnormalities, left ventricular hypertrophy and diastolic dysfunction induced by high fat and high sugar diet could be improved, indicating that mitochondrial reactive oxygen species may cause mitochondrial dysfunction to a certain extent. In high-fat and high-sugar MHD mice, reduced ATP production results in functionally important energy deficiency and increased ADP while maintaining CK flux. Nowadays there is no unified understanding of the pathogenesis of HFpEF and there are limitations in the understanding of HFpEF by clinicians. With the development of proteomics, it is necessary to take full play of the new science and investigate the pathological mechanism of HFpEF from a new perspective. </w:t>
            </w:r>
          </w:p>
          <w:p w14:paraId="5EFD2D34" w14:textId="5A65CDF6" w:rsidR="00BA7210" w:rsidRPr="000A44BA" w:rsidRDefault="000A44BA" w:rsidP="000A44BA">
            <w:pPr>
              <w:pStyle w:val="TableParagraph"/>
              <w:spacing w:before="4"/>
              <w:ind w:left="294" w:right="994"/>
              <w:rPr>
                <w:color w:val="434142"/>
                <w:w w:val="105"/>
                <w:sz w:val="17"/>
              </w:rPr>
            </w:pPr>
            <w:r w:rsidRPr="000A44BA">
              <w:rPr>
                <w:color w:val="434142"/>
                <w:w w:val="105"/>
                <w:sz w:val="17"/>
              </w:rPr>
              <w:t xml:space="preserve">Proteomic technique is a reliable method to make quantitative analysis of proteins based on peptide identification. iTRAQ technology has been widely used in the study of many cardiovascular diseases in recent years but there are few reports of its application in HFpEF. We established a rat model of HFpEF by feeding SD rats with high-salt diet to make a comparison with healthy rats. iTRAQ technology combined with KEGG enrichment </w:t>
            </w:r>
            <w:r w:rsidRPr="000A44BA">
              <w:rPr>
                <w:color w:val="434142"/>
                <w:w w:val="105"/>
                <w:sz w:val="17"/>
              </w:rPr>
              <w:lastRenderedPageBreak/>
              <w:t>analysis and GO annotation was employed to study the pathogenesis of HFpEF. Our study aimed at providing a potential pathological mechanism for the effective diagnosis and treatment of HFpEF.</w:t>
            </w:r>
          </w:p>
        </w:tc>
        <w:tc>
          <w:tcPr>
            <w:tcW w:w="1737" w:type="dxa"/>
            <w:tcBorders>
              <w:right w:val="nil"/>
            </w:tcBorders>
            <w:vAlign w:val="center"/>
          </w:tcPr>
          <w:p w14:paraId="31BBFE7B" w14:textId="77777777" w:rsidR="00BA7210" w:rsidRDefault="00000000">
            <w:pPr>
              <w:pStyle w:val="TableParagraph"/>
              <w:spacing w:before="0"/>
              <w:jc w:val="center"/>
              <w:rPr>
                <w:rFonts w:ascii="Times New Roman"/>
                <w:sz w:val="16"/>
              </w:rPr>
            </w:pPr>
            <w:r>
              <w:rPr>
                <w:rFonts w:ascii="Times New Roman" w:eastAsia="宋体" w:hint="eastAsia"/>
                <w:sz w:val="16"/>
                <w:lang w:eastAsia="zh-CN"/>
              </w:rPr>
              <w:lastRenderedPageBreak/>
              <w:t>Part1</w:t>
            </w:r>
          </w:p>
        </w:tc>
      </w:tr>
      <w:tr w:rsidR="00BA7210" w14:paraId="375E1462" w14:textId="77777777">
        <w:trPr>
          <w:trHeight w:val="575"/>
        </w:trPr>
        <w:tc>
          <w:tcPr>
            <w:tcW w:w="1615" w:type="dxa"/>
            <w:tcBorders>
              <w:left w:val="nil"/>
              <w:right w:val="nil"/>
            </w:tcBorders>
            <w:shd w:val="clear" w:color="auto" w:fill="DBE9F5"/>
          </w:tcPr>
          <w:p w14:paraId="7106F69A" w14:textId="77777777" w:rsidR="00BA7210" w:rsidRDefault="00000000">
            <w:pPr>
              <w:pStyle w:val="TableParagraph"/>
              <w:spacing w:before="72"/>
              <w:ind w:left="113"/>
              <w:rPr>
                <w:rFonts w:ascii="Gill Sans MT"/>
                <w:b/>
                <w:sz w:val="17"/>
              </w:rPr>
            </w:pPr>
            <w:r>
              <w:rPr>
                <w:rFonts w:ascii="Gill Sans MT"/>
                <w:b/>
                <w:color w:val="434142"/>
                <w:w w:val="105"/>
                <w:sz w:val="17"/>
              </w:rPr>
              <w:t>Objectives</w:t>
            </w:r>
          </w:p>
        </w:tc>
        <w:tc>
          <w:tcPr>
            <w:tcW w:w="468" w:type="dxa"/>
            <w:tcBorders>
              <w:left w:val="nil"/>
              <w:right w:val="nil"/>
            </w:tcBorders>
            <w:shd w:val="clear" w:color="auto" w:fill="DBE9F5"/>
          </w:tcPr>
          <w:p w14:paraId="332F6A48" w14:textId="77777777" w:rsidR="00BA7210" w:rsidRDefault="00000000">
            <w:pPr>
              <w:pStyle w:val="TableParagraph"/>
              <w:ind w:right="115"/>
              <w:jc w:val="right"/>
              <w:rPr>
                <w:sz w:val="17"/>
              </w:rPr>
            </w:pPr>
            <w:r>
              <w:rPr>
                <w:color w:val="434142"/>
                <w:w w:val="105"/>
                <w:sz w:val="17"/>
              </w:rPr>
              <w:t>13</w:t>
            </w:r>
          </w:p>
        </w:tc>
        <w:tc>
          <w:tcPr>
            <w:tcW w:w="6646" w:type="dxa"/>
            <w:tcBorders>
              <w:left w:val="nil"/>
            </w:tcBorders>
            <w:shd w:val="clear" w:color="auto" w:fill="DBE9F5"/>
          </w:tcPr>
          <w:p w14:paraId="3AD98BEF" w14:textId="2CF35DDA" w:rsidR="00BA7210" w:rsidRDefault="00D948D9">
            <w:pPr>
              <w:pStyle w:val="TableParagraph"/>
              <w:spacing w:before="5"/>
              <w:ind w:left="116"/>
              <w:rPr>
                <w:sz w:val="17"/>
              </w:rPr>
            </w:pPr>
            <w:r w:rsidRPr="00D948D9">
              <w:rPr>
                <w:color w:val="434142"/>
                <w:w w:val="105"/>
                <w:sz w:val="17"/>
              </w:rPr>
              <w:t>Heart failure with preserved ejection fraction (HFpEF) is an emerging public health problem worldwide. Treatments for the patients with HFpEF are not satisfactory because there is no unified understanding of the pathological mechanism of HFpEF. This study aims at investigating the potential pathological mechanism for the effective diagnosis and treatment of HFpEF.</w:t>
            </w:r>
          </w:p>
        </w:tc>
        <w:tc>
          <w:tcPr>
            <w:tcW w:w="1737" w:type="dxa"/>
            <w:tcBorders>
              <w:right w:val="nil"/>
            </w:tcBorders>
            <w:vAlign w:val="center"/>
          </w:tcPr>
          <w:p w14:paraId="46DA14D5" w14:textId="5A90AC28" w:rsidR="00BA7210" w:rsidRDefault="00D948D9">
            <w:pPr>
              <w:pStyle w:val="TableParagraph"/>
              <w:spacing w:before="0"/>
              <w:jc w:val="center"/>
              <w:rPr>
                <w:rFonts w:ascii="Times New Roman"/>
                <w:sz w:val="16"/>
              </w:rPr>
            </w:pPr>
            <w:r>
              <w:rPr>
                <w:rFonts w:ascii="Times New Roman" w:eastAsia="宋体"/>
                <w:sz w:val="16"/>
                <w:lang w:eastAsia="zh-CN"/>
              </w:rPr>
              <w:t>Abstract</w:t>
            </w:r>
          </w:p>
        </w:tc>
      </w:tr>
      <w:tr w:rsidR="00BA7210" w14:paraId="4DC48EE8" w14:textId="77777777">
        <w:trPr>
          <w:trHeight w:val="1031"/>
        </w:trPr>
        <w:tc>
          <w:tcPr>
            <w:tcW w:w="1615" w:type="dxa"/>
            <w:tcBorders>
              <w:left w:val="nil"/>
              <w:right w:val="nil"/>
            </w:tcBorders>
          </w:tcPr>
          <w:p w14:paraId="2F40C7BF" w14:textId="77777777" w:rsidR="00BA7210" w:rsidRDefault="00000000">
            <w:pPr>
              <w:pStyle w:val="TableParagraph"/>
              <w:spacing w:before="72" w:line="242" w:lineRule="auto"/>
              <w:ind w:left="113" w:right="445"/>
              <w:rPr>
                <w:rFonts w:ascii="Gill Sans MT"/>
                <w:b/>
                <w:sz w:val="17"/>
              </w:rPr>
            </w:pPr>
            <w:r>
              <w:rPr>
                <w:rFonts w:ascii="Gill Sans MT"/>
                <w:b/>
                <w:color w:val="434142"/>
                <w:w w:val="105"/>
                <w:sz w:val="17"/>
              </w:rPr>
              <w:t xml:space="preserve">Ethical </w:t>
            </w:r>
            <w:r>
              <w:rPr>
                <w:rFonts w:ascii="Gill Sans MT"/>
                <w:b/>
                <w:color w:val="434142"/>
                <w:sz w:val="17"/>
              </w:rPr>
              <w:t>statement</w:t>
            </w:r>
          </w:p>
        </w:tc>
        <w:tc>
          <w:tcPr>
            <w:tcW w:w="468" w:type="dxa"/>
            <w:tcBorders>
              <w:left w:val="nil"/>
              <w:right w:val="nil"/>
            </w:tcBorders>
          </w:tcPr>
          <w:p w14:paraId="633BC38D" w14:textId="77777777" w:rsidR="00BA7210" w:rsidRDefault="00000000">
            <w:pPr>
              <w:pStyle w:val="TableParagraph"/>
              <w:ind w:right="115"/>
              <w:jc w:val="right"/>
              <w:rPr>
                <w:sz w:val="17"/>
              </w:rPr>
            </w:pPr>
            <w:r>
              <w:rPr>
                <w:color w:val="434142"/>
                <w:w w:val="105"/>
                <w:sz w:val="17"/>
              </w:rPr>
              <w:t>14</w:t>
            </w:r>
          </w:p>
        </w:tc>
        <w:tc>
          <w:tcPr>
            <w:tcW w:w="6646" w:type="dxa"/>
            <w:tcBorders>
              <w:left w:val="nil"/>
            </w:tcBorders>
          </w:tcPr>
          <w:p w14:paraId="45E0182B" w14:textId="77777777" w:rsidR="00BA7210" w:rsidRDefault="00D948D9">
            <w:pPr>
              <w:pStyle w:val="TableParagraph"/>
              <w:spacing w:line="244" w:lineRule="auto"/>
              <w:ind w:left="116" w:right="94"/>
              <w:rPr>
                <w:color w:val="434142"/>
                <w:w w:val="110"/>
                <w:sz w:val="17"/>
              </w:rPr>
            </w:pPr>
            <w:r w:rsidRPr="00D948D9">
              <w:rPr>
                <w:color w:val="434142"/>
                <w:w w:val="110"/>
                <w:sz w:val="17"/>
              </w:rPr>
              <w:t>The animal experiment was performed with the formal approval of the Medical Ethics Committee of the First Affiliated Hospital of the Fourth Military Medical University (number:KY20213001) and was in line with the Guidelines for the Management and Use of Laboratory Animals by the Chinese National Institutes of Health.</w:t>
            </w:r>
          </w:p>
          <w:p w14:paraId="06C9D7E9" w14:textId="01473BC2" w:rsidR="003148AC" w:rsidRDefault="003148AC">
            <w:pPr>
              <w:pStyle w:val="TableParagraph"/>
              <w:spacing w:line="244" w:lineRule="auto"/>
              <w:ind w:left="116" w:right="94"/>
              <w:rPr>
                <w:sz w:val="17"/>
              </w:rPr>
            </w:pPr>
            <w:r w:rsidRPr="003148AC">
              <w:rPr>
                <w:color w:val="434142"/>
                <w:w w:val="110"/>
                <w:sz w:val="17"/>
              </w:rPr>
              <w:t>All the procedures in this study were in accordance with the Helsinki Declaration of 1975, as revised in 2000, and were approved by the ethical review board of Frist affiliated hospital of Fourth Military Medical University (FE15611-07).  Consent to participate is NA.</w:t>
            </w:r>
          </w:p>
        </w:tc>
        <w:tc>
          <w:tcPr>
            <w:tcW w:w="1737" w:type="dxa"/>
            <w:tcBorders>
              <w:right w:val="nil"/>
            </w:tcBorders>
            <w:vAlign w:val="center"/>
          </w:tcPr>
          <w:p w14:paraId="455E2983" w14:textId="77777777"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t>Part2</w:t>
            </w:r>
            <w:r>
              <w:rPr>
                <w:rFonts w:ascii="Times New Roman" w:eastAsia="宋体" w:hint="eastAsia"/>
                <w:sz w:val="16"/>
                <w:lang w:eastAsia="zh-CN"/>
              </w:rPr>
              <w:t>，</w:t>
            </w:r>
            <w:r>
              <w:rPr>
                <w:rFonts w:ascii="Times New Roman" w:eastAsia="宋体" w:hint="eastAsia"/>
                <w:sz w:val="16"/>
                <w:lang w:eastAsia="zh-CN"/>
              </w:rPr>
              <w:t>Section1</w:t>
            </w:r>
          </w:p>
          <w:p w14:paraId="086CB767" w14:textId="5EC7F22E" w:rsidR="003148AC" w:rsidRDefault="003148AC">
            <w:pPr>
              <w:pStyle w:val="TableParagraph"/>
              <w:spacing w:before="0"/>
              <w:jc w:val="center"/>
              <w:rPr>
                <w:rFonts w:ascii="Times New Roman"/>
                <w:sz w:val="16"/>
              </w:rPr>
            </w:pPr>
            <w:r>
              <w:rPr>
                <w:rFonts w:ascii="Times New Roman" w:eastAsia="宋体"/>
                <w:sz w:val="16"/>
                <w:lang w:eastAsia="zh-CN"/>
              </w:rPr>
              <w:t xml:space="preserve"> </w:t>
            </w:r>
            <w:r w:rsidRPr="003148AC">
              <w:rPr>
                <w:rFonts w:ascii="Times New Roman" w:eastAsia="宋体"/>
                <w:sz w:val="16"/>
                <w:lang w:eastAsia="zh-CN"/>
              </w:rPr>
              <w:t>Ethics approval and consent to participation</w:t>
            </w:r>
          </w:p>
        </w:tc>
      </w:tr>
      <w:tr w:rsidR="00BA7210" w14:paraId="271808B9" w14:textId="77777777">
        <w:trPr>
          <w:trHeight w:val="575"/>
        </w:trPr>
        <w:tc>
          <w:tcPr>
            <w:tcW w:w="1615" w:type="dxa"/>
            <w:tcBorders>
              <w:left w:val="nil"/>
              <w:right w:val="nil"/>
            </w:tcBorders>
            <w:shd w:val="clear" w:color="auto" w:fill="DBE9F5"/>
          </w:tcPr>
          <w:p w14:paraId="08AB45BB" w14:textId="77777777" w:rsidR="00BA7210" w:rsidRDefault="00000000">
            <w:pPr>
              <w:pStyle w:val="TableParagraph"/>
              <w:spacing w:before="72" w:line="242" w:lineRule="auto"/>
              <w:ind w:left="113" w:right="445"/>
              <w:rPr>
                <w:rFonts w:ascii="Gill Sans MT"/>
                <w:b/>
                <w:sz w:val="17"/>
              </w:rPr>
            </w:pPr>
            <w:r>
              <w:rPr>
                <w:rFonts w:ascii="Gill Sans MT"/>
                <w:b/>
                <w:color w:val="434142"/>
                <w:w w:val="105"/>
                <w:sz w:val="17"/>
              </w:rPr>
              <w:t>Housing and husbandry</w:t>
            </w:r>
          </w:p>
        </w:tc>
        <w:tc>
          <w:tcPr>
            <w:tcW w:w="468" w:type="dxa"/>
            <w:tcBorders>
              <w:left w:val="nil"/>
              <w:right w:val="nil"/>
            </w:tcBorders>
            <w:shd w:val="clear" w:color="auto" w:fill="DBE9F5"/>
          </w:tcPr>
          <w:p w14:paraId="2D9EDC8B" w14:textId="77777777" w:rsidR="00BA7210" w:rsidRDefault="00000000">
            <w:pPr>
              <w:pStyle w:val="TableParagraph"/>
              <w:ind w:right="115"/>
              <w:jc w:val="right"/>
              <w:rPr>
                <w:sz w:val="17"/>
              </w:rPr>
            </w:pPr>
            <w:r>
              <w:rPr>
                <w:color w:val="434142"/>
                <w:w w:val="105"/>
                <w:sz w:val="17"/>
              </w:rPr>
              <w:t>15</w:t>
            </w:r>
          </w:p>
        </w:tc>
        <w:tc>
          <w:tcPr>
            <w:tcW w:w="6646" w:type="dxa"/>
            <w:tcBorders>
              <w:left w:val="nil"/>
            </w:tcBorders>
            <w:shd w:val="clear" w:color="auto" w:fill="DBE9F5"/>
          </w:tcPr>
          <w:p w14:paraId="427F9085" w14:textId="389624CF" w:rsidR="00BA7210" w:rsidRDefault="00134A2E">
            <w:pPr>
              <w:pStyle w:val="TableParagraph"/>
              <w:spacing w:line="244" w:lineRule="auto"/>
              <w:ind w:left="117"/>
              <w:rPr>
                <w:sz w:val="17"/>
              </w:rPr>
            </w:pPr>
            <w:r w:rsidRPr="00134A2E">
              <w:rPr>
                <w:color w:val="434142"/>
                <w:w w:val="105"/>
                <w:sz w:val="17"/>
              </w:rPr>
              <w:t>The rats were fed in the Experimental Animal Center of Air Force Medical University. They were placed in an animal chamber with room temperature 25°C ± 2°C, air humidity 50%-70%, and light/dark cycle for 12 h, and were given free access to food and water.</w:t>
            </w:r>
          </w:p>
        </w:tc>
        <w:tc>
          <w:tcPr>
            <w:tcW w:w="1737" w:type="dxa"/>
            <w:tcBorders>
              <w:right w:val="nil"/>
            </w:tcBorders>
            <w:vAlign w:val="center"/>
          </w:tcPr>
          <w:p w14:paraId="32D817DB" w14:textId="77777777" w:rsidR="00BA7210" w:rsidRDefault="00000000">
            <w:pPr>
              <w:pStyle w:val="TableParagraph"/>
              <w:spacing w:before="0"/>
              <w:jc w:val="center"/>
              <w:rPr>
                <w:rFonts w:ascii="Times New Roman"/>
                <w:sz w:val="16"/>
              </w:rPr>
            </w:pPr>
            <w:r>
              <w:rPr>
                <w:rFonts w:ascii="Times New Roman" w:eastAsia="宋体" w:hint="eastAsia"/>
                <w:sz w:val="16"/>
                <w:lang w:eastAsia="zh-CN"/>
              </w:rPr>
              <w:t>Part2</w:t>
            </w:r>
            <w:r>
              <w:rPr>
                <w:rFonts w:ascii="Times New Roman" w:eastAsia="宋体" w:hint="eastAsia"/>
                <w:sz w:val="16"/>
                <w:lang w:eastAsia="zh-CN"/>
              </w:rPr>
              <w:t>，</w:t>
            </w:r>
            <w:r>
              <w:rPr>
                <w:rFonts w:ascii="Times New Roman" w:eastAsia="宋体" w:hint="eastAsia"/>
                <w:sz w:val="16"/>
                <w:lang w:eastAsia="zh-CN"/>
              </w:rPr>
              <w:t>Section1</w:t>
            </w:r>
          </w:p>
        </w:tc>
      </w:tr>
      <w:tr w:rsidR="00BA7210" w14:paraId="18C81E64" w14:textId="77777777">
        <w:trPr>
          <w:trHeight w:val="1714"/>
        </w:trPr>
        <w:tc>
          <w:tcPr>
            <w:tcW w:w="1615" w:type="dxa"/>
            <w:tcBorders>
              <w:left w:val="nil"/>
              <w:right w:val="nil"/>
            </w:tcBorders>
          </w:tcPr>
          <w:p w14:paraId="601364B7" w14:textId="77777777" w:rsidR="00BA7210" w:rsidRDefault="00000000">
            <w:pPr>
              <w:pStyle w:val="TableParagraph"/>
              <w:spacing w:before="72" w:line="242" w:lineRule="auto"/>
              <w:ind w:left="113" w:right="111"/>
              <w:rPr>
                <w:rFonts w:ascii="Gill Sans MT"/>
                <w:b/>
                <w:sz w:val="17"/>
              </w:rPr>
            </w:pPr>
            <w:r>
              <w:rPr>
                <w:rFonts w:ascii="Gill Sans MT"/>
                <w:b/>
                <w:color w:val="434142"/>
                <w:w w:val="105"/>
                <w:sz w:val="17"/>
              </w:rPr>
              <w:t>Animal care and monitoring</w:t>
            </w:r>
          </w:p>
        </w:tc>
        <w:tc>
          <w:tcPr>
            <w:tcW w:w="468" w:type="dxa"/>
            <w:tcBorders>
              <w:left w:val="nil"/>
              <w:right w:val="nil"/>
            </w:tcBorders>
          </w:tcPr>
          <w:p w14:paraId="630BB392" w14:textId="77777777" w:rsidR="00BA7210" w:rsidRDefault="00000000">
            <w:pPr>
              <w:pStyle w:val="TableParagraph"/>
              <w:ind w:right="115"/>
              <w:jc w:val="right"/>
              <w:rPr>
                <w:sz w:val="17"/>
              </w:rPr>
            </w:pPr>
            <w:r>
              <w:rPr>
                <w:color w:val="434142"/>
                <w:w w:val="105"/>
                <w:sz w:val="17"/>
              </w:rPr>
              <w:t>16</w:t>
            </w:r>
          </w:p>
        </w:tc>
        <w:tc>
          <w:tcPr>
            <w:tcW w:w="6646" w:type="dxa"/>
            <w:tcBorders>
              <w:left w:val="nil"/>
            </w:tcBorders>
          </w:tcPr>
          <w:p w14:paraId="3702E389" w14:textId="05C78968" w:rsidR="00BA7210" w:rsidRDefault="00F969A9" w:rsidP="00F969A9">
            <w:pPr>
              <w:pStyle w:val="TableParagraph"/>
              <w:tabs>
                <w:tab w:val="left" w:pos="344"/>
              </w:tabs>
              <w:spacing w:before="118" w:line="244" w:lineRule="auto"/>
              <w:ind w:left="343" w:right="204"/>
              <w:rPr>
                <w:sz w:val="17"/>
              </w:rPr>
            </w:pPr>
            <w:r w:rsidRPr="00F969A9">
              <w:rPr>
                <w:color w:val="434142"/>
                <w:w w:val="110"/>
                <w:sz w:val="17"/>
              </w:rPr>
              <w:t>All rats which participated in the control and model groups were mercifully killed (excess CO</w:t>
            </w:r>
            <w:r w:rsidRPr="00F969A9">
              <w:rPr>
                <w:color w:val="434142"/>
                <w:w w:val="110"/>
                <w:sz w:val="17"/>
                <w:vertAlign w:val="subscript"/>
              </w:rPr>
              <w:t>2</w:t>
            </w:r>
            <w:r w:rsidRPr="00F969A9">
              <w:rPr>
                <w:color w:val="434142"/>
                <w:w w:val="110"/>
                <w:sz w:val="17"/>
              </w:rPr>
              <w:t xml:space="preserve">) whereas </w:t>
            </w:r>
            <w:proofErr w:type="spellStart"/>
            <w:r w:rsidRPr="00F969A9">
              <w:rPr>
                <w:color w:val="434142"/>
                <w:w w:val="110"/>
                <w:sz w:val="17"/>
              </w:rPr>
              <w:t>unparticipated</w:t>
            </w:r>
            <w:proofErr w:type="spellEnd"/>
            <w:r w:rsidRPr="00F969A9">
              <w:rPr>
                <w:color w:val="434142"/>
                <w:w w:val="110"/>
                <w:sz w:val="17"/>
              </w:rPr>
              <w:t xml:space="preserve"> mice were fed for other experiments.</w:t>
            </w:r>
          </w:p>
        </w:tc>
        <w:tc>
          <w:tcPr>
            <w:tcW w:w="1737" w:type="dxa"/>
            <w:tcBorders>
              <w:right w:val="nil"/>
            </w:tcBorders>
            <w:vAlign w:val="center"/>
          </w:tcPr>
          <w:p w14:paraId="04DFCD00" w14:textId="77777777" w:rsidR="00BA7210" w:rsidRDefault="00000000">
            <w:pPr>
              <w:pStyle w:val="TableParagraph"/>
              <w:spacing w:before="0"/>
              <w:jc w:val="center"/>
              <w:rPr>
                <w:rFonts w:ascii="Times New Roman"/>
                <w:sz w:val="16"/>
              </w:rPr>
            </w:pPr>
            <w:r>
              <w:rPr>
                <w:rFonts w:ascii="Times New Roman" w:eastAsia="宋体" w:hint="eastAsia"/>
                <w:sz w:val="16"/>
                <w:lang w:eastAsia="zh-CN"/>
              </w:rPr>
              <w:t>Part2</w:t>
            </w:r>
            <w:r>
              <w:rPr>
                <w:rFonts w:ascii="Times New Roman" w:eastAsia="宋体" w:hint="eastAsia"/>
                <w:sz w:val="16"/>
                <w:lang w:eastAsia="zh-CN"/>
              </w:rPr>
              <w:t>，</w:t>
            </w:r>
            <w:r>
              <w:rPr>
                <w:rFonts w:ascii="Times New Roman" w:eastAsia="宋体" w:hint="eastAsia"/>
                <w:sz w:val="16"/>
                <w:lang w:eastAsia="zh-CN"/>
              </w:rPr>
              <w:t>Section1</w:t>
            </w:r>
          </w:p>
        </w:tc>
      </w:tr>
      <w:tr w:rsidR="00BA7210" w14:paraId="4F927BDF" w14:textId="77777777">
        <w:trPr>
          <w:trHeight w:val="1144"/>
        </w:trPr>
        <w:tc>
          <w:tcPr>
            <w:tcW w:w="1615" w:type="dxa"/>
            <w:tcBorders>
              <w:left w:val="nil"/>
              <w:right w:val="nil"/>
            </w:tcBorders>
            <w:shd w:val="clear" w:color="auto" w:fill="DBE9F5"/>
          </w:tcPr>
          <w:p w14:paraId="5042AE4E" w14:textId="77777777" w:rsidR="00BA7210" w:rsidRDefault="00000000">
            <w:pPr>
              <w:pStyle w:val="TableParagraph"/>
              <w:spacing w:before="72" w:line="242" w:lineRule="auto"/>
              <w:ind w:left="113"/>
              <w:rPr>
                <w:rFonts w:ascii="Gill Sans MT"/>
                <w:b/>
                <w:sz w:val="17"/>
              </w:rPr>
            </w:pPr>
            <w:r>
              <w:rPr>
                <w:rFonts w:ascii="Gill Sans MT"/>
                <w:b/>
                <w:color w:val="434142"/>
                <w:sz w:val="17"/>
              </w:rPr>
              <w:t xml:space="preserve">Interpretation/ </w:t>
            </w:r>
            <w:r>
              <w:rPr>
                <w:rFonts w:ascii="Cambria"/>
                <w:b/>
                <w:color w:val="434142"/>
                <w:w w:val="105"/>
                <w:sz w:val="17"/>
              </w:rPr>
              <w:t xml:space="preserve">scientific </w:t>
            </w:r>
            <w:r>
              <w:rPr>
                <w:rFonts w:ascii="Gill Sans MT"/>
                <w:b/>
                <w:color w:val="434142"/>
                <w:w w:val="105"/>
                <w:sz w:val="17"/>
              </w:rPr>
              <w:t>implications</w:t>
            </w:r>
          </w:p>
        </w:tc>
        <w:tc>
          <w:tcPr>
            <w:tcW w:w="468" w:type="dxa"/>
            <w:tcBorders>
              <w:left w:val="nil"/>
              <w:right w:val="nil"/>
            </w:tcBorders>
            <w:shd w:val="clear" w:color="auto" w:fill="DBE9F5"/>
          </w:tcPr>
          <w:p w14:paraId="2925C738" w14:textId="77777777" w:rsidR="00BA7210" w:rsidRDefault="00000000">
            <w:pPr>
              <w:pStyle w:val="TableParagraph"/>
              <w:ind w:right="115"/>
              <w:jc w:val="right"/>
              <w:rPr>
                <w:sz w:val="17"/>
              </w:rPr>
            </w:pPr>
            <w:r>
              <w:rPr>
                <w:color w:val="434142"/>
                <w:w w:val="105"/>
                <w:sz w:val="17"/>
              </w:rPr>
              <w:t>17</w:t>
            </w:r>
          </w:p>
        </w:tc>
        <w:tc>
          <w:tcPr>
            <w:tcW w:w="6646" w:type="dxa"/>
            <w:tcBorders>
              <w:left w:val="nil"/>
            </w:tcBorders>
            <w:shd w:val="clear" w:color="auto" w:fill="DBE9F5"/>
          </w:tcPr>
          <w:p w14:paraId="17DD9BA8"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 xml:space="preserve">3.1 Changes in body weight, running/swimming exhaustion time of the rats </w:t>
            </w:r>
          </w:p>
          <w:p w14:paraId="2BA939B3"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The body weight of the rats in model group was decreased (294 ± 10.04 g) compared with that in control group (321.8±22.42 g) on the last day of the eighth week (Figure 2a, Table 1). The running exhaustion time of the rats in model group was shortened (224±35.07s) compared with that in control group (367±35.28s) (Figure 2b) while the swimming exhaustion time of the rats in model group was greatly shortened (148.8±19.38 s) compared with that in control group (317.8±36.17 s) (Figure 2c).</w:t>
            </w:r>
          </w:p>
          <w:p w14:paraId="16174E50"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3.2 Changes in cardiac functions of the rats</w:t>
            </w:r>
          </w:p>
          <w:p w14:paraId="17241514"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 xml:space="preserve">Echocardiography detection revealed that LVPWs and LVEF values in model </w:t>
            </w:r>
            <w:proofErr w:type="spellStart"/>
            <w:r w:rsidRPr="003967F1">
              <w:rPr>
                <w:sz w:val="17"/>
              </w:rPr>
              <w:t>groupwere</w:t>
            </w:r>
            <w:proofErr w:type="spellEnd"/>
            <w:r w:rsidRPr="003967F1">
              <w:rPr>
                <w:sz w:val="17"/>
              </w:rPr>
              <w:t xml:space="preserve"> </w:t>
            </w:r>
            <w:proofErr w:type="spellStart"/>
            <w:r w:rsidRPr="003967F1">
              <w:rPr>
                <w:sz w:val="17"/>
              </w:rPr>
              <w:t>greatlydecreased</w:t>
            </w:r>
            <w:proofErr w:type="spellEnd"/>
            <w:r w:rsidRPr="003967F1">
              <w:rPr>
                <w:sz w:val="17"/>
              </w:rPr>
              <w:t xml:space="preserve"> than those in control group while </w:t>
            </w:r>
            <w:proofErr w:type="spellStart"/>
            <w:r w:rsidRPr="003967F1">
              <w:rPr>
                <w:sz w:val="17"/>
              </w:rPr>
              <w:t>IVSd</w:t>
            </w:r>
            <w:proofErr w:type="spellEnd"/>
            <w:r w:rsidRPr="003967F1">
              <w:rPr>
                <w:sz w:val="17"/>
              </w:rPr>
              <w:t xml:space="preserve">, </w:t>
            </w:r>
            <w:proofErr w:type="spellStart"/>
            <w:r w:rsidRPr="003967F1">
              <w:rPr>
                <w:sz w:val="17"/>
              </w:rPr>
              <w:t>LVIDd</w:t>
            </w:r>
            <w:proofErr w:type="spellEnd"/>
            <w:r w:rsidRPr="003967F1">
              <w:rPr>
                <w:sz w:val="17"/>
              </w:rPr>
              <w:t xml:space="preserve">, LVIDs, and </w:t>
            </w:r>
            <w:proofErr w:type="spellStart"/>
            <w:r w:rsidRPr="003967F1">
              <w:rPr>
                <w:sz w:val="17"/>
              </w:rPr>
              <w:t>LVPWd</w:t>
            </w:r>
            <w:proofErr w:type="spellEnd"/>
            <w:r w:rsidRPr="003967F1">
              <w:rPr>
                <w:sz w:val="17"/>
              </w:rPr>
              <w:t xml:space="preserve"> values in model group were higher than those in control group with only IVSs no obvious value change, which indicated concentric remodeling of LV (Figure 2d, Table 2). </w:t>
            </w:r>
          </w:p>
          <w:p w14:paraId="5E4954B7"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3.3 Changes in biochemical indexes of the rats</w:t>
            </w:r>
          </w:p>
          <w:p w14:paraId="3E43D004"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ELISA detection showed a remarkable difference in the contents of BNP and NT-proBNP in the rats of two groups. Compared with those in control group (57.3855±4.0792, 115.5455±9.9917), BNP and NT-proBNP of the rats in model group (110.7114±5.1450, 368.8182±32.0747) were significantly increased (Table 3).</w:t>
            </w:r>
          </w:p>
          <w:p w14:paraId="4A8FF3A2"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3.4 Pathological changes in heart tissues of the rats</w:t>
            </w:r>
          </w:p>
          <w:p w14:paraId="0F8260F3"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 xml:space="preserve">Figure 2f shows HE staining results of heart tissues of the rats in two groups. The myocardial cells in control group were orderly arranged with basically the same nuclear size, no swelling and atrophy, with good continuity and relatively parallel distribution. The vascular wall structure was complete, </w:t>
            </w:r>
            <w:proofErr w:type="gramStart"/>
            <w:r w:rsidRPr="003967F1">
              <w:rPr>
                <w:sz w:val="17"/>
              </w:rPr>
              <w:t>thin</w:t>
            </w:r>
            <w:proofErr w:type="gramEnd"/>
            <w:r w:rsidRPr="003967F1">
              <w:rPr>
                <w:sz w:val="17"/>
              </w:rPr>
              <w:t xml:space="preserve"> and thick, and the vascular intima was regularly arranged, with normal vascular ring shape. In contrast, there were disordered myocardial cells with inconsistent nuclear size, tangled and thickened vascular wall structure, broken and dissolved myocardial fibers, severe vascular lesions, and thickened vascular basement membrane in model group.</w:t>
            </w:r>
          </w:p>
          <w:p w14:paraId="17CE0E9D"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Figure 2g shows Masson staining observation of heart tissues of the rats in two groups. Myocardial cells in control group were neatly arranged and there were a few blue collagen fibers in the interstitium of cells and around blood vessels. However, a lot of collagen fibers were distributed in the myocardial interstitium and many interwoven collagen fibers were observed around blood vessels in model group. The accumulation of collagen fibers was greatly increased and the degree of fibrosis was significantly aggravated.</w:t>
            </w:r>
          </w:p>
          <w:p w14:paraId="571369B0"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3.5 Identification of DEPs in rats</w:t>
            </w:r>
          </w:p>
          <w:p w14:paraId="1ECA57CF"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 xml:space="preserve">563 DEPs of the rats in two groups were analyzed according to Log2|Fold </w:t>
            </w:r>
            <w:r w:rsidRPr="003967F1">
              <w:rPr>
                <w:sz w:val="17"/>
              </w:rPr>
              <w:lastRenderedPageBreak/>
              <w:t xml:space="preserve">Change|&gt;1.2 standard (P&lt;0.05) through LC-MS/MS analysis (Figure 3a). Among them 243 proteins including </w:t>
            </w:r>
            <w:proofErr w:type="spellStart"/>
            <w:r w:rsidRPr="003967F1">
              <w:rPr>
                <w:sz w:val="17"/>
              </w:rPr>
              <w:t>Podn</w:t>
            </w:r>
            <w:proofErr w:type="spellEnd"/>
            <w:r w:rsidRPr="003967F1">
              <w:rPr>
                <w:sz w:val="17"/>
              </w:rPr>
              <w:t xml:space="preserve">, LOC498155, Sh3kbp1, Anxa7, Gfpt2 and </w:t>
            </w:r>
            <w:proofErr w:type="spellStart"/>
            <w:r w:rsidRPr="003967F1">
              <w:rPr>
                <w:sz w:val="17"/>
              </w:rPr>
              <w:t>Bsg</w:t>
            </w:r>
            <w:proofErr w:type="spellEnd"/>
            <w:r w:rsidRPr="003967F1">
              <w:rPr>
                <w:sz w:val="17"/>
              </w:rPr>
              <w:t xml:space="preserve"> were significantly up-regulated while 320 proteins such as Eng, </w:t>
            </w:r>
            <w:proofErr w:type="spellStart"/>
            <w:r w:rsidRPr="003967F1">
              <w:rPr>
                <w:sz w:val="17"/>
              </w:rPr>
              <w:t>Clu</w:t>
            </w:r>
            <w:proofErr w:type="spellEnd"/>
            <w:r w:rsidRPr="003967F1">
              <w:rPr>
                <w:sz w:val="17"/>
              </w:rPr>
              <w:t>, App, Bpgm5, LOC103689996 and Mrps18b were down-regulated.</w:t>
            </w:r>
          </w:p>
          <w:p w14:paraId="539775FE"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3.6 KEGG enrichment analysis and GO annotation of DEPs in PPAR signaling pathway in rats</w:t>
            </w:r>
          </w:p>
          <w:p w14:paraId="74966A49"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KEGG enrichment analysis showed that DEPs were most closely associated with PPAR signaling pathway, including its three subtypes: PPARα, PPAR β/δ and PPARγ. In addition, they were related to such signaling pathways as complement and coagulation cascades, biosynthesis of unsaturated fatty acids, primary bile acid biosynthesis, fatty acid degradation, ascorbate and aldarate metabolism, arachidonic acid metabolism, retinol metabolism, insect hormone biosynthesis, and fatty acid metabolism (Figure 3b). GO annotation analysis showed that these DEPs enriched in PPAR signaling pathway were mainly related to biological processes such as fatty acid (FA) beta-oxidation and fatty acid metabolic process (Figure 3c), cellular components such as peroxisome and extracellular space (Figure 3d), and molecular functions such as lipid binding and oleic acid binding (Figure 3e).</w:t>
            </w:r>
          </w:p>
          <w:p w14:paraId="49786AA1" w14:textId="77777777" w:rsidR="003967F1" w:rsidRPr="003967F1" w:rsidRDefault="003967F1" w:rsidP="003967F1">
            <w:pPr>
              <w:pStyle w:val="TableParagraph"/>
              <w:tabs>
                <w:tab w:val="left" w:pos="344"/>
              </w:tabs>
              <w:spacing w:before="118" w:line="244" w:lineRule="auto"/>
              <w:ind w:left="343" w:right="377"/>
              <w:rPr>
                <w:sz w:val="17"/>
              </w:rPr>
            </w:pPr>
            <w:r w:rsidRPr="003967F1">
              <w:rPr>
                <w:sz w:val="17"/>
              </w:rPr>
              <w:t xml:space="preserve">3.7 Validation of PPAR signaling pathway in rats </w:t>
            </w:r>
          </w:p>
          <w:p w14:paraId="68DA63E9" w14:textId="77777777" w:rsidR="00BA7210" w:rsidRDefault="003967F1" w:rsidP="003967F1">
            <w:pPr>
              <w:pStyle w:val="TableParagraph"/>
              <w:tabs>
                <w:tab w:val="left" w:pos="344"/>
              </w:tabs>
              <w:spacing w:before="118" w:line="244" w:lineRule="auto"/>
              <w:ind w:left="343" w:right="377"/>
              <w:rPr>
                <w:sz w:val="17"/>
              </w:rPr>
            </w:pPr>
            <w:r w:rsidRPr="003967F1">
              <w:rPr>
                <w:sz w:val="17"/>
              </w:rPr>
              <w:t>Western blotting analysis revealed that the expressions of PPAR signaling pathway in the rats of model group were downregulated, with PPARα ranked at the top, followed by PPARγ, and PPAR β/δ at the bottom (Figure 4). The results were consistent with the results of KEGG enrichment and GO annotation analysis of DEPs in the rats of two groups.</w:t>
            </w:r>
          </w:p>
          <w:p w14:paraId="5929978A" w14:textId="4E857295" w:rsidR="00AF5D58" w:rsidRDefault="00AF5D58" w:rsidP="003967F1">
            <w:pPr>
              <w:pStyle w:val="TableParagraph"/>
              <w:tabs>
                <w:tab w:val="left" w:pos="344"/>
              </w:tabs>
              <w:spacing w:before="118" w:line="244" w:lineRule="auto"/>
              <w:ind w:left="343" w:right="377"/>
              <w:rPr>
                <w:sz w:val="17"/>
              </w:rPr>
            </w:pPr>
            <w:r>
              <w:rPr>
                <w:sz w:val="17"/>
              </w:rPr>
              <w:t>L</w:t>
            </w:r>
            <w:r w:rsidRPr="00AF5D58">
              <w:rPr>
                <w:sz w:val="17"/>
              </w:rPr>
              <w:t>imitations</w:t>
            </w:r>
            <w:r>
              <w:rPr>
                <w:sz w:val="17"/>
              </w:rPr>
              <w:t xml:space="preserve">: </w:t>
            </w:r>
            <w:r w:rsidRPr="00AF5D58">
              <w:rPr>
                <w:sz w:val="17"/>
              </w:rPr>
              <w:t>Although the rat model of HFpEF is a generally accepted model and has been used as an experimental model of heart failure, it is a question whether the results of the experiments on rats could be translated into the patients suffering from HFpEF. Moreover, only male rats were used in the model of HFpEF, it would provide more evidence to support our findings if both male and female rats had been used in the study.</w:t>
            </w:r>
          </w:p>
        </w:tc>
        <w:tc>
          <w:tcPr>
            <w:tcW w:w="1737" w:type="dxa"/>
            <w:tcBorders>
              <w:right w:val="nil"/>
            </w:tcBorders>
            <w:vAlign w:val="center"/>
          </w:tcPr>
          <w:p w14:paraId="17E29739" w14:textId="77777777" w:rsidR="00BA7210" w:rsidRDefault="00000000">
            <w:pPr>
              <w:pStyle w:val="TableParagraph"/>
              <w:spacing w:before="0"/>
              <w:jc w:val="center"/>
              <w:rPr>
                <w:rFonts w:ascii="Times New Roman" w:eastAsia="宋体"/>
                <w:sz w:val="16"/>
                <w:lang w:eastAsia="zh-CN"/>
              </w:rPr>
            </w:pPr>
            <w:r>
              <w:rPr>
                <w:rFonts w:ascii="Times New Roman" w:eastAsia="宋体" w:hint="eastAsia"/>
                <w:sz w:val="16"/>
                <w:lang w:eastAsia="zh-CN"/>
              </w:rPr>
              <w:lastRenderedPageBreak/>
              <w:t>Part3</w:t>
            </w:r>
            <w:r>
              <w:rPr>
                <w:rFonts w:ascii="Times New Roman" w:eastAsia="宋体" w:hint="eastAsia"/>
                <w:sz w:val="16"/>
                <w:lang w:eastAsia="zh-CN"/>
              </w:rPr>
              <w:t>，</w:t>
            </w:r>
            <w:r>
              <w:rPr>
                <w:rFonts w:ascii="Times New Roman" w:eastAsia="宋体" w:hint="eastAsia"/>
                <w:sz w:val="16"/>
                <w:lang w:eastAsia="zh-CN"/>
              </w:rPr>
              <w:t>Section1-7</w:t>
            </w:r>
          </w:p>
          <w:p w14:paraId="2BA76320" w14:textId="163C6EB0" w:rsidR="00AF5D58" w:rsidRDefault="00AF5D58" w:rsidP="00AF5D58">
            <w:pPr>
              <w:pStyle w:val="TableParagraph"/>
              <w:spacing w:before="0"/>
              <w:ind w:firstLineChars="150" w:firstLine="240"/>
              <w:rPr>
                <w:rFonts w:ascii="Times New Roman"/>
                <w:sz w:val="16"/>
              </w:rPr>
            </w:pPr>
            <w:r>
              <w:rPr>
                <w:rFonts w:ascii="Times New Roman" w:eastAsia="宋体" w:hint="eastAsia"/>
                <w:sz w:val="16"/>
                <w:lang w:eastAsia="zh-CN"/>
              </w:rPr>
              <w:t>P</w:t>
            </w:r>
            <w:r>
              <w:rPr>
                <w:rFonts w:ascii="Times New Roman" w:eastAsia="宋体"/>
                <w:sz w:val="16"/>
                <w:lang w:eastAsia="zh-CN"/>
              </w:rPr>
              <w:t>art4, Section3</w:t>
            </w:r>
          </w:p>
        </w:tc>
      </w:tr>
      <w:tr w:rsidR="00BA7210" w14:paraId="3D1C82DF" w14:textId="77777777">
        <w:trPr>
          <w:trHeight w:val="803"/>
        </w:trPr>
        <w:tc>
          <w:tcPr>
            <w:tcW w:w="1615" w:type="dxa"/>
            <w:tcBorders>
              <w:left w:val="nil"/>
              <w:right w:val="nil"/>
            </w:tcBorders>
          </w:tcPr>
          <w:p w14:paraId="41A6EB29" w14:textId="77777777" w:rsidR="00BA7210" w:rsidRDefault="00000000">
            <w:pPr>
              <w:pStyle w:val="TableParagraph"/>
              <w:spacing w:before="72" w:line="242" w:lineRule="auto"/>
              <w:ind w:left="113" w:right="130"/>
              <w:rPr>
                <w:rFonts w:ascii="Gill Sans MT"/>
                <w:b/>
                <w:sz w:val="17"/>
              </w:rPr>
            </w:pPr>
            <w:proofErr w:type="spellStart"/>
            <w:r>
              <w:rPr>
                <w:rFonts w:ascii="Gill Sans MT"/>
                <w:b/>
                <w:color w:val="434142"/>
                <w:w w:val="105"/>
                <w:sz w:val="17"/>
              </w:rPr>
              <w:t>Generalisability</w:t>
            </w:r>
            <w:proofErr w:type="spellEnd"/>
            <w:r>
              <w:rPr>
                <w:rFonts w:ascii="Gill Sans MT"/>
                <w:b/>
                <w:color w:val="434142"/>
                <w:w w:val="105"/>
                <w:sz w:val="17"/>
              </w:rPr>
              <w:t>/ translation</w:t>
            </w:r>
          </w:p>
        </w:tc>
        <w:tc>
          <w:tcPr>
            <w:tcW w:w="468" w:type="dxa"/>
            <w:tcBorders>
              <w:left w:val="nil"/>
              <w:right w:val="nil"/>
            </w:tcBorders>
          </w:tcPr>
          <w:p w14:paraId="3B9852DF" w14:textId="77777777" w:rsidR="00BA7210" w:rsidRDefault="00000000">
            <w:pPr>
              <w:pStyle w:val="TableParagraph"/>
              <w:ind w:right="115"/>
              <w:jc w:val="right"/>
              <w:rPr>
                <w:sz w:val="17"/>
              </w:rPr>
            </w:pPr>
            <w:r>
              <w:rPr>
                <w:color w:val="434142"/>
                <w:w w:val="105"/>
                <w:sz w:val="17"/>
              </w:rPr>
              <w:t>18</w:t>
            </w:r>
          </w:p>
        </w:tc>
        <w:tc>
          <w:tcPr>
            <w:tcW w:w="6646" w:type="dxa"/>
            <w:tcBorders>
              <w:left w:val="nil"/>
            </w:tcBorders>
          </w:tcPr>
          <w:p w14:paraId="5DAFF9B8" w14:textId="6435C921" w:rsidR="00BA7210" w:rsidRDefault="00C6339E">
            <w:pPr>
              <w:pStyle w:val="TableParagraph"/>
              <w:spacing w:line="244" w:lineRule="auto"/>
              <w:ind w:left="116" w:right="182"/>
              <w:rPr>
                <w:sz w:val="17"/>
              </w:rPr>
            </w:pPr>
            <w:r w:rsidRPr="00C6339E">
              <w:rPr>
                <w:color w:val="434142"/>
                <w:w w:val="105"/>
                <w:sz w:val="17"/>
              </w:rPr>
              <w:t xml:space="preserve">Although the rat model of HFpEF is a generally accepted model and has been used as an experimental model of heart failure, it is a question whether the results of the experiments on rats could be translated into the patients suffering from HFpEF.  </w:t>
            </w:r>
          </w:p>
        </w:tc>
        <w:tc>
          <w:tcPr>
            <w:tcW w:w="1737" w:type="dxa"/>
            <w:tcBorders>
              <w:right w:val="nil"/>
            </w:tcBorders>
            <w:vAlign w:val="center"/>
          </w:tcPr>
          <w:p w14:paraId="430BF756" w14:textId="059E4988" w:rsidR="00BA7210" w:rsidRDefault="00000000">
            <w:pPr>
              <w:pStyle w:val="TableParagraph"/>
              <w:spacing w:before="0"/>
              <w:jc w:val="center"/>
              <w:rPr>
                <w:rFonts w:ascii="Times New Roman"/>
                <w:sz w:val="16"/>
              </w:rPr>
            </w:pPr>
            <w:r>
              <w:rPr>
                <w:rFonts w:ascii="Times New Roman" w:eastAsia="宋体" w:hint="eastAsia"/>
                <w:sz w:val="16"/>
                <w:lang w:eastAsia="zh-CN"/>
              </w:rPr>
              <w:t>Part4</w:t>
            </w:r>
            <w:r w:rsidR="00C6339E">
              <w:rPr>
                <w:rFonts w:ascii="Times New Roman" w:eastAsia="宋体"/>
                <w:sz w:val="16"/>
                <w:lang w:eastAsia="zh-CN"/>
              </w:rPr>
              <w:t>, Section3</w:t>
            </w:r>
          </w:p>
        </w:tc>
      </w:tr>
      <w:tr w:rsidR="00BA7210" w14:paraId="05B22EFA" w14:textId="77777777">
        <w:trPr>
          <w:trHeight w:val="803"/>
        </w:trPr>
        <w:tc>
          <w:tcPr>
            <w:tcW w:w="1615" w:type="dxa"/>
            <w:tcBorders>
              <w:left w:val="nil"/>
              <w:right w:val="nil"/>
            </w:tcBorders>
            <w:shd w:val="clear" w:color="auto" w:fill="DBE9F5"/>
          </w:tcPr>
          <w:p w14:paraId="09D57CAE" w14:textId="77777777" w:rsidR="00BA7210" w:rsidRDefault="00000000">
            <w:pPr>
              <w:pStyle w:val="TableParagraph"/>
              <w:spacing w:before="72" w:line="242" w:lineRule="auto"/>
              <w:ind w:left="113"/>
              <w:rPr>
                <w:rFonts w:ascii="Gill Sans MT"/>
                <w:b/>
                <w:sz w:val="17"/>
              </w:rPr>
            </w:pPr>
            <w:r>
              <w:rPr>
                <w:rFonts w:ascii="Gill Sans MT"/>
                <w:b/>
                <w:color w:val="434142"/>
                <w:w w:val="105"/>
                <w:sz w:val="17"/>
              </w:rPr>
              <w:t>Protocol registration</w:t>
            </w:r>
          </w:p>
        </w:tc>
        <w:tc>
          <w:tcPr>
            <w:tcW w:w="468" w:type="dxa"/>
            <w:tcBorders>
              <w:left w:val="nil"/>
              <w:right w:val="nil"/>
            </w:tcBorders>
            <w:shd w:val="clear" w:color="auto" w:fill="DBE9F5"/>
          </w:tcPr>
          <w:p w14:paraId="5E1CE69E" w14:textId="77777777" w:rsidR="00BA7210" w:rsidRDefault="00000000">
            <w:pPr>
              <w:pStyle w:val="TableParagraph"/>
              <w:ind w:right="115"/>
              <w:jc w:val="right"/>
              <w:rPr>
                <w:sz w:val="17"/>
              </w:rPr>
            </w:pPr>
            <w:r>
              <w:rPr>
                <w:color w:val="434142"/>
                <w:w w:val="105"/>
                <w:sz w:val="17"/>
              </w:rPr>
              <w:t>19</w:t>
            </w:r>
          </w:p>
        </w:tc>
        <w:tc>
          <w:tcPr>
            <w:tcW w:w="6646" w:type="dxa"/>
            <w:tcBorders>
              <w:left w:val="nil"/>
            </w:tcBorders>
            <w:shd w:val="clear" w:color="auto" w:fill="DBE9F5"/>
          </w:tcPr>
          <w:p w14:paraId="15C81936" w14:textId="26391072" w:rsidR="00BA7210" w:rsidRDefault="003148AC">
            <w:pPr>
              <w:pStyle w:val="TableParagraph"/>
              <w:spacing w:line="244" w:lineRule="auto"/>
              <w:ind w:left="116" w:right="266"/>
              <w:rPr>
                <w:sz w:val="17"/>
              </w:rPr>
            </w:pPr>
            <w:r w:rsidRPr="003148AC">
              <w:rPr>
                <w:color w:val="434142"/>
                <w:w w:val="105"/>
                <w:sz w:val="17"/>
              </w:rPr>
              <w:t>Before this study, we prepared an experimental scheme to study the potential pathogenic targets and signaling pathways of HFpEF, which were mainly verified by proteomics and Western blot</w:t>
            </w:r>
            <w:r>
              <w:rPr>
                <w:color w:val="434142"/>
                <w:w w:val="105"/>
                <w:sz w:val="17"/>
              </w:rPr>
              <w:t>.</w:t>
            </w:r>
          </w:p>
        </w:tc>
        <w:tc>
          <w:tcPr>
            <w:tcW w:w="1737" w:type="dxa"/>
            <w:tcBorders>
              <w:right w:val="nil"/>
            </w:tcBorders>
          </w:tcPr>
          <w:p w14:paraId="387BEFFA" w14:textId="4DB95788" w:rsidR="00BA7210" w:rsidRPr="00DA268C" w:rsidRDefault="00DA268C" w:rsidP="00DA268C">
            <w:pPr>
              <w:pStyle w:val="TableParagraph"/>
              <w:spacing w:before="0"/>
              <w:ind w:firstLineChars="400" w:firstLine="640"/>
              <w:rPr>
                <w:rFonts w:ascii="Times New Roman" w:eastAsiaTheme="minorEastAsia"/>
                <w:sz w:val="16"/>
                <w:lang w:eastAsia="zh-CN"/>
              </w:rPr>
            </w:pPr>
            <w:r>
              <w:rPr>
                <w:rFonts w:ascii="Times New Roman" w:eastAsiaTheme="minorEastAsia" w:hint="eastAsia"/>
                <w:sz w:val="16"/>
                <w:lang w:eastAsia="zh-CN"/>
              </w:rPr>
              <w:t>N</w:t>
            </w:r>
            <w:r>
              <w:rPr>
                <w:rFonts w:ascii="Times New Roman" w:eastAsiaTheme="minorEastAsia"/>
                <w:sz w:val="16"/>
                <w:lang w:eastAsia="zh-CN"/>
              </w:rPr>
              <w:t>A</w:t>
            </w:r>
          </w:p>
        </w:tc>
      </w:tr>
      <w:tr w:rsidR="00BA7210" w14:paraId="4FA68B55" w14:textId="77777777">
        <w:trPr>
          <w:trHeight w:val="587"/>
        </w:trPr>
        <w:tc>
          <w:tcPr>
            <w:tcW w:w="1615" w:type="dxa"/>
            <w:tcBorders>
              <w:left w:val="nil"/>
              <w:right w:val="nil"/>
            </w:tcBorders>
          </w:tcPr>
          <w:p w14:paraId="1FC0E88A" w14:textId="77777777" w:rsidR="00BA7210" w:rsidRDefault="00000000">
            <w:pPr>
              <w:pStyle w:val="TableParagraph"/>
              <w:spacing w:before="72"/>
              <w:ind w:left="113"/>
              <w:rPr>
                <w:rFonts w:ascii="Gill Sans MT"/>
                <w:b/>
                <w:sz w:val="17"/>
              </w:rPr>
            </w:pPr>
            <w:r>
              <w:rPr>
                <w:rFonts w:ascii="Gill Sans MT"/>
                <w:b/>
                <w:color w:val="434142"/>
                <w:w w:val="115"/>
                <w:sz w:val="17"/>
              </w:rPr>
              <w:t>Data access</w:t>
            </w:r>
          </w:p>
        </w:tc>
        <w:tc>
          <w:tcPr>
            <w:tcW w:w="468" w:type="dxa"/>
            <w:tcBorders>
              <w:left w:val="nil"/>
              <w:right w:val="nil"/>
            </w:tcBorders>
          </w:tcPr>
          <w:p w14:paraId="46A5C70E" w14:textId="77777777" w:rsidR="00BA7210" w:rsidRDefault="00000000">
            <w:pPr>
              <w:pStyle w:val="TableParagraph"/>
              <w:ind w:right="115"/>
              <w:jc w:val="right"/>
              <w:rPr>
                <w:sz w:val="17"/>
              </w:rPr>
            </w:pPr>
            <w:r>
              <w:rPr>
                <w:color w:val="434142"/>
                <w:w w:val="105"/>
                <w:sz w:val="17"/>
              </w:rPr>
              <w:t>20</w:t>
            </w:r>
          </w:p>
        </w:tc>
        <w:tc>
          <w:tcPr>
            <w:tcW w:w="6646" w:type="dxa"/>
            <w:tcBorders>
              <w:left w:val="nil"/>
            </w:tcBorders>
          </w:tcPr>
          <w:p w14:paraId="60D24484" w14:textId="753F7BD9" w:rsidR="00BA7210" w:rsidRDefault="003148AC">
            <w:pPr>
              <w:pStyle w:val="TableParagraph"/>
              <w:ind w:left="117"/>
              <w:rPr>
                <w:sz w:val="17"/>
              </w:rPr>
            </w:pPr>
            <w:r w:rsidRPr="003148AC">
              <w:rPr>
                <w:color w:val="434142"/>
                <w:w w:val="110"/>
                <w:sz w:val="17"/>
              </w:rPr>
              <w:t>This study has the research data, which is in the author</w:t>
            </w:r>
            <w:r>
              <w:rPr>
                <w:color w:val="434142"/>
                <w:w w:val="110"/>
                <w:sz w:val="17"/>
              </w:rPr>
              <w:t>s.</w:t>
            </w:r>
          </w:p>
        </w:tc>
        <w:tc>
          <w:tcPr>
            <w:tcW w:w="1737" w:type="dxa"/>
            <w:tcBorders>
              <w:right w:val="nil"/>
            </w:tcBorders>
            <w:vAlign w:val="center"/>
          </w:tcPr>
          <w:p w14:paraId="7D9B7363" w14:textId="24606834" w:rsidR="00BA7210" w:rsidRDefault="003148AC" w:rsidP="003148AC">
            <w:pPr>
              <w:pStyle w:val="TableParagraph"/>
              <w:spacing w:before="0"/>
              <w:ind w:firstLineChars="400" w:firstLine="640"/>
              <w:rPr>
                <w:rFonts w:ascii="Times New Roman"/>
                <w:b/>
                <w:bCs/>
                <w:sz w:val="16"/>
              </w:rPr>
            </w:pPr>
            <w:r>
              <w:rPr>
                <w:rFonts w:ascii="Times New Roman" w:eastAsia="宋体" w:hint="eastAsia"/>
                <w:sz w:val="16"/>
                <w:lang w:eastAsia="zh-CN"/>
              </w:rPr>
              <w:t>N</w:t>
            </w:r>
            <w:r>
              <w:rPr>
                <w:rFonts w:ascii="Times New Roman" w:eastAsia="宋体"/>
                <w:sz w:val="16"/>
                <w:lang w:eastAsia="zh-CN"/>
              </w:rPr>
              <w:t>A</w:t>
            </w:r>
          </w:p>
        </w:tc>
      </w:tr>
      <w:tr w:rsidR="00BA7210" w14:paraId="217C5562" w14:textId="77777777">
        <w:trPr>
          <w:trHeight w:val="1148"/>
        </w:trPr>
        <w:tc>
          <w:tcPr>
            <w:tcW w:w="1615" w:type="dxa"/>
            <w:tcBorders>
              <w:left w:val="nil"/>
              <w:right w:val="nil"/>
            </w:tcBorders>
            <w:shd w:val="clear" w:color="auto" w:fill="DBE9F5"/>
          </w:tcPr>
          <w:p w14:paraId="433C2B26" w14:textId="77777777" w:rsidR="00BA7210" w:rsidRDefault="00000000">
            <w:pPr>
              <w:pStyle w:val="TableParagraph"/>
              <w:spacing w:before="72" w:line="242" w:lineRule="auto"/>
              <w:ind w:left="113"/>
              <w:rPr>
                <w:rFonts w:ascii="Gill Sans MT"/>
                <w:b/>
                <w:sz w:val="17"/>
              </w:rPr>
            </w:pPr>
            <w:r>
              <w:rPr>
                <w:rFonts w:ascii="Gill Sans MT"/>
                <w:b/>
                <w:color w:val="434142"/>
                <w:w w:val="105"/>
                <w:sz w:val="17"/>
              </w:rPr>
              <w:t>Declaration of interests</w:t>
            </w:r>
          </w:p>
        </w:tc>
        <w:tc>
          <w:tcPr>
            <w:tcW w:w="468" w:type="dxa"/>
            <w:tcBorders>
              <w:left w:val="nil"/>
              <w:right w:val="nil"/>
            </w:tcBorders>
            <w:shd w:val="clear" w:color="auto" w:fill="DBE9F5"/>
          </w:tcPr>
          <w:p w14:paraId="76502087" w14:textId="77777777" w:rsidR="00BA7210" w:rsidRDefault="00000000">
            <w:pPr>
              <w:pStyle w:val="TableParagraph"/>
              <w:ind w:right="115"/>
              <w:jc w:val="right"/>
              <w:rPr>
                <w:sz w:val="17"/>
              </w:rPr>
            </w:pPr>
            <w:r>
              <w:rPr>
                <w:color w:val="434142"/>
                <w:w w:val="105"/>
                <w:sz w:val="17"/>
              </w:rPr>
              <w:t>21</w:t>
            </w:r>
          </w:p>
        </w:tc>
        <w:tc>
          <w:tcPr>
            <w:tcW w:w="6646" w:type="dxa"/>
            <w:tcBorders>
              <w:left w:val="nil"/>
            </w:tcBorders>
            <w:shd w:val="clear" w:color="auto" w:fill="DBE9F5"/>
          </w:tcPr>
          <w:p w14:paraId="77FDBFCC"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Conflict of interest</w:t>
            </w:r>
          </w:p>
          <w:p w14:paraId="5CB3F84F"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 xml:space="preserve">Author Tian Li is an editor of </w:t>
            </w:r>
            <w:proofErr w:type="spellStart"/>
            <w:r w:rsidRPr="00901286">
              <w:rPr>
                <w:color w:val="434142"/>
                <w:w w:val="105"/>
                <w:sz w:val="17"/>
              </w:rPr>
              <w:t>PeerJ</w:t>
            </w:r>
            <w:proofErr w:type="spellEnd"/>
            <w:r w:rsidRPr="00901286">
              <w:rPr>
                <w:color w:val="434142"/>
                <w:w w:val="105"/>
                <w:sz w:val="17"/>
              </w:rPr>
              <w:t xml:space="preserve"> and a statistical editor of Ann Med and have reviewed the statistical methods. </w:t>
            </w:r>
          </w:p>
          <w:p w14:paraId="7F49CAA2" w14:textId="77777777" w:rsidR="00901286" w:rsidRPr="00901286" w:rsidRDefault="00901286" w:rsidP="00901286">
            <w:pPr>
              <w:pStyle w:val="TableParagraph"/>
              <w:tabs>
                <w:tab w:val="left" w:pos="344"/>
              </w:tabs>
              <w:ind w:left="343"/>
              <w:rPr>
                <w:color w:val="434142"/>
                <w:w w:val="105"/>
                <w:sz w:val="17"/>
              </w:rPr>
            </w:pPr>
          </w:p>
          <w:p w14:paraId="30B9191E"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Fundings</w:t>
            </w:r>
          </w:p>
          <w:p w14:paraId="48056EDC"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This work was supported by the National Natural Science Foundation of China (82274313), the State Administration of Traditional Chinese Medicine of the People’s Republic of China (GZY-KJS-2021-004), Shaanxi Administration of Traditional Chinese Medicine (2020-ZXY-001), Key R&amp;D Program of Shaanxi Province (2023GHZD43).</w:t>
            </w:r>
          </w:p>
          <w:p w14:paraId="137ADB65" w14:textId="77777777" w:rsidR="00901286" w:rsidRPr="00901286" w:rsidRDefault="00901286" w:rsidP="00901286">
            <w:pPr>
              <w:pStyle w:val="TableParagraph"/>
              <w:tabs>
                <w:tab w:val="left" w:pos="344"/>
              </w:tabs>
              <w:ind w:left="343"/>
              <w:rPr>
                <w:color w:val="434142"/>
                <w:w w:val="105"/>
                <w:sz w:val="17"/>
              </w:rPr>
            </w:pPr>
          </w:p>
          <w:p w14:paraId="4D768F9C"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Ethics approval and consent to participation</w:t>
            </w:r>
          </w:p>
          <w:p w14:paraId="58702485"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All the procedures in this study were in accordance with the Helsinki Declaration of 1975, as revised in 2000, and were approved by the ethical review board of Frist affiliated hospital of Fourth Military Medical University (FE15611-07).  Consent to participate is NA.</w:t>
            </w:r>
          </w:p>
          <w:p w14:paraId="6A3D5CD9" w14:textId="77777777" w:rsidR="00901286" w:rsidRPr="00901286" w:rsidRDefault="00901286" w:rsidP="00901286">
            <w:pPr>
              <w:pStyle w:val="TableParagraph"/>
              <w:tabs>
                <w:tab w:val="left" w:pos="344"/>
              </w:tabs>
              <w:rPr>
                <w:color w:val="434142"/>
                <w:w w:val="105"/>
                <w:sz w:val="17"/>
              </w:rPr>
            </w:pPr>
          </w:p>
          <w:p w14:paraId="60BCEE82"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Authors’ contributions</w:t>
            </w:r>
          </w:p>
          <w:p w14:paraId="4B16D781"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Conceptualization: Hang Xu, Yi Ding, Jing Ma;</w:t>
            </w:r>
          </w:p>
          <w:p w14:paraId="46564761"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 xml:space="preserve">Methodology: Hang Xu, </w:t>
            </w:r>
            <w:proofErr w:type="spellStart"/>
            <w:r w:rsidRPr="00901286">
              <w:rPr>
                <w:color w:val="434142"/>
                <w:w w:val="105"/>
                <w:sz w:val="17"/>
              </w:rPr>
              <w:t>Xiaoqian</w:t>
            </w:r>
            <w:proofErr w:type="spellEnd"/>
            <w:r w:rsidRPr="00901286">
              <w:rPr>
                <w:color w:val="434142"/>
                <w:w w:val="105"/>
                <w:sz w:val="17"/>
              </w:rPr>
              <w:t xml:space="preserve"> Zhang, Kai Gao, Tian Li, Yi Ding, Jing Ma;</w:t>
            </w:r>
          </w:p>
          <w:p w14:paraId="76FD3412"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 xml:space="preserve">Software, Hang Xu, </w:t>
            </w:r>
            <w:proofErr w:type="spellStart"/>
            <w:r w:rsidRPr="00901286">
              <w:rPr>
                <w:color w:val="434142"/>
                <w:w w:val="105"/>
                <w:sz w:val="17"/>
              </w:rPr>
              <w:t>Xiaoqian</w:t>
            </w:r>
            <w:proofErr w:type="spellEnd"/>
            <w:r w:rsidRPr="00901286">
              <w:rPr>
                <w:color w:val="434142"/>
                <w:w w:val="105"/>
                <w:sz w:val="17"/>
              </w:rPr>
              <w:t xml:space="preserve"> Zhang, Kai Gao, Tian Li;</w:t>
            </w:r>
          </w:p>
          <w:p w14:paraId="6AC37C97"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 xml:space="preserve">Validation: Hang Xu, </w:t>
            </w:r>
            <w:proofErr w:type="spellStart"/>
            <w:r w:rsidRPr="00901286">
              <w:rPr>
                <w:color w:val="434142"/>
                <w:w w:val="105"/>
                <w:sz w:val="17"/>
              </w:rPr>
              <w:t>Xiaoqian</w:t>
            </w:r>
            <w:proofErr w:type="spellEnd"/>
            <w:r w:rsidRPr="00901286">
              <w:rPr>
                <w:color w:val="434142"/>
                <w:w w:val="105"/>
                <w:sz w:val="17"/>
              </w:rPr>
              <w:t xml:space="preserve"> Zhang, Kai Gao, Tian Li, Yi Ding, Jing </w:t>
            </w:r>
            <w:proofErr w:type="gramStart"/>
            <w:r w:rsidRPr="00901286">
              <w:rPr>
                <w:color w:val="434142"/>
                <w:w w:val="105"/>
                <w:sz w:val="17"/>
              </w:rPr>
              <w:t>Ma;  formal</w:t>
            </w:r>
            <w:proofErr w:type="gramEnd"/>
            <w:r w:rsidRPr="00901286">
              <w:rPr>
                <w:color w:val="434142"/>
                <w:w w:val="105"/>
                <w:sz w:val="17"/>
              </w:rPr>
              <w:t xml:space="preserve"> analysis: Hang Xu, </w:t>
            </w:r>
            <w:proofErr w:type="spellStart"/>
            <w:r w:rsidRPr="00901286">
              <w:rPr>
                <w:color w:val="434142"/>
                <w:w w:val="105"/>
                <w:sz w:val="17"/>
              </w:rPr>
              <w:t>Xiaoqian</w:t>
            </w:r>
            <w:proofErr w:type="spellEnd"/>
            <w:r w:rsidRPr="00901286">
              <w:rPr>
                <w:color w:val="434142"/>
                <w:w w:val="105"/>
                <w:sz w:val="17"/>
              </w:rPr>
              <w:t xml:space="preserve"> Zhang, Kai Gao;</w:t>
            </w:r>
          </w:p>
          <w:p w14:paraId="688F95FA"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 xml:space="preserve">Investigation: Hang Xu, </w:t>
            </w:r>
            <w:proofErr w:type="spellStart"/>
            <w:r w:rsidRPr="00901286">
              <w:rPr>
                <w:color w:val="434142"/>
                <w:w w:val="105"/>
                <w:sz w:val="17"/>
              </w:rPr>
              <w:t>Xiaoqian</w:t>
            </w:r>
            <w:proofErr w:type="spellEnd"/>
            <w:r w:rsidRPr="00901286">
              <w:rPr>
                <w:color w:val="434142"/>
                <w:w w:val="105"/>
                <w:sz w:val="17"/>
              </w:rPr>
              <w:t xml:space="preserve"> Zhang, Kai Gao;</w:t>
            </w:r>
          </w:p>
          <w:p w14:paraId="677991F4"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 xml:space="preserve">Data curation: Hang Xu, </w:t>
            </w:r>
            <w:proofErr w:type="spellStart"/>
            <w:r w:rsidRPr="00901286">
              <w:rPr>
                <w:color w:val="434142"/>
                <w:w w:val="105"/>
                <w:sz w:val="17"/>
              </w:rPr>
              <w:t>Xiaoqian</w:t>
            </w:r>
            <w:proofErr w:type="spellEnd"/>
            <w:r w:rsidRPr="00901286">
              <w:rPr>
                <w:color w:val="434142"/>
                <w:w w:val="105"/>
                <w:sz w:val="17"/>
              </w:rPr>
              <w:t xml:space="preserve"> Zhang, Kai Gao, Tian Li, Yi Ding, Jing Ma;</w:t>
            </w:r>
          </w:p>
          <w:p w14:paraId="3DE11A54"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Writing — original draft preparation: Hang Xu, Kai Gao;</w:t>
            </w:r>
          </w:p>
          <w:p w14:paraId="7FBBD670"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Writing —review and editing: Hang Xu, Tian Li, Yi Ding, Jing Ma;</w:t>
            </w:r>
          </w:p>
          <w:p w14:paraId="641E834B"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t>Supervision: Tian Li, Yi Ding, Jing Ma;</w:t>
            </w:r>
          </w:p>
          <w:p w14:paraId="019FB0C9" w14:textId="77777777" w:rsidR="00901286" w:rsidRPr="00901286" w:rsidRDefault="00901286" w:rsidP="00901286">
            <w:pPr>
              <w:pStyle w:val="TableParagraph"/>
              <w:tabs>
                <w:tab w:val="left" w:pos="344"/>
              </w:tabs>
              <w:ind w:left="343"/>
              <w:rPr>
                <w:color w:val="434142"/>
                <w:w w:val="105"/>
                <w:sz w:val="17"/>
              </w:rPr>
            </w:pPr>
            <w:r w:rsidRPr="00901286">
              <w:rPr>
                <w:color w:val="434142"/>
                <w:w w:val="105"/>
                <w:sz w:val="17"/>
              </w:rPr>
              <w:lastRenderedPageBreak/>
              <w:t>Project administration: Hang Xu, Tian Li, Yi Ding, Jing Ma;</w:t>
            </w:r>
          </w:p>
          <w:p w14:paraId="0787395B" w14:textId="664DCF02" w:rsidR="003148AC" w:rsidRDefault="00901286" w:rsidP="00901286">
            <w:pPr>
              <w:pStyle w:val="TableParagraph"/>
              <w:spacing w:before="4"/>
              <w:ind w:left="343"/>
              <w:rPr>
                <w:sz w:val="17"/>
              </w:rPr>
            </w:pPr>
            <w:r w:rsidRPr="00901286">
              <w:rPr>
                <w:color w:val="434142"/>
                <w:w w:val="105"/>
                <w:sz w:val="17"/>
              </w:rPr>
              <w:t>Funding acquisition: Yi Ding, Jing Ma.</w:t>
            </w:r>
          </w:p>
        </w:tc>
        <w:tc>
          <w:tcPr>
            <w:tcW w:w="1737" w:type="dxa"/>
            <w:tcBorders>
              <w:right w:val="nil"/>
            </w:tcBorders>
            <w:vAlign w:val="center"/>
          </w:tcPr>
          <w:p w14:paraId="69B00DA1" w14:textId="1E2A28E1" w:rsidR="00BA7210" w:rsidRDefault="00901286">
            <w:pPr>
              <w:pStyle w:val="TableParagraph"/>
              <w:spacing w:before="0"/>
              <w:jc w:val="center"/>
              <w:rPr>
                <w:rFonts w:ascii="Times New Roman" w:eastAsia="宋体"/>
                <w:sz w:val="16"/>
                <w:lang w:eastAsia="zh-CN"/>
              </w:rPr>
            </w:pPr>
            <w:r w:rsidRPr="00901286">
              <w:rPr>
                <w:rFonts w:ascii="Times New Roman"/>
                <w:sz w:val="16"/>
              </w:rPr>
              <w:lastRenderedPageBreak/>
              <w:t>Conflict of interest</w:t>
            </w:r>
            <w:r>
              <w:rPr>
                <w:rFonts w:asciiTheme="minorEastAsia" w:eastAsiaTheme="minorEastAsia" w:hAnsiTheme="minorEastAsia" w:hint="eastAsia"/>
                <w:sz w:val="16"/>
                <w:lang w:eastAsia="zh-CN"/>
              </w:rPr>
              <w:t>、</w:t>
            </w:r>
            <w:r>
              <w:rPr>
                <w:rFonts w:ascii="Times New Roman" w:hint="eastAsia"/>
                <w:sz w:val="16"/>
              </w:rPr>
              <w:t>Funding</w:t>
            </w:r>
            <w:r>
              <w:rPr>
                <w:rFonts w:ascii="Times New Roman"/>
                <w:sz w:val="16"/>
              </w:rPr>
              <w:t>s</w:t>
            </w:r>
            <w:r>
              <w:rPr>
                <w:rFonts w:ascii="Times New Roman" w:eastAsia="宋体" w:hint="eastAsia"/>
                <w:sz w:val="16"/>
                <w:lang w:eastAsia="zh-CN"/>
              </w:rPr>
              <w:t>、</w:t>
            </w:r>
          </w:p>
          <w:p w14:paraId="2207D4D3" w14:textId="1D849C87" w:rsidR="00BA7210" w:rsidRDefault="00901286">
            <w:pPr>
              <w:pStyle w:val="TableParagraph"/>
              <w:spacing w:before="0"/>
              <w:jc w:val="center"/>
              <w:rPr>
                <w:rFonts w:ascii="Times New Roman" w:eastAsia="宋体"/>
                <w:sz w:val="16"/>
                <w:lang w:eastAsia="zh-CN"/>
              </w:rPr>
            </w:pPr>
            <w:r w:rsidRPr="00901286">
              <w:rPr>
                <w:rFonts w:ascii="Times New Roman" w:eastAsia="宋体"/>
                <w:sz w:val="16"/>
                <w:lang w:eastAsia="zh-CN"/>
              </w:rPr>
              <w:t>Ethics approval and consent to participation</w:t>
            </w:r>
            <w:r>
              <w:rPr>
                <w:rFonts w:ascii="Times New Roman" w:eastAsia="宋体" w:hint="eastAsia"/>
                <w:sz w:val="16"/>
                <w:lang w:eastAsia="zh-CN"/>
              </w:rPr>
              <w:t>、</w:t>
            </w:r>
            <w:r w:rsidRPr="00901286">
              <w:rPr>
                <w:rFonts w:ascii="Times New Roman" w:eastAsia="宋体"/>
                <w:sz w:val="16"/>
                <w:lang w:eastAsia="zh-CN"/>
              </w:rPr>
              <w:t>Authors</w:t>
            </w:r>
            <w:proofErr w:type="gramStart"/>
            <w:r w:rsidRPr="00901286">
              <w:rPr>
                <w:rFonts w:ascii="Times New Roman" w:eastAsia="宋体"/>
                <w:sz w:val="16"/>
                <w:lang w:eastAsia="zh-CN"/>
              </w:rPr>
              <w:t>’</w:t>
            </w:r>
            <w:proofErr w:type="gramEnd"/>
            <w:r w:rsidRPr="00901286">
              <w:rPr>
                <w:rFonts w:ascii="Times New Roman" w:eastAsia="宋体"/>
                <w:sz w:val="16"/>
                <w:lang w:eastAsia="zh-CN"/>
              </w:rPr>
              <w:t xml:space="preserve"> contributions</w:t>
            </w:r>
          </w:p>
        </w:tc>
      </w:tr>
    </w:tbl>
    <w:p w14:paraId="39E442F4" w14:textId="77777777" w:rsidR="00BA7210" w:rsidRDefault="00BA7210">
      <w:pPr>
        <w:pStyle w:val="a3"/>
        <w:rPr>
          <w:rFonts w:ascii="Century"/>
          <w:sz w:val="20"/>
        </w:rPr>
      </w:pPr>
    </w:p>
    <w:p w14:paraId="04E966E2" w14:textId="77777777" w:rsidR="00BA7210" w:rsidRDefault="00BA7210">
      <w:pPr>
        <w:pStyle w:val="a3"/>
        <w:rPr>
          <w:rFonts w:ascii="Century"/>
          <w:sz w:val="20"/>
        </w:rPr>
      </w:pPr>
    </w:p>
    <w:p w14:paraId="091C9038" w14:textId="77777777" w:rsidR="00BA7210" w:rsidRDefault="00BA7210">
      <w:pPr>
        <w:pStyle w:val="a3"/>
        <w:rPr>
          <w:rFonts w:ascii="Century"/>
          <w:sz w:val="20"/>
        </w:rPr>
      </w:pPr>
    </w:p>
    <w:p w14:paraId="27D57CF3" w14:textId="77777777" w:rsidR="00BA7210" w:rsidRDefault="00BA7210">
      <w:pPr>
        <w:pStyle w:val="a3"/>
        <w:rPr>
          <w:rFonts w:ascii="Century"/>
          <w:sz w:val="20"/>
        </w:rPr>
      </w:pPr>
    </w:p>
    <w:p w14:paraId="4427507E" w14:textId="77777777" w:rsidR="00BA7210" w:rsidRDefault="00BA7210">
      <w:pPr>
        <w:pStyle w:val="a3"/>
        <w:rPr>
          <w:rFonts w:ascii="Century"/>
          <w:sz w:val="20"/>
        </w:rPr>
      </w:pPr>
    </w:p>
    <w:p w14:paraId="3347BFED" w14:textId="77777777" w:rsidR="00BA7210" w:rsidRDefault="00BA7210">
      <w:pPr>
        <w:pStyle w:val="a3"/>
        <w:rPr>
          <w:rFonts w:ascii="Century"/>
          <w:sz w:val="20"/>
        </w:rPr>
      </w:pPr>
    </w:p>
    <w:p w14:paraId="629AABE1" w14:textId="77777777" w:rsidR="00BA7210" w:rsidRDefault="00BA7210">
      <w:pPr>
        <w:pStyle w:val="a3"/>
        <w:rPr>
          <w:rFonts w:ascii="Century"/>
          <w:sz w:val="20"/>
        </w:rPr>
      </w:pPr>
    </w:p>
    <w:p w14:paraId="62C0CD33" w14:textId="77777777" w:rsidR="00BA7210" w:rsidRDefault="00BA7210">
      <w:pPr>
        <w:pStyle w:val="a3"/>
        <w:rPr>
          <w:rFonts w:ascii="Century"/>
          <w:sz w:val="20"/>
        </w:rPr>
      </w:pPr>
    </w:p>
    <w:p w14:paraId="198CFE0A" w14:textId="77777777" w:rsidR="00BA7210" w:rsidRDefault="00BA7210">
      <w:pPr>
        <w:pStyle w:val="a3"/>
        <w:rPr>
          <w:rFonts w:ascii="Century"/>
          <w:sz w:val="20"/>
        </w:rPr>
      </w:pPr>
    </w:p>
    <w:p w14:paraId="50FA774F" w14:textId="77777777" w:rsidR="00BA7210" w:rsidRDefault="00BA7210">
      <w:pPr>
        <w:pStyle w:val="a3"/>
        <w:spacing w:before="8"/>
        <w:rPr>
          <w:rFonts w:ascii="Century"/>
          <w:sz w:val="28"/>
        </w:rPr>
      </w:pPr>
    </w:p>
    <w:p w14:paraId="33BFFBF3" w14:textId="77777777" w:rsidR="00BA7210" w:rsidRDefault="00000000">
      <w:pPr>
        <w:spacing w:before="95"/>
        <w:ind w:right="183"/>
        <w:jc w:val="right"/>
        <w:rPr>
          <w:sz w:val="20"/>
        </w:rPr>
      </w:pPr>
      <w:r>
        <w:rPr>
          <w:noProof/>
        </w:rPr>
        <w:drawing>
          <wp:anchor distT="0" distB="0" distL="0" distR="0" simplePos="0" relativeHeight="251660288" behindDoc="0" locked="0" layoutInCell="1" allowOverlap="1" wp14:anchorId="35F741B4" wp14:editId="69A05E3F">
            <wp:simplePos x="0" y="0"/>
            <wp:positionH relativeFrom="page">
              <wp:posOffset>285750</wp:posOffset>
            </wp:positionH>
            <wp:positionV relativeFrom="paragraph">
              <wp:posOffset>-292735</wp:posOffset>
            </wp:positionV>
            <wp:extent cx="1780540" cy="8547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780799" cy="854496"/>
                    </a:xfrm>
                    <a:prstGeom prst="rect">
                      <a:avLst/>
                    </a:prstGeom>
                  </pic:spPr>
                </pic:pic>
              </a:graphicData>
            </a:graphic>
          </wp:anchor>
        </w:drawing>
      </w:r>
      <w:hyperlink r:id="rId10">
        <w:r>
          <w:rPr>
            <w:color w:val="434142"/>
            <w:w w:val="95"/>
            <w:sz w:val="20"/>
          </w:rPr>
          <w:t>www.ARRIVEguidelines.org</w:t>
        </w:r>
      </w:hyperlink>
    </w:p>
    <w:sectPr w:rsidR="00BA7210">
      <w:pgSz w:w="11910" w:h="16840"/>
      <w:pgMar w:top="700" w:right="62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105C" w14:textId="77777777" w:rsidR="007B6B30" w:rsidRDefault="007B6B30">
      <w:r>
        <w:separator/>
      </w:r>
    </w:p>
  </w:endnote>
  <w:endnote w:type="continuationSeparator" w:id="0">
    <w:p w14:paraId="72556F47" w14:textId="77777777" w:rsidR="007B6B30" w:rsidRDefault="007B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D49D" w14:textId="77777777" w:rsidR="007B6B30" w:rsidRDefault="007B6B30">
      <w:r>
        <w:separator/>
      </w:r>
    </w:p>
  </w:footnote>
  <w:footnote w:type="continuationSeparator" w:id="0">
    <w:p w14:paraId="2A2824F1" w14:textId="77777777" w:rsidR="007B6B30" w:rsidRDefault="007B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lowerLetter"/>
      <w:lvlText w:val="%1."/>
      <w:lvlJc w:val="left"/>
      <w:pPr>
        <w:ind w:left="343"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69" w:hanging="227"/>
      </w:pPr>
      <w:rPr>
        <w:rFonts w:hint="default"/>
        <w:lang w:val="en-US" w:eastAsia="en-US" w:bidi="en-US"/>
      </w:rPr>
    </w:lvl>
    <w:lvl w:ilvl="2">
      <w:numFmt w:val="bullet"/>
      <w:lvlText w:val="•"/>
      <w:lvlJc w:val="left"/>
      <w:pPr>
        <w:ind w:left="1599" w:hanging="227"/>
      </w:pPr>
      <w:rPr>
        <w:rFonts w:hint="default"/>
        <w:lang w:val="en-US" w:eastAsia="en-US" w:bidi="en-US"/>
      </w:rPr>
    </w:lvl>
    <w:lvl w:ilvl="3">
      <w:numFmt w:val="bullet"/>
      <w:lvlText w:val="•"/>
      <w:lvlJc w:val="left"/>
      <w:pPr>
        <w:ind w:left="2229" w:hanging="227"/>
      </w:pPr>
      <w:rPr>
        <w:rFonts w:hint="default"/>
        <w:lang w:val="en-US" w:eastAsia="en-US" w:bidi="en-US"/>
      </w:rPr>
    </w:lvl>
    <w:lvl w:ilvl="4">
      <w:numFmt w:val="bullet"/>
      <w:lvlText w:val="•"/>
      <w:lvlJc w:val="left"/>
      <w:pPr>
        <w:ind w:left="2859" w:hanging="227"/>
      </w:pPr>
      <w:rPr>
        <w:rFonts w:hint="default"/>
        <w:lang w:val="en-US" w:eastAsia="en-US" w:bidi="en-US"/>
      </w:rPr>
    </w:lvl>
    <w:lvl w:ilvl="5">
      <w:numFmt w:val="bullet"/>
      <w:lvlText w:val="•"/>
      <w:lvlJc w:val="left"/>
      <w:pPr>
        <w:ind w:left="3489" w:hanging="227"/>
      </w:pPr>
      <w:rPr>
        <w:rFonts w:hint="default"/>
        <w:lang w:val="en-US" w:eastAsia="en-US" w:bidi="en-US"/>
      </w:rPr>
    </w:lvl>
    <w:lvl w:ilvl="6">
      <w:numFmt w:val="bullet"/>
      <w:lvlText w:val="•"/>
      <w:lvlJc w:val="left"/>
      <w:pPr>
        <w:ind w:left="4119" w:hanging="227"/>
      </w:pPr>
      <w:rPr>
        <w:rFonts w:hint="default"/>
        <w:lang w:val="en-US" w:eastAsia="en-US" w:bidi="en-US"/>
      </w:rPr>
    </w:lvl>
    <w:lvl w:ilvl="7">
      <w:numFmt w:val="bullet"/>
      <w:lvlText w:val="•"/>
      <w:lvlJc w:val="left"/>
      <w:pPr>
        <w:ind w:left="4748" w:hanging="227"/>
      </w:pPr>
      <w:rPr>
        <w:rFonts w:hint="default"/>
        <w:lang w:val="en-US" w:eastAsia="en-US" w:bidi="en-US"/>
      </w:rPr>
    </w:lvl>
    <w:lvl w:ilvl="8">
      <w:numFmt w:val="bullet"/>
      <w:lvlText w:val="•"/>
      <w:lvlJc w:val="left"/>
      <w:pPr>
        <w:ind w:left="5378" w:hanging="227"/>
      </w:pPr>
      <w:rPr>
        <w:rFonts w:hint="default"/>
        <w:lang w:val="en-US" w:eastAsia="en-US" w:bidi="en-US"/>
      </w:rPr>
    </w:lvl>
  </w:abstractNum>
  <w:abstractNum w:abstractNumId="1" w15:restartNumberingAfterBreak="0">
    <w:nsid w:val="B5E306ED"/>
    <w:multiLevelType w:val="multilevel"/>
    <w:tmpl w:val="B5E306ED"/>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2" w15:restartNumberingAfterBreak="0">
    <w:nsid w:val="BF205925"/>
    <w:multiLevelType w:val="multilevel"/>
    <w:tmpl w:val="BF205925"/>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3" w15:restartNumberingAfterBreak="0">
    <w:nsid w:val="C8879AEF"/>
    <w:multiLevelType w:val="multilevel"/>
    <w:tmpl w:val="C8879AEF"/>
    <w:lvl w:ilvl="0">
      <w:start w:val="1"/>
      <w:numFmt w:val="lowerLetter"/>
      <w:lvlText w:val="%1."/>
      <w:lvlJc w:val="left"/>
      <w:pPr>
        <w:ind w:left="343"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69" w:hanging="227"/>
      </w:pPr>
      <w:rPr>
        <w:rFonts w:hint="default"/>
        <w:lang w:val="en-US" w:eastAsia="en-US" w:bidi="en-US"/>
      </w:rPr>
    </w:lvl>
    <w:lvl w:ilvl="2">
      <w:numFmt w:val="bullet"/>
      <w:lvlText w:val="•"/>
      <w:lvlJc w:val="left"/>
      <w:pPr>
        <w:ind w:left="1599" w:hanging="227"/>
      </w:pPr>
      <w:rPr>
        <w:rFonts w:hint="default"/>
        <w:lang w:val="en-US" w:eastAsia="en-US" w:bidi="en-US"/>
      </w:rPr>
    </w:lvl>
    <w:lvl w:ilvl="3">
      <w:numFmt w:val="bullet"/>
      <w:lvlText w:val="•"/>
      <w:lvlJc w:val="left"/>
      <w:pPr>
        <w:ind w:left="2229" w:hanging="227"/>
      </w:pPr>
      <w:rPr>
        <w:rFonts w:hint="default"/>
        <w:lang w:val="en-US" w:eastAsia="en-US" w:bidi="en-US"/>
      </w:rPr>
    </w:lvl>
    <w:lvl w:ilvl="4">
      <w:numFmt w:val="bullet"/>
      <w:lvlText w:val="•"/>
      <w:lvlJc w:val="left"/>
      <w:pPr>
        <w:ind w:left="2859" w:hanging="227"/>
      </w:pPr>
      <w:rPr>
        <w:rFonts w:hint="default"/>
        <w:lang w:val="en-US" w:eastAsia="en-US" w:bidi="en-US"/>
      </w:rPr>
    </w:lvl>
    <w:lvl w:ilvl="5">
      <w:numFmt w:val="bullet"/>
      <w:lvlText w:val="•"/>
      <w:lvlJc w:val="left"/>
      <w:pPr>
        <w:ind w:left="3489" w:hanging="227"/>
      </w:pPr>
      <w:rPr>
        <w:rFonts w:hint="default"/>
        <w:lang w:val="en-US" w:eastAsia="en-US" w:bidi="en-US"/>
      </w:rPr>
    </w:lvl>
    <w:lvl w:ilvl="6">
      <w:numFmt w:val="bullet"/>
      <w:lvlText w:val="•"/>
      <w:lvlJc w:val="left"/>
      <w:pPr>
        <w:ind w:left="4119" w:hanging="227"/>
      </w:pPr>
      <w:rPr>
        <w:rFonts w:hint="default"/>
        <w:lang w:val="en-US" w:eastAsia="en-US" w:bidi="en-US"/>
      </w:rPr>
    </w:lvl>
    <w:lvl w:ilvl="7">
      <w:numFmt w:val="bullet"/>
      <w:lvlText w:val="•"/>
      <w:lvlJc w:val="left"/>
      <w:pPr>
        <w:ind w:left="4748" w:hanging="227"/>
      </w:pPr>
      <w:rPr>
        <w:rFonts w:hint="default"/>
        <w:lang w:val="en-US" w:eastAsia="en-US" w:bidi="en-US"/>
      </w:rPr>
    </w:lvl>
    <w:lvl w:ilvl="8">
      <w:numFmt w:val="bullet"/>
      <w:lvlText w:val="•"/>
      <w:lvlJc w:val="left"/>
      <w:pPr>
        <w:ind w:left="5378" w:hanging="227"/>
      </w:pPr>
      <w:rPr>
        <w:rFonts w:hint="default"/>
        <w:lang w:val="en-US" w:eastAsia="en-US" w:bidi="en-US"/>
      </w:rPr>
    </w:lvl>
  </w:abstractNum>
  <w:abstractNum w:abstractNumId="4" w15:restartNumberingAfterBreak="0">
    <w:nsid w:val="CF092B84"/>
    <w:multiLevelType w:val="multilevel"/>
    <w:tmpl w:val="CF092B84"/>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5" w15:restartNumberingAfterBreak="0">
    <w:nsid w:val="0053208E"/>
    <w:multiLevelType w:val="multilevel"/>
    <w:tmpl w:val="0053208E"/>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6" w15:restartNumberingAfterBreak="0">
    <w:nsid w:val="0248C179"/>
    <w:multiLevelType w:val="multilevel"/>
    <w:tmpl w:val="0248C179"/>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7" w15:restartNumberingAfterBreak="0">
    <w:nsid w:val="03D62ECE"/>
    <w:multiLevelType w:val="multilevel"/>
    <w:tmpl w:val="03D62ECE"/>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8" w15:restartNumberingAfterBreak="0">
    <w:nsid w:val="25B654F3"/>
    <w:multiLevelType w:val="multilevel"/>
    <w:tmpl w:val="25B654F3"/>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9" w15:restartNumberingAfterBreak="0">
    <w:nsid w:val="2A8F537B"/>
    <w:multiLevelType w:val="multilevel"/>
    <w:tmpl w:val="2A8F537B"/>
    <w:lvl w:ilvl="0">
      <w:start w:val="1"/>
      <w:numFmt w:val="lowerLetter"/>
      <w:lvlText w:val="%1."/>
      <w:lvlJc w:val="left"/>
      <w:pPr>
        <w:ind w:left="343"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69" w:hanging="227"/>
      </w:pPr>
      <w:rPr>
        <w:rFonts w:hint="default"/>
        <w:lang w:val="en-US" w:eastAsia="en-US" w:bidi="en-US"/>
      </w:rPr>
    </w:lvl>
    <w:lvl w:ilvl="2">
      <w:numFmt w:val="bullet"/>
      <w:lvlText w:val="•"/>
      <w:lvlJc w:val="left"/>
      <w:pPr>
        <w:ind w:left="1599" w:hanging="227"/>
      </w:pPr>
      <w:rPr>
        <w:rFonts w:hint="default"/>
        <w:lang w:val="en-US" w:eastAsia="en-US" w:bidi="en-US"/>
      </w:rPr>
    </w:lvl>
    <w:lvl w:ilvl="3">
      <w:numFmt w:val="bullet"/>
      <w:lvlText w:val="•"/>
      <w:lvlJc w:val="left"/>
      <w:pPr>
        <w:ind w:left="2229" w:hanging="227"/>
      </w:pPr>
      <w:rPr>
        <w:rFonts w:hint="default"/>
        <w:lang w:val="en-US" w:eastAsia="en-US" w:bidi="en-US"/>
      </w:rPr>
    </w:lvl>
    <w:lvl w:ilvl="4">
      <w:numFmt w:val="bullet"/>
      <w:lvlText w:val="•"/>
      <w:lvlJc w:val="left"/>
      <w:pPr>
        <w:ind w:left="2859" w:hanging="227"/>
      </w:pPr>
      <w:rPr>
        <w:rFonts w:hint="default"/>
        <w:lang w:val="en-US" w:eastAsia="en-US" w:bidi="en-US"/>
      </w:rPr>
    </w:lvl>
    <w:lvl w:ilvl="5">
      <w:numFmt w:val="bullet"/>
      <w:lvlText w:val="•"/>
      <w:lvlJc w:val="left"/>
      <w:pPr>
        <w:ind w:left="3489" w:hanging="227"/>
      </w:pPr>
      <w:rPr>
        <w:rFonts w:hint="default"/>
        <w:lang w:val="en-US" w:eastAsia="en-US" w:bidi="en-US"/>
      </w:rPr>
    </w:lvl>
    <w:lvl w:ilvl="6">
      <w:numFmt w:val="bullet"/>
      <w:lvlText w:val="•"/>
      <w:lvlJc w:val="left"/>
      <w:pPr>
        <w:ind w:left="4119" w:hanging="227"/>
      </w:pPr>
      <w:rPr>
        <w:rFonts w:hint="default"/>
        <w:lang w:val="en-US" w:eastAsia="en-US" w:bidi="en-US"/>
      </w:rPr>
    </w:lvl>
    <w:lvl w:ilvl="7">
      <w:numFmt w:val="bullet"/>
      <w:lvlText w:val="•"/>
      <w:lvlJc w:val="left"/>
      <w:pPr>
        <w:ind w:left="4748" w:hanging="227"/>
      </w:pPr>
      <w:rPr>
        <w:rFonts w:hint="default"/>
        <w:lang w:val="en-US" w:eastAsia="en-US" w:bidi="en-US"/>
      </w:rPr>
    </w:lvl>
    <w:lvl w:ilvl="8">
      <w:numFmt w:val="bullet"/>
      <w:lvlText w:val="•"/>
      <w:lvlJc w:val="left"/>
      <w:pPr>
        <w:ind w:left="5378" w:hanging="227"/>
      </w:pPr>
      <w:rPr>
        <w:rFonts w:hint="default"/>
        <w:lang w:val="en-US" w:eastAsia="en-US" w:bidi="en-US"/>
      </w:rPr>
    </w:lvl>
  </w:abstractNum>
  <w:abstractNum w:abstractNumId="10" w15:restartNumberingAfterBreak="0">
    <w:nsid w:val="59ADCABA"/>
    <w:multiLevelType w:val="multilevel"/>
    <w:tmpl w:val="59ADCABA"/>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abstractNum w:abstractNumId="11" w15:restartNumberingAfterBreak="0">
    <w:nsid w:val="5A241D34"/>
    <w:multiLevelType w:val="multilevel"/>
    <w:tmpl w:val="5A241D34"/>
    <w:lvl w:ilvl="0">
      <w:start w:val="1"/>
      <w:numFmt w:val="lowerLetter"/>
      <w:lvlText w:val="%1."/>
      <w:lvlJc w:val="left"/>
      <w:pPr>
        <w:ind w:left="343"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69" w:hanging="227"/>
      </w:pPr>
      <w:rPr>
        <w:rFonts w:hint="default"/>
        <w:lang w:val="en-US" w:eastAsia="en-US" w:bidi="en-US"/>
      </w:rPr>
    </w:lvl>
    <w:lvl w:ilvl="2">
      <w:numFmt w:val="bullet"/>
      <w:lvlText w:val="•"/>
      <w:lvlJc w:val="left"/>
      <w:pPr>
        <w:ind w:left="1599" w:hanging="227"/>
      </w:pPr>
      <w:rPr>
        <w:rFonts w:hint="default"/>
        <w:lang w:val="en-US" w:eastAsia="en-US" w:bidi="en-US"/>
      </w:rPr>
    </w:lvl>
    <w:lvl w:ilvl="3">
      <w:numFmt w:val="bullet"/>
      <w:lvlText w:val="•"/>
      <w:lvlJc w:val="left"/>
      <w:pPr>
        <w:ind w:left="2229" w:hanging="227"/>
      </w:pPr>
      <w:rPr>
        <w:rFonts w:hint="default"/>
        <w:lang w:val="en-US" w:eastAsia="en-US" w:bidi="en-US"/>
      </w:rPr>
    </w:lvl>
    <w:lvl w:ilvl="4">
      <w:numFmt w:val="bullet"/>
      <w:lvlText w:val="•"/>
      <w:lvlJc w:val="left"/>
      <w:pPr>
        <w:ind w:left="2859" w:hanging="227"/>
      </w:pPr>
      <w:rPr>
        <w:rFonts w:hint="default"/>
        <w:lang w:val="en-US" w:eastAsia="en-US" w:bidi="en-US"/>
      </w:rPr>
    </w:lvl>
    <w:lvl w:ilvl="5">
      <w:numFmt w:val="bullet"/>
      <w:lvlText w:val="•"/>
      <w:lvlJc w:val="left"/>
      <w:pPr>
        <w:ind w:left="3489" w:hanging="227"/>
      </w:pPr>
      <w:rPr>
        <w:rFonts w:hint="default"/>
        <w:lang w:val="en-US" w:eastAsia="en-US" w:bidi="en-US"/>
      </w:rPr>
    </w:lvl>
    <w:lvl w:ilvl="6">
      <w:numFmt w:val="bullet"/>
      <w:lvlText w:val="•"/>
      <w:lvlJc w:val="left"/>
      <w:pPr>
        <w:ind w:left="4119" w:hanging="227"/>
      </w:pPr>
      <w:rPr>
        <w:rFonts w:hint="default"/>
        <w:lang w:val="en-US" w:eastAsia="en-US" w:bidi="en-US"/>
      </w:rPr>
    </w:lvl>
    <w:lvl w:ilvl="7">
      <w:numFmt w:val="bullet"/>
      <w:lvlText w:val="•"/>
      <w:lvlJc w:val="left"/>
      <w:pPr>
        <w:ind w:left="4748" w:hanging="227"/>
      </w:pPr>
      <w:rPr>
        <w:rFonts w:hint="default"/>
        <w:lang w:val="en-US" w:eastAsia="en-US" w:bidi="en-US"/>
      </w:rPr>
    </w:lvl>
    <w:lvl w:ilvl="8">
      <w:numFmt w:val="bullet"/>
      <w:lvlText w:val="•"/>
      <w:lvlJc w:val="left"/>
      <w:pPr>
        <w:ind w:left="5378" w:hanging="227"/>
      </w:pPr>
      <w:rPr>
        <w:rFonts w:hint="default"/>
        <w:lang w:val="en-US" w:eastAsia="en-US" w:bidi="en-US"/>
      </w:rPr>
    </w:lvl>
  </w:abstractNum>
  <w:abstractNum w:abstractNumId="12" w15:restartNumberingAfterBreak="0">
    <w:nsid w:val="72183CF9"/>
    <w:multiLevelType w:val="multilevel"/>
    <w:tmpl w:val="72183CF9"/>
    <w:lvl w:ilvl="0">
      <w:start w:val="1"/>
      <w:numFmt w:val="lowerLetter"/>
      <w:lvlText w:val="%1."/>
      <w:lvlJc w:val="left"/>
      <w:pPr>
        <w:ind w:left="316" w:hanging="227"/>
        <w:jc w:val="left"/>
      </w:pPr>
      <w:rPr>
        <w:rFonts w:ascii="Arial" w:eastAsia="Arial" w:hAnsi="Arial" w:cs="Arial" w:hint="default"/>
        <w:color w:val="434142"/>
        <w:w w:val="93"/>
        <w:sz w:val="17"/>
        <w:szCs w:val="17"/>
        <w:lang w:val="en-US" w:eastAsia="en-US" w:bidi="en-US"/>
      </w:rPr>
    </w:lvl>
    <w:lvl w:ilvl="1">
      <w:numFmt w:val="bullet"/>
      <w:lvlText w:val="•"/>
      <w:lvlJc w:val="left"/>
      <w:pPr>
        <w:ind w:left="976" w:hanging="227"/>
      </w:pPr>
      <w:rPr>
        <w:rFonts w:hint="default"/>
        <w:lang w:val="en-US" w:eastAsia="en-US" w:bidi="en-US"/>
      </w:rPr>
    </w:lvl>
    <w:lvl w:ilvl="2">
      <w:numFmt w:val="bullet"/>
      <w:lvlText w:val="•"/>
      <w:lvlJc w:val="left"/>
      <w:pPr>
        <w:ind w:left="1633" w:hanging="227"/>
      </w:pPr>
      <w:rPr>
        <w:rFonts w:hint="default"/>
        <w:lang w:val="en-US" w:eastAsia="en-US" w:bidi="en-US"/>
      </w:rPr>
    </w:lvl>
    <w:lvl w:ilvl="3">
      <w:numFmt w:val="bullet"/>
      <w:lvlText w:val="•"/>
      <w:lvlJc w:val="left"/>
      <w:pPr>
        <w:ind w:left="2289" w:hanging="227"/>
      </w:pPr>
      <w:rPr>
        <w:rFonts w:hint="default"/>
        <w:lang w:val="en-US" w:eastAsia="en-US" w:bidi="en-US"/>
      </w:rPr>
    </w:lvl>
    <w:lvl w:ilvl="4">
      <w:numFmt w:val="bullet"/>
      <w:lvlText w:val="•"/>
      <w:lvlJc w:val="left"/>
      <w:pPr>
        <w:ind w:left="2946" w:hanging="227"/>
      </w:pPr>
      <w:rPr>
        <w:rFonts w:hint="default"/>
        <w:lang w:val="en-US" w:eastAsia="en-US" w:bidi="en-US"/>
      </w:rPr>
    </w:lvl>
    <w:lvl w:ilvl="5">
      <w:numFmt w:val="bullet"/>
      <w:lvlText w:val="•"/>
      <w:lvlJc w:val="left"/>
      <w:pPr>
        <w:ind w:left="3603" w:hanging="227"/>
      </w:pPr>
      <w:rPr>
        <w:rFonts w:hint="default"/>
        <w:lang w:val="en-US" w:eastAsia="en-US" w:bidi="en-US"/>
      </w:rPr>
    </w:lvl>
    <w:lvl w:ilvl="6">
      <w:numFmt w:val="bullet"/>
      <w:lvlText w:val="•"/>
      <w:lvlJc w:val="left"/>
      <w:pPr>
        <w:ind w:left="4259" w:hanging="227"/>
      </w:pPr>
      <w:rPr>
        <w:rFonts w:hint="default"/>
        <w:lang w:val="en-US" w:eastAsia="en-US" w:bidi="en-US"/>
      </w:rPr>
    </w:lvl>
    <w:lvl w:ilvl="7">
      <w:numFmt w:val="bullet"/>
      <w:lvlText w:val="•"/>
      <w:lvlJc w:val="left"/>
      <w:pPr>
        <w:ind w:left="4916" w:hanging="227"/>
      </w:pPr>
      <w:rPr>
        <w:rFonts w:hint="default"/>
        <w:lang w:val="en-US" w:eastAsia="en-US" w:bidi="en-US"/>
      </w:rPr>
    </w:lvl>
    <w:lvl w:ilvl="8">
      <w:numFmt w:val="bullet"/>
      <w:lvlText w:val="•"/>
      <w:lvlJc w:val="left"/>
      <w:pPr>
        <w:ind w:left="5573" w:hanging="227"/>
      </w:pPr>
      <w:rPr>
        <w:rFonts w:hint="default"/>
        <w:lang w:val="en-US" w:eastAsia="en-US" w:bidi="en-US"/>
      </w:rPr>
    </w:lvl>
  </w:abstractNum>
  <w:num w:numId="1" w16cid:durableId="44916296">
    <w:abstractNumId w:val="5"/>
  </w:num>
  <w:num w:numId="2" w16cid:durableId="1400707609">
    <w:abstractNumId w:val="4"/>
  </w:num>
  <w:num w:numId="3" w16cid:durableId="801578599">
    <w:abstractNumId w:val="10"/>
  </w:num>
  <w:num w:numId="4" w16cid:durableId="1556352045">
    <w:abstractNumId w:val="2"/>
  </w:num>
  <w:num w:numId="5" w16cid:durableId="1100181649">
    <w:abstractNumId w:val="1"/>
  </w:num>
  <w:num w:numId="6" w16cid:durableId="1113987153">
    <w:abstractNumId w:val="7"/>
  </w:num>
  <w:num w:numId="7" w16cid:durableId="511342019">
    <w:abstractNumId w:val="8"/>
  </w:num>
  <w:num w:numId="8" w16cid:durableId="665137026">
    <w:abstractNumId w:val="12"/>
  </w:num>
  <w:num w:numId="9" w16cid:durableId="1448348207">
    <w:abstractNumId w:val="6"/>
  </w:num>
  <w:num w:numId="10" w16cid:durableId="1021778192">
    <w:abstractNumId w:val="0"/>
  </w:num>
  <w:num w:numId="11" w16cid:durableId="1132599361">
    <w:abstractNumId w:val="9"/>
  </w:num>
  <w:num w:numId="12" w16cid:durableId="1755711633">
    <w:abstractNumId w:val="11"/>
  </w:num>
  <w:num w:numId="13" w16cid:durableId="196673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NDJlYjg0ZDMyMWE3NTlkNjBlNmIzOGJlYzI2ZmZhODIifQ=="/>
  </w:docVars>
  <w:rsids>
    <w:rsidRoot w:val="00BA7210"/>
    <w:rsid w:val="000A44BA"/>
    <w:rsid w:val="000D1C38"/>
    <w:rsid w:val="00134A2E"/>
    <w:rsid w:val="0026288F"/>
    <w:rsid w:val="00303776"/>
    <w:rsid w:val="003148AC"/>
    <w:rsid w:val="003967F1"/>
    <w:rsid w:val="00476293"/>
    <w:rsid w:val="00712E11"/>
    <w:rsid w:val="007B6B30"/>
    <w:rsid w:val="008A60D5"/>
    <w:rsid w:val="00901286"/>
    <w:rsid w:val="00941EFB"/>
    <w:rsid w:val="009A399C"/>
    <w:rsid w:val="009E6CD4"/>
    <w:rsid w:val="00A03732"/>
    <w:rsid w:val="00AD6ED8"/>
    <w:rsid w:val="00AF0F96"/>
    <w:rsid w:val="00AF5D58"/>
    <w:rsid w:val="00BA7210"/>
    <w:rsid w:val="00BD7BF4"/>
    <w:rsid w:val="00C6339E"/>
    <w:rsid w:val="00CB7F77"/>
    <w:rsid w:val="00D64F06"/>
    <w:rsid w:val="00D767CB"/>
    <w:rsid w:val="00D948D9"/>
    <w:rsid w:val="00DA268C"/>
    <w:rsid w:val="00F20130"/>
    <w:rsid w:val="00F26745"/>
    <w:rsid w:val="00F27C63"/>
    <w:rsid w:val="00F3149B"/>
    <w:rsid w:val="00F657DA"/>
    <w:rsid w:val="00F969A9"/>
    <w:rsid w:val="750E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40E4"/>
  <w15:docId w15:val="{45D739A2-5E7E-4C30-A5DC-C4FB3D5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Arial" w:eastAsia="Arial" w:hAnsi="Arial" w:cs="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5"/>
      <w:szCs w:val="15"/>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spacing w:before="70"/>
    </w:pPr>
  </w:style>
  <w:style w:type="paragraph" w:styleId="a5">
    <w:name w:val="header"/>
    <w:basedOn w:val="a"/>
    <w:link w:val="a6"/>
    <w:rsid w:val="00DA26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A268C"/>
    <w:rPr>
      <w:rFonts w:ascii="Arial" w:eastAsia="Arial" w:hAnsi="Arial" w:cs="Arial"/>
      <w:sz w:val="18"/>
      <w:szCs w:val="18"/>
      <w:lang w:eastAsia="en-US" w:bidi="en-US"/>
    </w:rPr>
  </w:style>
  <w:style w:type="paragraph" w:styleId="a7">
    <w:name w:val="footer"/>
    <w:basedOn w:val="a"/>
    <w:link w:val="a8"/>
    <w:rsid w:val="00DA268C"/>
    <w:pPr>
      <w:tabs>
        <w:tab w:val="center" w:pos="4153"/>
        <w:tab w:val="right" w:pos="8306"/>
      </w:tabs>
      <w:snapToGrid w:val="0"/>
    </w:pPr>
    <w:rPr>
      <w:sz w:val="18"/>
      <w:szCs w:val="18"/>
    </w:rPr>
  </w:style>
  <w:style w:type="character" w:customStyle="1" w:styleId="a8">
    <w:name w:val="页脚 字符"/>
    <w:basedOn w:val="a0"/>
    <w:link w:val="a7"/>
    <w:rsid w:val="00DA268C"/>
    <w:rPr>
      <w:rFonts w:ascii="Arial" w:eastAsia="Arial" w:hAnsi="Arial" w:cs="Arial"/>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crobat.adobe.com/uk/en/acrobat/pdf-read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riveguidelines.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3803</Words>
  <Characters>21683</Characters>
  <Application>Microsoft Office Word</Application>
  <DocSecurity>0</DocSecurity>
  <Lines>180</Lines>
  <Paragraphs>50</Paragraphs>
  <ScaleCrop>false</ScaleCrop>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69599</dc:creator>
  <cp:lastModifiedBy>My</cp:lastModifiedBy>
  <cp:revision>23</cp:revision>
  <dcterms:created xsi:type="dcterms:W3CDTF">2023-01-13T00:54:00Z</dcterms:created>
  <dcterms:modified xsi:type="dcterms:W3CDTF">2023-02-11T00:51:00Z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Adobe InDesign 16.0 (Windows)</vt:lpwstr>
  </property>
  <property fmtid="{D5CDD505-2E9C-101B-9397-08002B2CF9AE}" pid="4" name="LastSaved">
    <vt:filetime>2023-01-13T00:00:00Z</vt:filetime>
  </property>
  <property fmtid="{D5CDD505-2E9C-101B-9397-08002B2CF9AE}" pid="5" name="KSOProductBuildVer">
    <vt:lpwstr>2052-11.1.0.13012</vt:lpwstr>
  </property>
  <property fmtid="{D5CDD505-2E9C-101B-9397-08002B2CF9AE}" pid="6" name="ICV">
    <vt:lpwstr>28EE204F7ABE4FB0912D8A6FB548A787</vt:lpwstr>
  </property>
</Properties>
</file>