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宋体" w:cs="Times New Roman"/>
          <w:b/>
          <w:bCs/>
          <w:color w:val="000000"/>
          <w:szCs w:val="21"/>
        </w:rPr>
      </w:pPr>
      <w:r>
        <w:rPr>
          <w:rFonts w:ascii="Times New Roman" w:hAnsi="Times New Roman" w:eastAsia="宋体" w:cs="Times New Roman"/>
          <w:b/>
          <w:bCs/>
          <w:color w:val="000000"/>
          <w:szCs w:val="21"/>
        </w:rPr>
        <w:t xml:space="preserve">Table </w:t>
      </w:r>
      <w:r>
        <w:rPr>
          <w:rFonts w:hint="eastAsia" w:ascii="Times New Roman" w:hAnsi="Times New Roman" w:eastAsia="宋体" w:cs="Times New Roman"/>
          <w:b/>
          <w:bCs/>
          <w:color w:val="000000"/>
          <w:szCs w:val="21"/>
          <w:lang w:val="en-US" w:eastAsia="zh-CN"/>
        </w:rPr>
        <w:t>S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color w:val="000000"/>
          <w:szCs w:val="21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b/>
          <w:bCs/>
          <w:color w:val="000000"/>
          <w:szCs w:val="21"/>
        </w:rPr>
        <w:t xml:space="preserve">: </w:t>
      </w:r>
      <w:r>
        <w:rPr>
          <w:rFonts w:ascii="Times New Roman" w:hAnsi="Times New Roman" w:eastAsia="宋体" w:cs="Times New Roman"/>
          <w:b/>
          <w:bCs/>
          <w:color w:val="000000"/>
          <w:szCs w:val="21"/>
        </w:rPr>
        <w:t>GSEA analysis between high-risk and low-risk groups (inhibited biological function)</w:t>
      </w:r>
      <w:r>
        <w:rPr>
          <w:rFonts w:hint="eastAsia" w:ascii="Times New Roman" w:hAnsi="Times New Roman" w:eastAsia="宋体" w:cs="Times New Roman"/>
          <w:b/>
          <w:bCs/>
          <w:color w:val="000000"/>
          <w:szCs w:val="21"/>
        </w:rPr>
        <w:t>.</w:t>
      </w:r>
    </w:p>
    <w:p>
      <w:pPr>
        <w:pStyle w:val="4"/>
        <w:spacing w:line="360" w:lineRule="auto"/>
        <w:ind w:left="480" w:hanging="480" w:hangingChars="200"/>
        <w:rPr>
          <w:rFonts w:ascii="Times New Roman" w:hAnsi="Times New Roman" w:eastAsia="宋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8253" w:type="dxa"/>
        <w:tblInd w:w="111" w:type="dxa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9"/>
        <w:gridCol w:w="1134"/>
        <w:gridCol w:w="1276"/>
        <w:gridCol w:w="1134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709" w:type="dxa"/>
            <w:tcBorders>
              <w:top w:val="single" w:color="auto" w:sz="12" w:space="0"/>
            </w:tcBorders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</w:rPr>
              <w:t>ID</w:t>
            </w:r>
          </w:p>
        </w:tc>
        <w:tc>
          <w:tcPr>
            <w:tcW w:w="1134" w:type="dxa"/>
            <w:tcBorders>
              <w:top w:val="single" w:color="auto" w:sz="12" w:space="0"/>
            </w:tcBorders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</w:rPr>
              <w:t>ES</w:t>
            </w:r>
          </w:p>
        </w:tc>
        <w:tc>
          <w:tcPr>
            <w:tcW w:w="1276" w:type="dxa"/>
            <w:tcBorders>
              <w:top w:val="single" w:color="auto" w:sz="12" w:space="0"/>
            </w:tcBorders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</w:rPr>
              <w:t>NES</w:t>
            </w:r>
          </w:p>
        </w:tc>
        <w:tc>
          <w:tcPr>
            <w:tcW w:w="1134" w:type="dxa"/>
            <w:tcBorders>
              <w:top w:val="single" w:color="auto" w:sz="12" w:space="0"/>
            </w:tcBorders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</w:rPr>
              <w:t>pvalue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4709" w:type="dxa"/>
            <w:tcBorders>
              <w:top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go_inhibitory_extracellular_ligand_gated_ion_channel_activity</w:t>
            </w:r>
          </w:p>
        </w:tc>
        <w:tc>
          <w:tcPr>
            <w:tcW w:w="1134" w:type="dxa"/>
            <w:tcBorders>
              <w:top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-0.85224</w:t>
            </w:r>
          </w:p>
        </w:tc>
        <w:tc>
          <w:tcPr>
            <w:tcW w:w="1276" w:type="dxa"/>
            <w:tcBorders>
              <w:top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-1.93587</w:t>
            </w:r>
          </w:p>
        </w:tc>
        <w:tc>
          <w:tcPr>
            <w:tcW w:w="1134" w:type="dxa"/>
            <w:tcBorders>
              <w:top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9.71E-05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4709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go_limb_bud_formation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-0.83795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-1.9034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0.000239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709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go_condensed_chromosome_outer_kinetochore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-0.83151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-1.97688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5.58E-05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709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go_spindle_elongation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-0.82814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-1.83236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0.000416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709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go_regulation_of_chloride_transport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-0.80699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-1.78556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0.001196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709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go_mitotic_dna_replication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-0.79769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-1.9836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9.96E-05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709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go_synaptic_vesicle_docking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-0.79619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-1.80854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0.001997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709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go_chromatoid_body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-0.78929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-1.8765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0.000609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709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go_negative_regulation_of_transcription_by_competitive_promoter_binding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-0.78684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-1.74097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0.002793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709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go_galactolipid_metabolic_process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-0.77716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-1.71956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0.003771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709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kegg_cell_cycle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-0.50829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-1.75203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3.25E-05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709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kegg_ecm_receptor_interaction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-0.48663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-1.61201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0.004043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709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kegg_neuroactive_ligand_receptor_interaction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-0.46544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-1.67554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2.41E-06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709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kegg_gap_junction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-0.46196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-1.53597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0.007855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709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kegg_axon_guidance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-0.44686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-1.54182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0.003792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709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kegg_huntingtons_disease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0.379055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1.8326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5.28E-06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709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kegg_steroid_hormone_biosynthesis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0.390165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1.552235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0.009584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709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kegg_alzheimers_disease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0.400588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1.910789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1.57E-06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709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kegg_arachidonic_acid_metabolism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0.402226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1.612863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0.008925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709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kegg_ppar_signaling_pathway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0.449864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1.845516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auto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0.000117</w:t>
            </w:r>
          </w:p>
        </w:tc>
      </w:tr>
    </w:tbl>
    <w:p/>
    <w:sectPr>
      <w:pgSz w:w="12246" w:h="15874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2Yzg2MDBlZjk5YjZjZDlmYTkwZTk4ZDAyODQwNjYifQ=="/>
  </w:docVars>
  <w:rsids>
    <w:rsidRoot w:val="00000000"/>
    <w:rsid w:val="0627497D"/>
    <w:rsid w:val="099B4D14"/>
    <w:rsid w:val="24CE4DF8"/>
    <w:rsid w:val="3A333D86"/>
    <w:rsid w:val="5F16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ndNote Bibliography"/>
    <w:basedOn w:val="1"/>
    <w:qFormat/>
    <w:uiPriority w:val="0"/>
    <w:rPr>
      <w:rFonts w:ascii="等线" w:hAnsi="等线" w:eastAsia="等线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1187</Characters>
  <Lines>0</Lines>
  <Paragraphs>0</Paragraphs>
  <TotalTime>2</TotalTime>
  <ScaleCrop>false</ScaleCrop>
  <LinksUpToDate>false</LinksUpToDate>
  <CharactersWithSpaces>1198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2022-12-23T09:07:00Z</dcterms:created>
  <dc:creator>wrh</dc:creator>
  <cp:lastModifiedBy>HAN</cp:lastModifiedBy>
  <dcterms:modified xsi:type="dcterms:W3CDTF">2023-03-10T00:41:15Z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285524C9DDE14299AEB917D5FAB91153</vt:lpwstr>
  </property>
</Properties>
</file>