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7B212" w14:textId="58F3C3DB" w:rsidR="0025373B" w:rsidRDefault="21B53777" w:rsidP="7EB81481">
      <w:pPr>
        <w:spacing w:line="360" w:lineRule="auto"/>
        <w:rPr>
          <w:rFonts w:ascii="Arial" w:eastAsia="Arial" w:hAnsi="Arial" w:cs="Arial"/>
          <w:b/>
          <w:bCs/>
          <w:sz w:val="28"/>
          <w:szCs w:val="28"/>
        </w:rPr>
      </w:pPr>
      <w:r w:rsidRPr="7EB81481">
        <w:rPr>
          <w:rFonts w:ascii="Arial" w:eastAsia="Arial" w:hAnsi="Arial" w:cs="Arial"/>
          <w:b/>
          <w:bCs/>
          <w:sz w:val="28"/>
          <w:szCs w:val="28"/>
        </w:rPr>
        <w:t>Supplementary File 1</w:t>
      </w:r>
      <w:r w:rsidR="00B130A3">
        <w:br/>
      </w:r>
    </w:p>
    <w:p w14:paraId="3420830F" w14:textId="2D0BA1FC" w:rsidR="21B53777" w:rsidRDefault="21B53777" w:rsidP="21B53777">
      <w:pPr>
        <w:spacing w:line="360" w:lineRule="auto"/>
        <w:rPr>
          <w:rFonts w:ascii="Times New Roman" w:eastAsia="Times New Roman" w:hAnsi="Times New Roman" w:cs="Times New Roman"/>
        </w:rPr>
      </w:pPr>
      <w:r w:rsidRPr="21B53777">
        <w:rPr>
          <w:rFonts w:ascii="Times New Roman" w:eastAsia="Times New Roman" w:hAnsi="Times New Roman" w:cs="Times New Roman"/>
        </w:rPr>
        <w:t>This file includes:</w:t>
      </w:r>
    </w:p>
    <w:p w14:paraId="742A8AC1" w14:textId="7526B9A9" w:rsidR="21B53777" w:rsidRDefault="21B53777" w:rsidP="7EB81481">
      <w:pPr>
        <w:spacing w:line="360" w:lineRule="auto"/>
        <w:rPr>
          <w:rFonts w:ascii="Times New Roman" w:eastAsia="Times New Roman" w:hAnsi="Times New Roman" w:cs="Times New Roman"/>
          <w:b/>
          <w:bCs/>
        </w:rPr>
      </w:pPr>
      <w:r w:rsidRPr="7EB81481">
        <w:rPr>
          <w:rFonts w:ascii="Times New Roman" w:eastAsia="Times New Roman" w:hAnsi="Times New Roman" w:cs="Times New Roman"/>
          <w:b/>
          <w:bCs/>
        </w:rPr>
        <w:t>Table S</w:t>
      </w:r>
      <w:r w:rsidR="5F790320" w:rsidRPr="7EB81481">
        <w:rPr>
          <w:rFonts w:ascii="Times New Roman" w:eastAsia="Times New Roman" w:hAnsi="Times New Roman" w:cs="Times New Roman"/>
          <w:b/>
          <w:bCs/>
        </w:rPr>
        <w:t>1</w:t>
      </w:r>
      <w:r w:rsidRPr="7EB81481">
        <w:rPr>
          <w:rFonts w:ascii="Times New Roman" w:eastAsia="Times New Roman" w:hAnsi="Times New Roman" w:cs="Times New Roman"/>
          <w:b/>
          <w:bCs/>
        </w:rPr>
        <w:t>. Relative Abundance of Bacterial Phyla in Three Focal Bee Species</w:t>
      </w:r>
    </w:p>
    <w:p w14:paraId="1939E1AA" w14:textId="602B049C" w:rsidR="21B53777" w:rsidRDefault="21B53777" w:rsidP="7EB81481">
      <w:pPr>
        <w:spacing w:line="360" w:lineRule="auto"/>
        <w:rPr>
          <w:rFonts w:ascii="Times New Roman" w:eastAsia="Times New Roman" w:hAnsi="Times New Roman" w:cs="Times New Roman"/>
          <w:b/>
          <w:bCs/>
        </w:rPr>
      </w:pPr>
      <w:r w:rsidRPr="7EB81481">
        <w:rPr>
          <w:rFonts w:ascii="Times New Roman" w:eastAsia="Times New Roman" w:hAnsi="Times New Roman" w:cs="Times New Roman"/>
          <w:b/>
          <w:bCs/>
        </w:rPr>
        <w:t>Figure S1. Rarefaction plot displaying number of ASVs with 529 sequence reads per sample</w:t>
      </w:r>
    </w:p>
    <w:p w14:paraId="55751982" w14:textId="22494B52" w:rsidR="7A65EF56" w:rsidRDefault="7A65EF56" w:rsidP="7EB81481">
      <w:pPr>
        <w:spacing w:line="360" w:lineRule="auto"/>
        <w:rPr>
          <w:rFonts w:ascii="Times New Roman" w:eastAsia="Times New Roman" w:hAnsi="Times New Roman" w:cs="Times New Roman"/>
          <w:b/>
          <w:bCs/>
        </w:rPr>
      </w:pPr>
      <w:r w:rsidRPr="7EB81481">
        <w:rPr>
          <w:rFonts w:ascii="Times New Roman" w:eastAsia="Times New Roman" w:hAnsi="Times New Roman" w:cs="Times New Roman"/>
          <w:b/>
          <w:bCs/>
        </w:rPr>
        <w:t xml:space="preserve">Figure S2. </w:t>
      </w:r>
      <w:r w:rsidR="4355134F" w:rsidRPr="7EB81481">
        <w:rPr>
          <w:rFonts w:ascii="Times New Roman" w:eastAsia="Times New Roman" w:hAnsi="Times New Roman" w:cs="Times New Roman"/>
          <w:b/>
          <w:bCs/>
          <w:color w:val="000000" w:themeColor="text1"/>
        </w:rPr>
        <w:t>Relative abundance of bacterial genera in each bee species.</w:t>
      </w:r>
    </w:p>
    <w:p w14:paraId="5FA03FC9" w14:textId="44A2A200" w:rsidR="21B53777" w:rsidRDefault="21B53777" w:rsidP="21B53777">
      <w:pPr>
        <w:spacing w:line="360" w:lineRule="auto"/>
        <w:rPr>
          <w:rFonts w:ascii="Times New Roman" w:eastAsia="Times New Roman" w:hAnsi="Times New Roman" w:cs="Times New Roman"/>
          <w:b/>
          <w:bCs/>
          <w:color w:val="000000" w:themeColor="text1"/>
        </w:rPr>
      </w:pPr>
      <w:r w:rsidRPr="7EB81481">
        <w:rPr>
          <w:rFonts w:ascii="Times New Roman" w:eastAsia="Times New Roman" w:hAnsi="Times New Roman" w:cs="Times New Roman"/>
          <w:b/>
          <w:bCs/>
        </w:rPr>
        <w:t>Figure S</w:t>
      </w:r>
      <w:r w:rsidR="0D9EBF7D" w:rsidRPr="7EB81481">
        <w:rPr>
          <w:rFonts w:ascii="Times New Roman" w:eastAsia="Times New Roman" w:hAnsi="Times New Roman" w:cs="Times New Roman"/>
          <w:b/>
          <w:bCs/>
        </w:rPr>
        <w:t>3</w:t>
      </w:r>
      <w:r w:rsidRPr="7EB81481">
        <w:rPr>
          <w:rFonts w:ascii="Times New Roman" w:eastAsia="Times New Roman" w:hAnsi="Times New Roman" w:cs="Times New Roman"/>
          <w:b/>
          <w:bCs/>
        </w:rPr>
        <w:t xml:space="preserve">. </w:t>
      </w:r>
      <w:r w:rsidR="004442B0" w:rsidRPr="009713DB">
        <w:rPr>
          <w:rFonts w:ascii="Times New Roman" w:eastAsia="Times New Roman" w:hAnsi="Times New Roman" w:cs="Times New Roman"/>
          <w:b/>
          <w:bCs/>
          <w:color w:val="000000" w:themeColor="text1"/>
        </w:rPr>
        <w:t>Heatmap showing the relative abundance (0.1 to 1.0) of bacterial ASVs (rows) in individual bees (columns).</w:t>
      </w:r>
    </w:p>
    <w:p w14:paraId="2E2DB2DE" w14:textId="77777777" w:rsidR="004442B0" w:rsidRDefault="004442B0" w:rsidP="21B53777">
      <w:pPr>
        <w:spacing w:line="360" w:lineRule="auto"/>
      </w:pPr>
    </w:p>
    <w:p w14:paraId="343F8405" w14:textId="2A33BDED" w:rsidR="21B53777" w:rsidRDefault="21B53777" w:rsidP="21B53777">
      <w:pPr>
        <w:spacing w:after="200" w:line="360" w:lineRule="auto"/>
        <w:rPr>
          <w:rFonts w:ascii="Times New Roman" w:eastAsia="Times New Roman" w:hAnsi="Times New Roman" w:cs="Times New Roman"/>
        </w:rPr>
      </w:pPr>
      <w:r w:rsidRPr="21B53777">
        <w:rPr>
          <w:rFonts w:ascii="Times New Roman" w:eastAsia="Times New Roman" w:hAnsi="Times New Roman" w:cs="Times New Roman"/>
          <w:b/>
          <w:bCs/>
        </w:rPr>
        <w:t>Supplementary Table</w:t>
      </w:r>
      <w:r w:rsidR="004442B0">
        <w:rPr>
          <w:rFonts w:ascii="Times New Roman" w:eastAsia="Times New Roman" w:hAnsi="Times New Roman" w:cs="Times New Roman"/>
          <w:b/>
          <w:bCs/>
        </w:rPr>
        <w:t>s</w:t>
      </w:r>
    </w:p>
    <w:p w14:paraId="76F4CBF7" w14:textId="6715BD9F" w:rsidR="21B53777" w:rsidRDefault="21B53777" w:rsidP="7EB81481">
      <w:pPr>
        <w:spacing w:after="160" w:line="360" w:lineRule="auto"/>
        <w:rPr>
          <w:rFonts w:ascii="Times New Roman" w:eastAsia="Times New Roman" w:hAnsi="Times New Roman" w:cs="Times New Roman"/>
          <w:b/>
          <w:bCs/>
        </w:rPr>
      </w:pPr>
      <w:r w:rsidRPr="7EB81481">
        <w:rPr>
          <w:rFonts w:ascii="Times New Roman" w:eastAsia="Times New Roman" w:hAnsi="Times New Roman" w:cs="Times New Roman"/>
          <w:b/>
          <w:bCs/>
        </w:rPr>
        <w:t>Table S</w:t>
      </w:r>
      <w:r w:rsidR="022588B6" w:rsidRPr="7EB81481">
        <w:rPr>
          <w:rFonts w:ascii="Times New Roman" w:eastAsia="Times New Roman" w:hAnsi="Times New Roman" w:cs="Times New Roman"/>
          <w:b/>
          <w:bCs/>
        </w:rPr>
        <w:t>1</w:t>
      </w:r>
      <w:r w:rsidRPr="7EB81481">
        <w:rPr>
          <w:rFonts w:ascii="Times New Roman" w:eastAsia="Times New Roman" w:hAnsi="Times New Roman" w:cs="Times New Roman"/>
          <w:b/>
          <w:bCs/>
        </w:rPr>
        <w:t>. Relative Abundance of Bacterial Phyla in Three Focal Bee Species</w:t>
      </w:r>
    </w:p>
    <w:tbl>
      <w:tblPr>
        <w:tblStyle w:val="PlainTable1"/>
        <w:tblW w:w="0" w:type="auto"/>
        <w:tblLayout w:type="fixed"/>
        <w:tblLook w:val="04A0" w:firstRow="1" w:lastRow="0" w:firstColumn="1" w:lastColumn="0" w:noHBand="0" w:noVBand="1"/>
      </w:tblPr>
      <w:tblGrid>
        <w:gridCol w:w="1980"/>
        <w:gridCol w:w="1620"/>
        <w:gridCol w:w="1710"/>
        <w:gridCol w:w="1965"/>
      </w:tblGrid>
      <w:tr w:rsidR="21B53777" w14:paraId="03BDEE60" w14:textId="77777777" w:rsidTr="21B5377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396A5B7" w14:textId="19B6C739" w:rsidR="21B53777" w:rsidRDefault="21B53777" w:rsidP="21B53777">
            <w:pPr>
              <w:spacing w:line="360" w:lineRule="auto"/>
              <w:jc w:val="center"/>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Phyla</w:t>
            </w:r>
          </w:p>
        </w:tc>
        <w:tc>
          <w:tcPr>
            <w:tcW w:w="1620" w:type="dxa"/>
            <w:vAlign w:val="bottom"/>
          </w:tcPr>
          <w:p w14:paraId="7FD6DC68" w14:textId="542E05A6" w:rsidR="21B53777" w:rsidRDefault="21B53777" w:rsidP="21B53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2"/>
                <w:szCs w:val="22"/>
              </w:rPr>
            </w:pPr>
            <w:r w:rsidRPr="21B53777">
              <w:rPr>
                <w:rFonts w:ascii="Times New Roman" w:eastAsia="Times New Roman" w:hAnsi="Times New Roman" w:cs="Times New Roman"/>
                <w:i/>
                <w:iCs/>
                <w:color w:val="000000" w:themeColor="text1"/>
                <w:sz w:val="22"/>
                <w:szCs w:val="22"/>
              </w:rPr>
              <w:t>A. mellifera</w:t>
            </w:r>
          </w:p>
        </w:tc>
        <w:tc>
          <w:tcPr>
            <w:tcW w:w="1710" w:type="dxa"/>
            <w:vAlign w:val="bottom"/>
          </w:tcPr>
          <w:p w14:paraId="4A080205" w14:textId="072A6507" w:rsidR="21B53777" w:rsidRDefault="21B53777" w:rsidP="21B53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2"/>
                <w:szCs w:val="22"/>
              </w:rPr>
            </w:pPr>
            <w:r w:rsidRPr="21B53777">
              <w:rPr>
                <w:rFonts w:ascii="Times New Roman" w:eastAsia="Times New Roman" w:hAnsi="Times New Roman" w:cs="Times New Roman"/>
                <w:i/>
                <w:iCs/>
                <w:color w:val="000000" w:themeColor="text1"/>
                <w:sz w:val="22"/>
                <w:szCs w:val="22"/>
              </w:rPr>
              <w:t>B. impatiens</w:t>
            </w:r>
          </w:p>
        </w:tc>
        <w:tc>
          <w:tcPr>
            <w:tcW w:w="1965" w:type="dxa"/>
            <w:vAlign w:val="bottom"/>
          </w:tcPr>
          <w:p w14:paraId="2AE8BD46" w14:textId="7D42C2CC" w:rsidR="21B53777" w:rsidRDefault="21B53777" w:rsidP="21B53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2"/>
                <w:szCs w:val="22"/>
              </w:rPr>
            </w:pPr>
            <w:r w:rsidRPr="21B53777">
              <w:rPr>
                <w:rFonts w:ascii="Times New Roman" w:eastAsia="Times New Roman" w:hAnsi="Times New Roman" w:cs="Times New Roman"/>
                <w:i/>
                <w:iCs/>
                <w:color w:val="000000" w:themeColor="text1"/>
                <w:sz w:val="22"/>
                <w:szCs w:val="22"/>
              </w:rPr>
              <w:t>B. griseocollis</w:t>
            </w:r>
          </w:p>
        </w:tc>
      </w:tr>
      <w:tr w:rsidR="21B53777" w14:paraId="417ECE9C" w14:textId="77777777" w:rsidTr="21B53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EE24012" w14:textId="359F836F" w:rsidR="21B53777" w:rsidRDefault="21B53777" w:rsidP="21B53777">
            <w:pPr>
              <w:spacing w:line="360" w:lineRule="auto"/>
              <w:jc w:val="center"/>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Actinobacteria</w:t>
            </w:r>
          </w:p>
        </w:tc>
        <w:tc>
          <w:tcPr>
            <w:tcW w:w="1620" w:type="dxa"/>
            <w:vAlign w:val="bottom"/>
          </w:tcPr>
          <w:p w14:paraId="2F72967D" w14:textId="3576CDE5" w:rsidR="21B53777" w:rsidRDefault="21B53777" w:rsidP="21B537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0.24%</w:t>
            </w:r>
          </w:p>
        </w:tc>
        <w:tc>
          <w:tcPr>
            <w:tcW w:w="1710" w:type="dxa"/>
            <w:vAlign w:val="bottom"/>
          </w:tcPr>
          <w:p w14:paraId="2BD0B4E1" w14:textId="566CF214" w:rsidR="21B53777" w:rsidRDefault="21B53777" w:rsidP="21B537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1.17%</w:t>
            </w:r>
          </w:p>
        </w:tc>
        <w:tc>
          <w:tcPr>
            <w:tcW w:w="1965" w:type="dxa"/>
            <w:vAlign w:val="bottom"/>
          </w:tcPr>
          <w:p w14:paraId="78E008B6" w14:textId="230D2B57" w:rsidR="21B53777" w:rsidRDefault="21B53777" w:rsidP="21B537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1.56%</w:t>
            </w:r>
          </w:p>
        </w:tc>
      </w:tr>
      <w:tr w:rsidR="21B53777" w14:paraId="2CC300C8" w14:textId="77777777" w:rsidTr="21B53777">
        <w:trPr>
          <w:trHeight w:val="27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1D7FE06" w14:textId="25B83674" w:rsidR="21B53777" w:rsidRDefault="21B53777" w:rsidP="21B53777">
            <w:pPr>
              <w:spacing w:line="360" w:lineRule="auto"/>
              <w:jc w:val="center"/>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Bacteroidetes</w:t>
            </w:r>
          </w:p>
        </w:tc>
        <w:tc>
          <w:tcPr>
            <w:tcW w:w="1620" w:type="dxa"/>
            <w:vAlign w:val="bottom"/>
          </w:tcPr>
          <w:p w14:paraId="5896BF1D" w14:textId="2AD77EF2" w:rsidR="21B53777" w:rsidRDefault="21B53777" w:rsidP="21B5377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1.35%</w:t>
            </w:r>
          </w:p>
        </w:tc>
        <w:tc>
          <w:tcPr>
            <w:tcW w:w="1710" w:type="dxa"/>
            <w:vAlign w:val="bottom"/>
          </w:tcPr>
          <w:p w14:paraId="2407E383" w14:textId="537A275B" w:rsidR="21B53777" w:rsidRDefault="21B53777" w:rsidP="21B5377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3.94%</w:t>
            </w:r>
          </w:p>
        </w:tc>
        <w:tc>
          <w:tcPr>
            <w:tcW w:w="1965" w:type="dxa"/>
            <w:vAlign w:val="bottom"/>
          </w:tcPr>
          <w:p w14:paraId="72999E76" w14:textId="10B5EE2A" w:rsidR="21B53777" w:rsidRDefault="21B53777" w:rsidP="21B5377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1.77%</w:t>
            </w:r>
          </w:p>
        </w:tc>
      </w:tr>
      <w:tr w:rsidR="21B53777" w14:paraId="385FF84C" w14:textId="77777777" w:rsidTr="21B537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E569BF0" w14:textId="29151C71" w:rsidR="21B53777" w:rsidRDefault="21B53777" w:rsidP="21B53777">
            <w:pPr>
              <w:spacing w:line="360" w:lineRule="auto"/>
              <w:jc w:val="center"/>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Firmicutes</w:t>
            </w:r>
          </w:p>
        </w:tc>
        <w:tc>
          <w:tcPr>
            <w:tcW w:w="1620" w:type="dxa"/>
            <w:vAlign w:val="bottom"/>
          </w:tcPr>
          <w:p w14:paraId="037A490E" w14:textId="6A3E7D44" w:rsidR="21B53777" w:rsidRDefault="21B53777" w:rsidP="21B537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20.68%</w:t>
            </w:r>
          </w:p>
        </w:tc>
        <w:tc>
          <w:tcPr>
            <w:tcW w:w="1710" w:type="dxa"/>
            <w:vAlign w:val="bottom"/>
          </w:tcPr>
          <w:p w14:paraId="49405CFC" w14:textId="7780E893" w:rsidR="21B53777" w:rsidRDefault="21B53777" w:rsidP="21B537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23.44%</w:t>
            </w:r>
          </w:p>
        </w:tc>
        <w:tc>
          <w:tcPr>
            <w:tcW w:w="1965" w:type="dxa"/>
            <w:vAlign w:val="bottom"/>
          </w:tcPr>
          <w:p w14:paraId="57CD332C" w14:textId="22275F93" w:rsidR="21B53777" w:rsidRDefault="21B53777" w:rsidP="21B537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13.57%</w:t>
            </w:r>
          </w:p>
        </w:tc>
      </w:tr>
      <w:tr w:rsidR="21B53777" w14:paraId="6ED7C567" w14:textId="77777777" w:rsidTr="21B53777">
        <w:trPr>
          <w:trHeight w:val="27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2EBF02D" w14:textId="2626A4B1" w:rsidR="21B53777" w:rsidRDefault="21B53777" w:rsidP="21B53777">
            <w:pPr>
              <w:spacing w:line="360" w:lineRule="auto"/>
              <w:jc w:val="center"/>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Proteobacteria</w:t>
            </w:r>
          </w:p>
        </w:tc>
        <w:tc>
          <w:tcPr>
            <w:tcW w:w="1620" w:type="dxa"/>
            <w:vAlign w:val="bottom"/>
          </w:tcPr>
          <w:p w14:paraId="02F76419" w14:textId="3488A860" w:rsidR="21B53777" w:rsidRDefault="21B53777" w:rsidP="21B5377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77.73%</w:t>
            </w:r>
          </w:p>
        </w:tc>
        <w:tc>
          <w:tcPr>
            <w:tcW w:w="1710" w:type="dxa"/>
            <w:vAlign w:val="bottom"/>
          </w:tcPr>
          <w:p w14:paraId="0E21C5FA" w14:textId="411C5F87" w:rsidR="21B53777" w:rsidRDefault="21B53777" w:rsidP="21B5377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71.46%</w:t>
            </w:r>
          </w:p>
        </w:tc>
        <w:tc>
          <w:tcPr>
            <w:tcW w:w="1965" w:type="dxa"/>
            <w:vAlign w:val="bottom"/>
          </w:tcPr>
          <w:p w14:paraId="7D5C9933" w14:textId="7052506C" w:rsidR="21B53777" w:rsidRDefault="21B53777" w:rsidP="21B5377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rPr>
            </w:pPr>
            <w:r w:rsidRPr="21B53777">
              <w:rPr>
                <w:rFonts w:ascii="Times New Roman" w:eastAsia="Times New Roman" w:hAnsi="Times New Roman" w:cs="Times New Roman"/>
                <w:color w:val="000000" w:themeColor="text1"/>
                <w:sz w:val="22"/>
                <w:szCs w:val="22"/>
              </w:rPr>
              <w:t>83.10%</w:t>
            </w:r>
          </w:p>
        </w:tc>
      </w:tr>
    </w:tbl>
    <w:p w14:paraId="674933E8" w14:textId="741073DA" w:rsidR="21B53777" w:rsidRDefault="21B53777" w:rsidP="21B53777">
      <w:pPr>
        <w:spacing w:after="160" w:line="360" w:lineRule="auto"/>
        <w:rPr>
          <w:rFonts w:ascii="Calibri" w:eastAsia="Calibri" w:hAnsi="Calibri" w:cs="Calibri"/>
          <w:sz w:val="22"/>
          <w:szCs w:val="22"/>
        </w:rPr>
      </w:pPr>
      <w:r>
        <w:br w:type="page"/>
      </w:r>
    </w:p>
    <w:p w14:paraId="7F3FD215" w14:textId="6305A350" w:rsidR="21B53777" w:rsidRDefault="21B53777" w:rsidP="21B53777">
      <w:pPr>
        <w:spacing w:after="160" w:line="360" w:lineRule="auto"/>
        <w:rPr>
          <w:rFonts w:ascii="Times New Roman" w:eastAsia="Times New Roman" w:hAnsi="Times New Roman" w:cs="Times New Roman"/>
          <w:b/>
          <w:bCs/>
        </w:rPr>
      </w:pPr>
      <w:r w:rsidRPr="21B53777">
        <w:rPr>
          <w:rFonts w:ascii="Times New Roman" w:eastAsia="Times New Roman" w:hAnsi="Times New Roman" w:cs="Times New Roman"/>
          <w:b/>
          <w:bCs/>
        </w:rPr>
        <w:lastRenderedPageBreak/>
        <w:t>Supplementary Figures</w:t>
      </w:r>
    </w:p>
    <w:p w14:paraId="1E6F2621" w14:textId="0BD9FC4A" w:rsidR="21B53777" w:rsidRDefault="21B53777" w:rsidP="7EB81481">
      <w:pPr>
        <w:spacing w:after="160" w:line="360" w:lineRule="auto"/>
        <w:rPr>
          <w:rFonts w:ascii="Times New Roman" w:eastAsia="Times New Roman" w:hAnsi="Times New Roman" w:cs="Times New Roman"/>
        </w:rPr>
      </w:pPr>
      <w:r>
        <w:rPr>
          <w:noProof/>
        </w:rPr>
        <w:drawing>
          <wp:inline distT="0" distB="0" distL="0" distR="0" wp14:anchorId="13D73726" wp14:editId="7EB81481">
            <wp:extent cx="5943600" cy="3962400"/>
            <wp:effectExtent l="0" t="0" r="0" b="0"/>
            <wp:docPr id="203023495" name="Picture 20302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7EB81481">
        <w:rPr>
          <w:rFonts w:ascii="Times New Roman" w:eastAsia="Times New Roman" w:hAnsi="Times New Roman" w:cs="Times New Roman"/>
          <w:b/>
          <w:bCs/>
        </w:rPr>
        <w:t>Figure S1. Rarefaction plot displaying number of ASVs with 529 sequence reads per sample</w:t>
      </w:r>
      <w:r w:rsidR="64A43696" w:rsidRPr="7EB81481">
        <w:rPr>
          <w:rFonts w:ascii="Times New Roman" w:eastAsia="Times New Roman" w:hAnsi="Times New Roman" w:cs="Times New Roman"/>
          <w:b/>
          <w:bCs/>
        </w:rPr>
        <w:t>.</w:t>
      </w:r>
    </w:p>
    <w:p w14:paraId="57FD3BCF" w14:textId="75DBDFC1" w:rsidR="56CE6F5A" w:rsidRDefault="56CE6F5A" w:rsidP="7EB81481">
      <w:pPr>
        <w:spacing w:after="160" w:line="360" w:lineRule="auto"/>
        <w:rPr>
          <w:rFonts w:ascii="Times New Roman" w:eastAsia="Times New Roman" w:hAnsi="Times New Roman" w:cs="Times New Roman"/>
        </w:rPr>
      </w:pPr>
    </w:p>
    <w:p w14:paraId="5AD2D1FF" w14:textId="75DBDFC1" w:rsidR="56CE6F5A" w:rsidRDefault="6486D2D8" w:rsidP="56CE6F5A">
      <w:pPr>
        <w:spacing w:after="160" w:line="360" w:lineRule="auto"/>
      </w:pPr>
      <w:r>
        <w:rPr>
          <w:noProof/>
        </w:rPr>
        <w:lastRenderedPageBreak/>
        <w:drawing>
          <wp:inline distT="0" distB="0" distL="0" distR="0" wp14:anchorId="7968EA29" wp14:editId="581736AD">
            <wp:extent cx="3581400" cy="4572000"/>
            <wp:effectExtent l="0" t="0" r="0" b="0"/>
            <wp:docPr id="1939669275" name="Picture 193966927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581400" cy="4572000"/>
                    </a:xfrm>
                    <a:prstGeom prst="rect">
                      <a:avLst/>
                    </a:prstGeom>
                  </pic:spPr>
                </pic:pic>
              </a:graphicData>
            </a:graphic>
          </wp:inline>
        </w:drawing>
      </w:r>
    </w:p>
    <w:p w14:paraId="1C5A1A83" w14:textId="18E1E7FA" w:rsidR="56CE6F5A" w:rsidRDefault="56CE6F5A" w:rsidP="56CE6F5A">
      <w:pPr>
        <w:spacing w:after="160" w:line="360" w:lineRule="auto"/>
        <w:rPr>
          <w:rFonts w:ascii="Times New Roman" w:eastAsia="Times New Roman" w:hAnsi="Times New Roman" w:cs="Times New Roman"/>
        </w:rPr>
      </w:pPr>
    </w:p>
    <w:p w14:paraId="61034BA2" w14:textId="0FF2E570" w:rsidR="67B65E4C" w:rsidRDefault="67B65E4C" w:rsidP="7EB81481">
      <w:pPr>
        <w:spacing w:after="160" w:line="360" w:lineRule="auto"/>
        <w:rPr>
          <w:rFonts w:ascii="Times New Roman" w:eastAsia="Times New Roman" w:hAnsi="Times New Roman" w:cs="Times New Roman"/>
          <w:b/>
          <w:bCs/>
        </w:rPr>
      </w:pPr>
      <w:r w:rsidRPr="7EB81481">
        <w:rPr>
          <w:rFonts w:ascii="Times New Roman" w:eastAsia="Times New Roman" w:hAnsi="Times New Roman" w:cs="Times New Roman"/>
          <w:b/>
          <w:bCs/>
        </w:rPr>
        <w:t xml:space="preserve">Figure S2. </w:t>
      </w:r>
      <w:r w:rsidR="4AD2EE5C" w:rsidRPr="7EB81481">
        <w:rPr>
          <w:rFonts w:ascii="Times New Roman" w:eastAsia="Times New Roman" w:hAnsi="Times New Roman" w:cs="Times New Roman"/>
          <w:b/>
          <w:bCs/>
          <w:color w:val="000000" w:themeColor="text1"/>
        </w:rPr>
        <w:t>Relative abundance of bacterial genera in each bee species.</w:t>
      </w:r>
    </w:p>
    <w:p w14:paraId="1F4451D2" w14:textId="78691784" w:rsidR="56CE6F5A" w:rsidRDefault="56CE6F5A" w:rsidP="56CE6F5A">
      <w:pPr>
        <w:spacing w:after="160" w:line="360" w:lineRule="auto"/>
        <w:rPr>
          <w:rFonts w:ascii="Times New Roman" w:eastAsia="Times New Roman" w:hAnsi="Times New Roman" w:cs="Times New Roman"/>
        </w:rPr>
      </w:pPr>
    </w:p>
    <w:p w14:paraId="5E18696B" w14:textId="606E1CEC" w:rsidR="56CE6F5A" w:rsidRDefault="56CE6F5A" w:rsidP="56CE6F5A">
      <w:pPr>
        <w:spacing w:after="160" w:line="360" w:lineRule="auto"/>
        <w:rPr>
          <w:rFonts w:ascii="Times New Roman" w:eastAsia="Times New Roman" w:hAnsi="Times New Roman" w:cs="Times New Roman"/>
        </w:rPr>
      </w:pPr>
    </w:p>
    <w:p w14:paraId="1E5E92E6" w14:textId="6AA80165" w:rsidR="21B53777" w:rsidRDefault="21B53777" w:rsidP="21B53777">
      <w:pPr>
        <w:spacing w:after="160" w:line="360" w:lineRule="auto"/>
        <w:rPr>
          <w:rFonts w:ascii="Times New Roman" w:eastAsia="Times New Roman" w:hAnsi="Times New Roman" w:cs="Times New Roman"/>
        </w:rPr>
      </w:pPr>
      <w:r>
        <w:br w:type="page"/>
      </w:r>
    </w:p>
    <w:p w14:paraId="207264DA" w14:textId="20207F3D" w:rsidR="00CF3831" w:rsidRDefault="00CF3831" w:rsidP="00CF3831">
      <w:pPr>
        <w:spacing w:line="276" w:lineRule="auto"/>
        <w:rPr>
          <w:rFonts w:ascii="Times New Roman" w:eastAsia="Times New Roman" w:hAnsi="Times New Roman" w:cs="Times New Roman"/>
          <w:b/>
          <w:bCs/>
        </w:rPr>
      </w:pPr>
      <w:r>
        <w:rPr>
          <w:rFonts w:ascii="Times New Roman" w:eastAsia="Times New Roman" w:hAnsi="Times New Roman" w:cs="Times New Roman"/>
          <w:b/>
          <w:bCs/>
          <w:noProof/>
        </w:rPr>
        <w:lastRenderedPageBreak/>
        <w:drawing>
          <wp:inline distT="0" distB="0" distL="0" distR="0" wp14:anchorId="1C429418" wp14:editId="1B3817D4">
            <wp:extent cx="5887156" cy="6924564"/>
            <wp:effectExtent l="0" t="0" r="0" b="0"/>
            <wp:docPr id="85645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99" t="2834" r="2659" b="15484"/>
                    <a:stretch/>
                  </pic:blipFill>
                  <pic:spPr bwMode="auto">
                    <a:xfrm>
                      <a:off x="0" y="0"/>
                      <a:ext cx="5890831" cy="6928886"/>
                    </a:xfrm>
                    <a:prstGeom prst="rect">
                      <a:avLst/>
                    </a:prstGeom>
                    <a:noFill/>
                    <a:ln>
                      <a:noFill/>
                    </a:ln>
                    <a:extLst>
                      <a:ext uri="{53640926-AAD7-44D8-BBD7-CCE9431645EC}">
                        <a14:shadowObscured xmlns:a14="http://schemas.microsoft.com/office/drawing/2010/main"/>
                      </a:ext>
                    </a:extLst>
                  </pic:spPr>
                </pic:pic>
              </a:graphicData>
            </a:graphic>
          </wp:inline>
        </w:drawing>
      </w:r>
    </w:p>
    <w:p w14:paraId="6263552F" w14:textId="20A2EBE1" w:rsidR="00CF3831" w:rsidRDefault="21B53777" w:rsidP="00CF3831">
      <w:pPr>
        <w:spacing w:line="276" w:lineRule="auto"/>
        <w:rPr>
          <w:rFonts w:ascii="Times New Roman" w:eastAsia="Times New Roman" w:hAnsi="Times New Roman" w:cs="Times New Roman"/>
          <w:color w:val="000000" w:themeColor="text1"/>
        </w:rPr>
      </w:pPr>
      <w:r w:rsidRPr="7EB81481">
        <w:rPr>
          <w:rFonts w:ascii="Times New Roman" w:eastAsia="Times New Roman" w:hAnsi="Times New Roman" w:cs="Times New Roman"/>
          <w:b/>
          <w:bCs/>
        </w:rPr>
        <w:t>Figure S</w:t>
      </w:r>
      <w:r w:rsidR="0D0D4ACA" w:rsidRPr="7EB81481">
        <w:rPr>
          <w:rFonts w:ascii="Times New Roman" w:eastAsia="Times New Roman" w:hAnsi="Times New Roman" w:cs="Times New Roman"/>
          <w:b/>
          <w:bCs/>
        </w:rPr>
        <w:t>3</w:t>
      </w:r>
      <w:r w:rsidRPr="7EB81481">
        <w:rPr>
          <w:rFonts w:ascii="Times New Roman" w:eastAsia="Times New Roman" w:hAnsi="Times New Roman" w:cs="Times New Roman"/>
          <w:b/>
          <w:bCs/>
        </w:rPr>
        <w:t xml:space="preserve">. </w:t>
      </w:r>
      <w:r w:rsidR="00CF3831" w:rsidRPr="009713DB">
        <w:rPr>
          <w:rFonts w:ascii="Times New Roman" w:eastAsia="Times New Roman" w:hAnsi="Times New Roman" w:cs="Times New Roman"/>
          <w:b/>
          <w:bCs/>
          <w:color w:val="000000" w:themeColor="text1"/>
        </w:rPr>
        <w:t>Heatmap showing the relative abundance (0.1 to 1.0) of bacterial ASVs (rows) in individual bees (columns).</w:t>
      </w:r>
      <w:r w:rsidR="00CF3831" w:rsidRPr="0AE07532">
        <w:rPr>
          <w:rFonts w:ascii="Times New Roman" w:eastAsia="Times New Roman" w:hAnsi="Times New Roman" w:cs="Times New Roman"/>
          <w:b/>
          <w:bCs/>
          <w:color w:val="000000" w:themeColor="text1"/>
        </w:rPr>
        <w:t xml:space="preserve"> </w:t>
      </w:r>
      <w:r w:rsidR="00CF3831" w:rsidRPr="0AE07532">
        <w:rPr>
          <w:rFonts w:ascii="Times New Roman" w:eastAsia="Times New Roman" w:hAnsi="Times New Roman" w:cs="Times New Roman"/>
          <w:color w:val="000000" w:themeColor="text1"/>
        </w:rPr>
        <w:t xml:space="preserve">Columns are grouped based on </w:t>
      </w:r>
      <w:r w:rsidR="00670EF5">
        <w:rPr>
          <w:rFonts w:ascii="Times New Roman" w:eastAsia="Times New Roman" w:hAnsi="Times New Roman" w:cs="Times New Roman"/>
          <w:color w:val="000000" w:themeColor="text1"/>
        </w:rPr>
        <w:t>the results of hierarchical clustering</w:t>
      </w:r>
      <w:r w:rsidR="00CF3831" w:rsidRPr="0AE07532">
        <w:rPr>
          <w:rFonts w:ascii="Times New Roman" w:eastAsia="Times New Roman" w:hAnsi="Times New Roman" w:cs="Times New Roman"/>
          <w:color w:val="000000" w:themeColor="text1"/>
        </w:rPr>
        <w:t xml:space="preserve">. </w:t>
      </w:r>
      <w:r w:rsidR="00AD2097">
        <w:rPr>
          <w:rFonts w:ascii="Times New Roman" w:eastAsia="Times New Roman" w:hAnsi="Times New Roman" w:cs="Times New Roman"/>
          <w:color w:val="000000" w:themeColor="text1"/>
        </w:rPr>
        <w:t xml:space="preserve">Tree </w:t>
      </w:r>
      <w:r w:rsidR="00AD2097" w:rsidRPr="0AE07532">
        <w:rPr>
          <w:rFonts w:ascii="Times New Roman" w:eastAsia="Times New Roman" w:hAnsi="Times New Roman" w:cs="Times New Roman"/>
          <w:color w:val="000000" w:themeColor="text1"/>
        </w:rPr>
        <w:t xml:space="preserve">on the left of the heatmap indicates phylogenetic relationships between bacterial ASVs. Taxonomic orders of bacteria are shown on the right of the heatmap. Bacterial taxa common in focal species and mentioned in text are labeled by ASV numbers. Colors of heatmap indicate abundance classes of ASVs. </w:t>
      </w:r>
      <w:r w:rsidR="00AD2097" w:rsidRPr="009713DB">
        <w:rPr>
          <w:rFonts w:ascii="Times New Roman" w:eastAsia="Times New Roman" w:hAnsi="Times New Roman" w:cs="Times New Roman"/>
          <w:i/>
          <w:iCs/>
          <w:color w:val="000000" w:themeColor="text1"/>
        </w:rPr>
        <w:t>Apis mellifera</w:t>
      </w:r>
      <w:r w:rsidR="00AD2097" w:rsidRPr="0AE07532">
        <w:rPr>
          <w:rFonts w:ascii="Times New Roman" w:eastAsia="Times New Roman" w:hAnsi="Times New Roman" w:cs="Times New Roman"/>
          <w:color w:val="000000" w:themeColor="text1"/>
        </w:rPr>
        <w:t xml:space="preserve"> display</w:t>
      </w:r>
      <w:r w:rsidR="00AD2097">
        <w:rPr>
          <w:rFonts w:ascii="Times New Roman" w:eastAsia="Times New Roman" w:hAnsi="Times New Roman" w:cs="Times New Roman"/>
          <w:color w:val="000000" w:themeColor="text1"/>
        </w:rPr>
        <w:t>s</w:t>
      </w:r>
      <w:r w:rsidR="00AD2097" w:rsidRPr="0AE07532">
        <w:rPr>
          <w:rFonts w:ascii="Times New Roman" w:eastAsia="Times New Roman" w:hAnsi="Times New Roman" w:cs="Times New Roman"/>
          <w:color w:val="000000" w:themeColor="text1"/>
        </w:rPr>
        <w:t xml:space="preserve"> greater bacterial uniformity (</w:t>
      </w:r>
      <w:r w:rsidR="00AD2097">
        <w:rPr>
          <w:rFonts w:ascii="Times New Roman" w:eastAsia="Times New Roman" w:hAnsi="Times New Roman" w:cs="Times New Roman"/>
          <w:color w:val="000000" w:themeColor="text1"/>
        </w:rPr>
        <w:t xml:space="preserve">e.g., </w:t>
      </w:r>
      <w:r w:rsidR="00AD2097" w:rsidRPr="0AE07532">
        <w:rPr>
          <w:rFonts w:ascii="Times New Roman" w:eastAsia="Times New Roman" w:hAnsi="Times New Roman" w:cs="Times New Roman"/>
          <w:color w:val="000000" w:themeColor="text1"/>
        </w:rPr>
        <w:t xml:space="preserve">ASV 3) </w:t>
      </w:r>
      <w:r w:rsidR="00AD2097" w:rsidRPr="0AE07532">
        <w:rPr>
          <w:rFonts w:ascii="Times New Roman" w:eastAsia="Times New Roman" w:hAnsi="Times New Roman" w:cs="Times New Roman"/>
          <w:color w:val="000000" w:themeColor="text1"/>
        </w:rPr>
        <w:lastRenderedPageBreak/>
        <w:t>compared to bumble bees. ASV host specificity can also be observed, with some having higher abundances (</w:t>
      </w:r>
      <w:r w:rsidR="00AD2097">
        <w:rPr>
          <w:rFonts w:ascii="Times New Roman" w:eastAsia="Times New Roman" w:hAnsi="Times New Roman" w:cs="Times New Roman"/>
          <w:color w:val="000000" w:themeColor="text1"/>
        </w:rPr>
        <w:t>e.g.,</w:t>
      </w:r>
      <w:r w:rsidR="00AD2097" w:rsidRPr="0AE07532">
        <w:rPr>
          <w:rFonts w:ascii="Times New Roman" w:eastAsia="Times New Roman" w:hAnsi="Times New Roman" w:cs="Times New Roman"/>
          <w:color w:val="000000" w:themeColor="text1"/>
        </w:rPr>
        <w:t xml:space="preserve"> ASV 6) in one host species over another.</w:t>
      </w:r>
      <w:r w:rsidR="00AD2097">
        <w:rPr>
          <w:rFonts w:ascii="Times New Roman" w:eastAsia="Times New Roman" w:hAnsi="Times New Roman" w:cs="Times New Roman"/>
          <w:color w:val="000000" w:themeColor="text1"/>
        </w:rPr>
        <w:t xml:space="preserve"> Scale bar indicates the number of substitutions per nucleotide site along branches of the bacterial phylogenetic tree.</w:t>
      </w:r>
    </w:p>
    <w:p w14:paraId="361BD9D3" w14:textId="17C7D534" w:rsidR="21B53777" w:rsidRDefault="21B53777" w:rsidP="7EB81481">
      <w:pPr>
        <w:spacing w:after="160" w:line="360" w:lineRule="auto"/>
        <w:rPr>
          <w:rFonts w:ascii="Times New Roman" w:eastAsia="Times New Roman" w:hAnsi="Times New Roman" w:cs="Times New Roman"/>
        </w:rPr>
      </w:pPr>
    </w:p>
    <w:p w14:paraId="21DA3FA6" w14:textId="3B957ADB" w:rsidR="21B53777" w:rsidRDefault="21B53777" w:rsidP="21B53777"/>
    <w:sectPr w:rsidR="21B537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0A3"/>
    <w:rsid w:val="0025373B"/>
    <w:rsid w:val="002830D8"/>
    <w:rsid w:val="0029699E"/>
    <w:rsid w:val="004442B0"/>
    <w:rsid w:val="00670EF5"/>
    <w:rsid w:val="00AD2097"/>
    <w:rsid w:val="00B130A3"/>
    <w:rsid w:val="00CF3831"/>
    <w:rsid w:val="022588B6"/>
    <w:rsid w:val="0A482F17"/>
    <w:rsid w:val="0D0D4ACA"/>
    <w:rsid w:val="0D9EBF7D"/>
    <w:rsid w:val="114DF18F"/>
    <w:rsid w:val="133AE40E"/>
    <w:rsid w:val="18BE5025"/>
    <w:rsid w:val="1BF5F0E7"/>
    <w:rsid w:val="1E134C3A"/>
    <w:rsid w:val="21B53777"/>
    <w:rsid w:val="26D4E873"/>
    <w:rsid w:val="310A2576"/>
    <w:rsid w:val="3494D0D0"/>
    <w:rsid w:val="4355134F"/>
    <w:rsid w:val="4797784A"/>
    <w:rsid w:val="493348AB"/>
    <w:rsid w:val="4ACF190C"/>
    <w:rsid w:val="4AD2EE5C"/>
    <w:rsid w:val="4FC9F312"/>
    <w:rsid w:val="521107A0"/>
    <w:rsid w:val="56CE6F5A"/>
    <w:rsid w:val="5F790320"/>
    <w:rsid w:val="6486D2D8"/>
    <w:rsid w:val="64A43696"/>
    <w:rsid w:val="67B65E4C"/>
    <w:rsid w:val="681B8FD3"/>
    <w:rsid w:val="6A24216C"/>
    <w:rsid w:val="709043FC"/>
    <w:rsid w:val="7A65EF56"/>
    <w:rsid w:val="7EB81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21E28"/>
  <w15:chartTrackingRefBased/>
  <w15:docId w15:val="{6D782BB8-C5CB-9243-BAFF-BDC59D2D7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1">
    <w:name w:val="Plain Table 1"/>
    <w:basedOn w:val="TableNormal"/>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KEADY</dc:creator>
  <cp:keywords/>
  <dc:description/>
  <cp:lastModifiedBy>Haw Chuan Lim</cp:lastModifiedBy>
  <cp:revision>7</cp:revision>
  <dcterms:created xsi:type="dcterms:W3CDTF">2022-07-20T19:26:00Z</dcterms:created>
  <dcterms:modified xsi:type="dcterms:W3CDTF">2023-04-07T02:50:00Z</dcterms:modified>
</cp:coreProperties>
</file>