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0F5" w14:textId="77777777" w:rsidR="004B2EE9" w:rsidRDefault="00000000">
      <w:pPr>
        <w:pStyle w:val="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Supplementary Tables</w:t>
      </w:r>
    </w:p>
    <w:p w14:paraId="486D984C" w14:textId="77777777" w:rsidR="004B2EE9" w:rsidRDefault="00000000">
      <w:pPr>
        <w:jc w:val="both"/>
        <w:rPr>
          <w:rFonts w:eastAsia="等线" w:cs="Times New Roman"/>
          <w:szCs w:val="24"/>
        </w:rPr>
      </w:pPr>
      <w:bookmarkStart w:id="0" w:name="_Hlk115303439"/>
      <w:r>
        <w:rPr>
          <w:b/>
          <w:bCs/>
        </w:rPr>
        <w:t>Table S1</w:t>
      </w:r>
      <w:r>
        <w:rPr>
          <w:rFonts w:eastAsia="等线" w:cs="Times New Roman"/>
          <w:szCs w:val="24"/>
        </w:rPr>
        <w:t>. Clinical information of samples in the F</w:t>
      </w:r>
      <w:r>
        <w:rPr>
          <w:rFonts w:eastAsia="等线" w:cs="Times New Roman" w:hint="eastAsia"/>
          <w:szCs w:val="24"/>
        </w:rPr>
        <w:t>our</w:t>
      </w:r>
      <w:r>
        <w:rPr>
          <w:rFonts w:eastAsia="等线" w:cs="Times New Roman"/>
          <w:szCs w:val="24"/>
        </w:rPr>
        <w:t xml:space="preserve"> cohorts</w:t>
      </w:r>
      <w:bookmarkStart w:id="1" w:name="_Hlk115120461"/>
      <w:r>
        <w:rPr>
          <w:rFonts w:eastAsia="等线" w:cs="Times New Roman"/>
          <w:szCs w:val="24"/>
        </w:rPr>
        <w:t>.</w:t>
      </w:r>
    </w:p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984"/>
        <w:gridCol w:w="1702"/>
      </w:tblGrid>
      <w:tr w:rsidR="004B2EE9" w14:paraId="43CB0DAF" w14:textId="77777777">
        <w:trPr>
          <w:trHeight w:val="442"/>
          <w:jc w:val="center"/>
        </w:trPr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0"/>
          <w:bookmarkEnd w:id="1"/>
          <w:p w14:paraId="2F7867A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  <w:t>Characteristic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DA63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  <w:t>GSE72094( N=386 )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F8F49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  <w:t>GSE31210( N=226 )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8B98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  <w:t>GSE30219( N=83 )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2AAB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0"/>
                <w:lang w:eastAsia="zh-CN"/>
              </w:rPr>
              <w:t>TCGA( N=503 )</w:t>
            </w:r>
          </w:p>
        </w:tc>
      </w:tr>
      <w:tr w:rsidR="004B2EE9" w14:paraId="636BAE5A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D40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 xml:space="preserve">Age, median </w:t>
            </w:r>
          </w:p>
          <w:p w14:paraId="1C4C02F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(interquartile range)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B7EF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66 ( 59 to 72 )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1FE5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61 ( 55 to 65 )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A6D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61.14 (52.04 to 62.05)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B399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70 ( 64 to 76.75 )</w:t>
            </w:r>
          </w:p>
        </w:tc>
      </w:tr>
      <w:tr w:rsidR="004B2EE9" w14:paraId="735EF50A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C8E4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Gender 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6978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0539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335F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B148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72C3497C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7154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5E3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218 (56%)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1389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121 (54%)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15C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18 (22%)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720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268 (53%)</w:t>
            </w:r>
          </w:p>
        </w:tc>
      </w:tr>
      <w:tr w:rsidR="004B2EE9" w14:paraId="3EEC2258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1D2C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F60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168 (44%)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4A9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105 (46%)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FCA8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65 (78%)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ECB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235 (47%)</w:t>
            </w:r>
          </w:p>
        </w:tc>
      </w:tr>
      <w:tr w:rsidR="004B2EE9" w14:paraId="72DB13DB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645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Smoking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ECF7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EA2A2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21810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1F75A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17C83927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A26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Ever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492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291 (91%)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3317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111 (49%)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3CE1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3725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346 (69%)</w:t>
            </w:r>
          </w:p>
        </w:tc>
      </w:tr>
      <w:tr w:rsidR="004B2EE9" w14:paraId="3BC502AA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475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C802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30 (9%)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BF22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115 (51%)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3CFD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943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157 (31%)</w:t>
            </w:r>
          </w:p>
        </w:tc>
      </w:tr>
      <w:tr w:rsidR="004B2EE9" w14:paraId="149DBF8C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FC11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T category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D685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76497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B824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1B44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2285BDCF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A080C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T1&amp;T2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371F4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5CF5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002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81 (98%)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0367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438 (87%)</w:t>
            </w:r>
          </w:p>
        </w:tc>
      </w:tr>
      <w:tr w:rsidR="004B2EE9" w14:paraId="4C3A57E2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747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T3&amp;T4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47B0F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C957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CEB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 (2%)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93B72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65 (13%)</w:t>
            </w:r>
          </w:p>
        </w:tc>
      </w:tr>
      <w:tr w:rsidR="004B2EE9" w14:paraId="6FFC3F76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604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N category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6234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39A3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E667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6BC22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1C738507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B8D4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N0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9690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EDE0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82DD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80 (96%)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245FB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328 (65%)</w:t>
            </w:r>
          </w:p>
        </w:tc>
      </w:tr>
      <w:tr w:rsidR="004B2EE9" w14:paraId="09802AA8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250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N+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03BF5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0B9C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1ED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 (4%)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ED64D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174 (35%)</w:t>
            </w:r>
          </w:p>
        </w:tc>
      </w:tr>
      <w:tr w:rsidR="004B2EE9" w14:paraId="44E26015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2AF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Unknown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784A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5C97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DDF0E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2F08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 (0%)</w:t>
            </w:r>
          </w:p>
        </w:tc>
      </w:tr>
      <w:tr w:rsidR="004B2EE9" w14:paraId="36866033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CD4FB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M category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6260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B166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F7C8F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4002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29BA0F47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455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M0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F905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E333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DFB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83 (100%)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2E3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334 (66%)</w:t>
            </w:r>
          </w:p>
        </w:tc>
      </w:tr>
      <w:tr w:rsidR="004B2EE9" w14:paraId="2944F8F8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EBD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M+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C50CD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49D11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71C9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195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164 (33%)</w:t>
            </w:r>
          </w:p>
        </w:tc>
      </w:tr>
      <w:tr w:rsidR="004B2EE9" w14:paraId="06372C77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01E2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Unknown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AD9E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B573F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EE55A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82E5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5 (1%)</w:t>
            </w:r>
          </w:p>
        </w:tc>
      </w:tr>
      <w:tr w:rsidR="004B2EE9" w14:paraId="302905A3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1773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Pathological stage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93B2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A07FE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161EF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CC51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1D75176C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9F942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Stage I&amp;II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37E9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311 (82%)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C4C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226 (100%)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E089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CF78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391 (78%)</w:t>
            </w:r>
          </w:p>
        </w:tc>
      </w:tr>
      <w:tr w:rsidR="004B2EE9" w14:paraId="57A8E246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4235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Stage III&amp;IV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B907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70 (18%)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3037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6C66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444C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104 (21%)</w:t>
            </w:r>
          </w:p>
        </w:tc>
      </w:tr>
      <w:tr w:rsidR="004B2EE9" w14:paraId="3504A184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84A4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Unknown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4446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E9DB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9216A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3DBD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8 (2%)</w:t>
            </w:r>
          </w:p>
        </w:tc>
      </w:tr>
      <w:tr w:rsidR="004B2EE9" w14:paraId="50D1FB39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0E7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b/>
                <w:bCs/>
                <w:color w:val="000000"/>
                <w:sz w:val="20"/>
                <w:szCs w:val="24"/>
                <w:lang w:eastAsia="zh-CN"/>
              </w:rPr>
              <w:t>Status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7F9C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6D18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A2170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98DB" w14:textId="77777777" w:rsidR="004B2EE9" w:rsidRDefault="004B2EE9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EE9" w14:paraId="68D9CE52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FA89A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Alive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EF3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277(72%)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FD1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191 (85%)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8864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40 (48%)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57EAF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322 (64%)</w:t>
            </w:r>
          </w:p>
        </w:tc>
      </w:tr>
      <w:tr w:rsidR="004B2EE9" w14:paraId="2DD24CBD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1C5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Dead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4B49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109(28%)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ECA9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35 (15%)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F1A0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43 (52%)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165FC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181 (36%)</w:t>
            </w:r>
          </w:p>
        </w:tc>
      </w:tr>
      <w:tr w:rsidR="004B2EE9" w14:paraId="1C1D39CA" w14:textId="77777777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D6C07B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  <w:t xml:space="preserve">OS time(days), </w:t>
            </w:r>
          </w:p>
          <w:p w14:paraId="04A3160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4"/>
                <w:lang w:eastAsia="zh-CN"/>
              </w:rPr>
              <w:t>median (interquartile range)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903725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831.5</w:t>
            </w:r>
          </w:p>
          <w:p w14:paraId="5AA0804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 xml:space="preserve"> ( 568.5 to 1022.75 )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65E4C1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 xml:space="preserve">1744.5 </w:t>
            </w:r>
          </w:p>
          <w:p w14:paraId="1205AC76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( 1245.5 to 2049.5 )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B5F75E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 xml:space="preserve">2070 </w:t>
            </w:r>
          </w:p>
          <w:p w14:paraId="25DFBC73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( 855 to 3435 )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4D3F74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 xml:space="preserve">677 </w:t>
            </w:r>
          </w:p>
          <w:p w14:paraId="1587F70C" w14:textId="77777777" w:rsidR="004B2EE9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alatino Linotype" w:eastAsia="宋体" w:hAnsi="Palatino Linotype" w:cs="Times New Roman"/>
                <w:color w:val="000000"/>
                <w:sz w:val="20"/>
                <w:szCs w:val="20"/>
                <w:lang w:eastAsia="zh-CN"/>
              </w:rPr>
              <w:t>( 434.5 to 1147.5 )</w:t>
            </w:r>
          </w:p>
        </w:tc>
      </w:tr>
    </w:tbl>
    <w:p w14:paraId="283EB73A" w14:textId="77777777" w:rsidR="004B2EE9" w:rsidRDefault="00000000">
      <w:pPr>
        <w:jc w:val="both"/>
        <w:rPr>
          <w:rFonts w:eastAsia="微软雅黑" w:cs="Times New Roman"/>
          <w:color w:val="444444"/>
          <w:szCs w:val="24"/>
          <w:shd w:val="clear" w:color="auto" w:fill="FFFFFF"/>
        </w:rPr>
      </w:pPr>
      <w:r>
        <w:rPr>
          <w:b/>
          <w:bCs/>
        </w:rPr>
        <w:lastRenderedPageBreak/>
        <w:t>Table</w:t>
      </w:r>
      <w:r>
        <w:rPr>
          <w:rFonts w:eastAsia="等线" w:cs="Times New Roman"/>
          <w:b/>
          <w:bCs/>
          <w:color w:val="000000"/>
        </w:rPr>
        <w:t xml:space="preserve"> S2</w:t>
      </w:r>
      <w:r>
        <w:rPr>
          <w:rFonts w:eastAsia="等线" w:cs="Times New Roman"/>
          <w:color w:val="000000"/>
        </w:rPr>
        <w:t>. qPCR Primer sequence.</w:t>
      </w:r>
    </w:p>
    <w:tbl>
      <w:tblPr>
        <w:tblStyle w:val="1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3480"/>
      </w:tblGrid>
      <w:tr w:rsidR="004B2EE9" w14:paraId="4FD1AA3E" w14:textId="77777777">
        <w:trPr>
          <w:trHeight w:val="276"/>
          <w:jc w:val="center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07F26F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Gene Name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EC2EF2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Primer sequence</w:t>
            </w:r>
          </w:p>
        </w:tc>
      </w:tr>
      <w:tr w:rsidR="004B2EE9" w14:paraId="43A2960A" w14:textId="77777777">
        <w:trPr>
          <w:trHeight w:val="276"/>
          <w:jc w:val="center"/>
        </w:trPr>
        <w:tc>
          <w:tcPr>
            <w:tcW w:w="2900" w:type="dxa"/>
            <w:tcBorders>
              <w:top w:val="single" w:sz="4" w:space="0" w:color="auto"/>
            </w:tcBorders>
            <w:noWrap/>
          </w:tcPr>
          <w:p w14:paraId="397CEC6F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SCT1 F'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noWrap/>
          </w:tcPr>
          <w:p w14:paraId="088724FC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TTGCCTCAACAGTGCTCTAC</w:t>
            </w:r>
          </w:p>
        </w:tc>
      </w:tr>
      <w:tr w:rsidR="004B2EE9" w14:paraId="67BAB086" w14:textId="77777777">
        <w:trPr>
          <w:trHeight w:val="276"/>
          <w:jc w:val="center"/>
        </w:trPr>
        <w:tc>
          <w:tcPr>
            <w:tcW w:w="2900" w:type="dxa"/>
            <w:noWrap/>
          </w:tcPr>
          <w:p w14:paraId="4F62C3D7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STC1 R'</w:t>
            </w:r>
          </w:p>
        </w:tc>
        <w:tc>
          <w:tcPr>
            <w:tcW w:w="3480" w:type="dxa"/>
            <w:noWrap/>
          </w:tcPr>
          <w:p w14:paraId="1AFFF084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AGCGCTGTACAAGAAGGATTTA</w:t>
            </w:r>
          </w:p>
        </w:tc>
      </w:tr>
      <w:tr w:rsidR="004B2EE9" w14:paraId="06AFD28B" w14:textId="77777777">
        <w:trPr>
          <w:trHeight w:val="276"/>
          <w:jc w:val="center"/>
        </w:trPr>
        <w:tc>
          <w:tcPr>
            <w:tcW w:w="2900" w:type="dxa"/>
            <w:noWrap/>
          </w:tcPr>
          <w:p w14:paraId="0012E3D8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PFKL F'</w:t>
            </w:r>
          </w:p>
        </w:tc>
        <w:tc>
          <w:tcPr>
            <w:tcW w:w="3480" w:type="dxa"/>
            <w:noWrap/>
          </w:tcPr>
          <w:p w14:paraId="6FBB7CCE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CACATGACGGAGAAGATGAAGA</w:t>
            </w:r>
          </w:p>
        </w:tc>
      </w:tr>
      <w:tr w:rsidR="004B2EE9" w14:paraId="249C4C60" w14:textId="77777777">
        <w:trPr>
          <w:trHeight w:val="276"/>
          <w:jc w:val="center"/>
        </w:trPr>
        <w:tc>
          <w:tcPr>
            <w:tcW w:w="2900" w:type="dxa"/>
            <w:noWrap/>
          </w:tcPr>
          <w:p w14:paraId="222CC862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PFKL R'</w:t>
            </w:r>
          </w:p>
        </w:tc>
        <w:tc>
          <w:tcPr>
            <w:tcW w:w="3480" w:type="dxa"/>
            <w:noWrap/>
          </w:tcPr>
          <w:p w14:paraId="2B101FAF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CTTGCCCTCTGATGAGTACAG</w:t>
            </w:r>
          </w:p>
        </w:tc>
      </w:tr>
      <w:tr w:rsidR="004B2EE9" w14:paraId="2829C080" w14:textId="77777777">
        <w:trPr>
          <w:trHeight w:val="276"/>
          <w:jc w:val="center"/>
        </w:trPr>
        <w:tc>
          <w:tcPr>
            <w:tcW w:w="2900" w:type="dxa"/>
            <w:noWrap/>
          </w:tcPr>
          <w:p w14:paraId="1B2AC383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HK1 F'</w:t>
            </w:r>
          </w:p>
        </w:tc>
        <w:tc>
          <w:tcPr>
            <w:tcW w:w="3480" w:type="dxa"/>
            <w:noWrap/>
          </w:tcPr>
          <w:p w14:paraId="529B3AC0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GAAGATGGTCAGTGGCATGTA</w:t>
            </w:r>
          </w:p>
        </w:tc>
      </w:tr>
      <w:tr w:rsidR="004B2EE9" w14:paraId="358303E7" w14:textId="77777777">
        <w:trPr>
          <w:trHeight w:val="276"/>
          <w:jc w:val="center"/>
        </w:trPr>
        <w:tc>
          <w:tcPr>
            <w:tcW w:w="2900" w:type="dxa"/>
            <w:noWrap/>
          </w:tcPr>
          <w:p w14:paraId="64CAC5CA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HK1 R'</w:t>
            </w:r>
          </w:p>
        </w:tc>
        <w:tc>
          <w:tcPr>
            <w:tcW w:w="3480" w:type="dxa"/>
            <w:noWrap/>
          </w:tcPr>
          <w:p w14:paraId="5212C7AC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GGTGATCCGCCCTTCAAATA </w:t>
            </w:r>
          </w:p>
        </w:tc>
      </w:tr>
      <w:tr w:rsidR="004B2EE9" w14:paraId="3CC46ECE" w14:textId="77777777">
        <w:trPr>
          <w:trHeight w:val="276"/>
          <w:jc w:val="center"/>
        </w:trPr>
        <w:tc>
          <w:tcPr>
            <w:tcW w:w="2900" w:type="dxa"/>
            <w:noWrap/>
          </w:tcPr>
          <w:p w14:paraId="7E397667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PDK3 F'</w:t>
            </w:r>
          </w:p>
        </w:tc>
        <w:tc>
          <w:tcPr>
            <w:tcW w:w="3480" w:type="dxa"/>
            <w:noWrap/>
          </w:tcPr>
          <w:p w14:paraId="7D80442D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CCAGAGCTGGAAGTTGAAGAA</w:t>
            </w:r>
          </w:p>
        </w:tc>
      </w:tr>
      <w:tr w:rsidR="004B2EE9" w14:paraId="4F17601B" w14:textId="77777777">
        <w:trPr>
          <w:trHeight w:val="276"/>
          <w:jc w:val="center"/>
        </w:trPr>
        <w:tc>
          <w:tcPr>
            <w:tcW w:w="2900" w:type="dxa"/>
            <w:noWrap/>
          </w:tcPr>
          <w:p w14:paraId="56DBA36F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PDK3 R'</w:t>
            </w:r>
          </w:p>
        </w:tc>
        <w:tc>
          <w:tcPr>
            <w:tcW w:w="3480" w:type="dxa"/>
            <w:noWrap/>
          </w:tcPr>
          <w:p w14:paraId="4319C7EB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ACAGATGTGAGGGCACATAAA</w:t>
            </w:r>
          </w:p>
        </w:tc>
      </w:tr>
      <w:tr w:rsidR="004B2EE9" w14:paraId="55AE8333" w14:textId="77777777">
        <w:trPr>
          <w:trHeight w:val="276"/>
          <w:jc w:val="center"/>
        </w:trPr>
        <w:tc>
          <w:tcPr>
            <w:tcW w:w="2900" w:type="dxa"/>
            <w:noWrap/>
          </w:tcPr>
          <w:p w14:paraId="4ECECE90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SLC2A1 F'</w:t>
            </w:r>
          </w:p>
        </w:tc>
        <w:tc>
          <w:tcPr>
            <w:tcW w:w="3480" w:type="dxa"/>
            <w:noWrap/>
          </w:tcPr>
          <w:p w14:paraId="6ED75396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CTGGGCAAGTCCTTTGAGAT</w:t>
            </w:r>
          </w:p>
        </w:tc>
      </w:tr>
      <w:tr w:rsidR="004B2EE9" w14:paraId="504BF18D" w14:textId="77777777">
        <w:trPr>
          <w:trHeight w:val="276"/>
          <w:jc w:val="center"/>
        </w:trPr>
        <w:tc>
          <w:tcPr>
            <w:tcW w:w="2900" w:type="dxa"/>
            <w:noWrap/>
          </w:tcPr>
          <w:p w14:paraId="22EC0FF9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SLC2A1 R'</w:t>
            </w:r>
          </w:p>
        </w:tc>
        <w:tc>
          <w:tcPr>
            <w:tcW w:w="3480" w:type="dxa"/>
            <w:noWrap/>
          </w:tcPr>
          <w:p w14:paraId="552D9221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GTGACACTTCACCCACATACA</w:t>
            </w:r>
          </w:p>
        </w:tc>
      </w:tr>
      <w:tr w:rsidR="004B2EE9" w14:paraId="18BDF3C4" w14:textId="77777777">
        <w:trPr>
          <w:trHeight w:val="276"/>
          <w:jc w:val="center"/>
        </w:trPr>
        <w:tc>
          <w:tcPr>
            <w:tcW w:w="2900" w:type="dxa"/>
            <w:noWrap/>
          </w:tcPr>
          <w:p w14:paraId="0C7E87D7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XPNPEP1 F'</w:t>
            </w:r>
          </w:p>
        </w:tc>
        <w:tc>
          <w:tcPr>
            <w:tcW w:w="3480" w:type="dxa"/>
            <w:noWrap/>
          </w:tcPr>
          <w:p w14:paraId="6D2DFFDF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TTGATGGTGACCGCATAGAC</w:t>
            </w:r>
          </w:p>
        </w:tc>
      </w:tr>
      <w:tr w:rsidR="004B2EE9" w14:paraId="68A5B6E1" w14:textId="77777777">
        <w:trPr>
          <w:trHeight w:val="276"/>
          <w:jc w:val="center"/>
        </w:trPr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4A3D7374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XPNPEP1 R'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noWrap/>
          </w:tcPr>
          <w:p w14:paraId="32830D65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GATGCACCTGGATCCTGTATT</w:t>
            </w:r>
          </w:p>
        </w:tc>
      </w:tr>
    </w:tbl>
    <w:p w14:paraId="3865B1C0" w14:textId="77777777" w:rsidR="004B2EE9" w:rsidRDefault="004B2EE9">
      <w:pPr>
        <w:jc w:val="both"/>
        <w:rPr>
          <w:rFonts w:eastAsia="等线" w:cs="Times New Roman"/>
          <w:color w:val="000000"/>
        </w:rPr>
      </w:pPr>
    </w:p>
    <w:p w14:paraId="3060EEB0" w14:textId="77777777" w:rsidR="004B2EE9" w:rsidRDefault="00000000">
      <w:pPr>
        <w:jc w:val="both"/>
        <w:rPr>
          <w:rFonts w:eastAsia="等线" w:cs="Times New Roman"/>
          <w:color w:val="000000"/>
        </w:rPr>
      </w:pPr>
      <w:bookmarkStart w:id="2" w:name="_Hlk115303246"/>
      <w:r>
        <w:rPr>
          <w:b/>
          <w:bCs/>
        </w:rPr>
        <w:t>Table</w:t>
      </w:r>
      <w:r>
        <w:rPr>
          <w:rFonts w:eastAsia="等线" w:cs="Times New Roman"/>
          <w:b/>
          <w:bCs/>
          <w:color w:val="000000"/>
        </w:rPr>
        <w:t xml:space="preserve"> S3</w:t>
      </w:r>
      <w:r>
        <w:rPr>
          <w:rFonts w:eastAsia="等线" w:cs="Times New Roman"/>
          <w:color w:val="000000"/>
        </w:rPr>
        <w:t>. siRNA sequence.</w:t>
      </w:r>
    </w:p>
    <w:tbl>
      <w:tblPr>
        <w:tblStyle w:val="15"/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696"/>
        <w:gridCol w:w="3573"/>
        <w:gridCol w:w="3183"/>
      </w:tblGrid>
      <w:tr w:rsidR="004B2EE9" w14:paraId="5E9DC54E" w14:textId="77777777">
        <w:trPr>
          <w:trHeight w:val="276"/>
        </w:trPr>
        <w:tc>
          <w:tcPr>
            <w:tcW w:w="1696" w:type="dxa"/>
            <w:noWrap/>
          </w:tcPr>
          <w:bookmarkEnd w:id="2"/>
          <w:p w14:paraId="11B1AAE9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Gene Name</w:t>
            </w:r>
          </w:p>
        </w:tc>
        <w:tc>
          <w:tcPr>
            <w:tcW w:w="3573" w:type="dxa"/>
            <w:noWrap/>
          </w:tcPr>
          <w:p w14:paraId="67F65F5E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Sense(5'-3')</w:t>
            </w:r>
          </w:p>
        </w:tc>
        <w:tc>
          <w:tcPr>
            <w:tcW w:w="3033" w:type="dxa"/>
            <w:noWrap/>
          </w:tcPr>
          <w:p w14:paraId="71B59839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b/>
                <w:bCs/>
                <w:snapToGrid w:val="0"/>
                <w:color w:val="000000"/>
                <w:sz w:val="20"/>
                <w:szCs w:val="20"/>
                <w:lang w:eastAsia="de-DE" w:bidi="en-US"/>
              </w:rPr>
              <w:t>Antisense(5'-3')</w:t>
            </w:r>
          </w:p>
        </w:tc>
      </w:tr>
      <w:tr w:rsidR="004B2EE9" w14:paraId="599369EE" w14:textId="77777777">
        <w:trPr>
          <w:trHeight w:val="276"/>
        </w:trPr>
        <w:tc>
          <w:tcPr>
            <w:tcW w:w="1696" w:type="dxa"/>
            <w:noWrap/>
          </w:tcPr>
          <w:p w14:paraId="65A73240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Si SLC2A1-1</w:t>
            </w:r>
          </w:p>
        </w:tc>
        <w:tc>
          <w:tcPr>
            <w:tcW w:w="3573" w:type="dxa"/>
            <w:noWrap/>
          </w:tcPr>
          <w:p w14:paraId="5A3FB730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CAGCUACCCUGGAUGUCCUTT</w:t>
            </w:r>
          </w:p>
        </w:tc>
        <w:tc>
          <w:tcPr>
            <w:tcW w:w="3033" w:type="dxa"/>
            <w:noWrap/>
          </w:tcPr>
          <w:p w14:paraId="59638287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AGGACAUCCAGGGUAGCUGTT</w:t>
            </w:r>
          </w:p>
        </w:tc>
      </w:tr>
      <w:tr w:rsidR="004B2EE9" w14:paraId="5C645769" w14:textId="77777777">
        <w:trPr>
          <w:trHeight w:val="276"/>
        </w:trPr>
        <w:tc>
          <w:tcPr>
            <w:tcW w:w="1696" w:type="dxa"/>
            <w:noWrap/>
          </w:tcPr>
          <w:p w14:paraId="0753B717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Si SLC2A1-2</w:t>
            </w:r>
          </w:p>
        </w:tc>
        <w:tc>
          <w:tcPr>
            <w:tcW w:w="3573" w:type="dxa"/>
            <w:noWrap/>
          </w:tcPr>
          <w:p w14:paraId="31A3A8DA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CAUCAACGCUGUCUUCUAUTT</w:t>
            </w:r>
          </w:p>
        </w:tc>
        <w:tc>
          <w:tcPr>
            <w:tcW w:w="3033" w:type="dxa"/>
            <w:noWrap/>
          </w:tcPr>
          <w:p w14:paraId="6E916F36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AUAGAAGACAGCGUUGAUGTT</w:t>
            </w:r>
          </w:p>
        </w:tc>
      </w:tr>
      <w:tr w:rsidR="004B2EE9" w14:paraId="33D01D93" w14:textId="77777777">
        <w:trPr>
          <w:trHeight w:val="276"/>
        </w:trPr>
        <w:tc>
          <w:tcPr>
            <w:tcW w:w="1696" w:type="dxa"/>
            <w:noWrap/>
          </w:tcPr>
          <w:p w14:paraId="107A4D76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Si XPNPEP1</w:t>
            </w:r>
          </w:p>
        </w:tc>
        <w:tc>
          <w:tcPr>
            <w:tcW w:w="3573" w:type="dxa"/>
            <w:noWrap/>
          </w:tcPr>
          <w:p w14:paraId="3EFA5413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GAUAGAUGUGGAUUCUCUUTT</w:t>
            </w:r>
          </w:p>
        </w:tc>
        <w:tc>
          <w:tcPr>
            <w:tcW w:w="3033" w:type="dxa"/>
            <w:noWrap/>
          </w:tcPr>
          <w:p w14:paraId="24783D30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AAGAGAAUCCACAUCUAUCTT</w:t>
            </w:r>
          </w:p>
        </w:tc>
      </w:tr>
      <w:tr w:rsidR="004B2EE9" w14:paraId="2E58A4DC" w14:textId="77777777">
        <w:trPr>
          <w:trHeight w:val="276"/>
        </w:trPr>
        <w:tc>
          <w:tcPr>
            <w:tcW w:w="1696" w:type="dxa"/>
            <w:noWrap/>
          </w:tcPr>
          <w:p w14:paraId="520B60A6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Si XPNPEP1</w:t>
            </w:r>
          </w:p>
        </w:tc>
        <w:tc>
          <w:tcPr>
            <w:tcW w:w="3573" w:type="dxa"/>
            <w:noWrap/>
          </w:tcPr>
          <w:p w14:paraId="1987AEC0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UGAUAGAUGUGGAUUCUCUTT</w:t>
            </w:r>
          </w:p>
        </w:tc>
        <w:tc>
          <w:tcPr>
            <w:tcW w:w="3033" w:type="dxa"/>
            <w:noWrap/>
          </w:tcPr>
          <w:p w14:paraId="0547CB8D" w14:textId="77777777" w:rsidR="004B2EE9" w:rsidRDefault="00000000">
            <w:pPr>
              <w:adjustRightInd w:val="0"/>
              <w:snapToGrid w:val="0"/>
              <w:spacing w:before="0" w:after="0" w:line="260" w:lineRule="atLeast"/>
              <w:jc w:val="both"/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eastAsia="微软雅黑" w:cs="Times New Roman"/>
                <w:snapToGrid w:val="0"/>
                <w:color w:val="000000"/>
                <w:sz w:val="20"/>
                <w:szCs w:val="20"/>
                <w:lang w:eastAsia="de-DE" w:bidi="en-US"/>
              </w:rPr>
              <w:t>AGAGAAUCCACAUCUAUCATT</w:t>
            </w:r>
          </w:p>
        </w:tc>
      </w:tr>
    </w:tbl>
    <w:p w14:paraId="19B94E16" w14:textId="77777777" w:rsidR="004B2EE9" w:rsidRDefault="004B2EE9">
      <w:pPr>
        <w:jc w:val="both"/>
      </w:pPr>
    </w:p>
    <w:p w14:paraId="74F56460" w14:textId="77777777" w:rsidR="004B2EE9" w:rsidRDefault="004B2EE9">
      <w:pPr>
        <w:jc w:val="both"/>
      </w:pPr>
    </w:p>
    <w:p w14:paraId="0518B489" w14:textId="77777777" w:rsidR="004B2EE9" w:rsidRDefault="004B2EE9">
      <w:pPr>
        <w:jc w:val="both"/>
      </w:pPr>
    </w:p>
    <w:p w14:paraId="1FD29069" w14:textId="77777777" w:rsidR="004B2EE9" w:rsidRDefault="004B2EE9">
      <w:pPr>
        <w:jc w:val="both"/>
        <w:sectPr w:rsidR="004B2EE9">
          <w:footerReference w:type="even" r:id="rId9"/>
          <w:footerReference w:type="default" r:id="rId10"/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6BFADF2A" w14:textId="77777777" w:rsidR="004B2EE9" w:rsidRDefault="00000000">
      <w:pPr>
        <w:spacing w:before="0" w:after="0"/>
        <w:rPr>
          <w:rFonts w:eastAsia="等线" w:cs="Times New Roman"/>
          <w:b/>
          <w:bCs/>
          <w:color w:val="000000"/>
          <w:szCs w:val="24"/>
          <w:lang w:eastAsia="zh-CN"/>
        </w:rPr>
      </w:pPr>
      <w:r>
        <w:rPr>
          <w:b/>
          <w:bCs/>
        </w:rPr>
        <w:lastRenderedPageBreak/>
        <w:t>Table</w:t>
      </w:r>
      <w:r>
        <w:rPr>
          <w:rFonts w:eastAsia="等线" w:cs="Times New Roman"/>
          <w:b/>
          <w:bCs/>
          <w:color w:val="000000"/>
        </w:rPr>
        <w:t xml:space="preserve"> S</w:t>
      </w:r>
      <w:r>
        <w:rPr>
          <w:rFonts w:eastAsia="等线" w:cs="Times New Roman" w:hint="eastAsia"/>
          <w:b/>
          <w:bCs/>
          <w:color w:val="000000"/>
          <w:lang w:eastAsia="zh-CN"/>
        </w:rPr>
        <w:t>4</w:t>
      </w:r>
      <w:r>
        <w:rPr>
          <w:rFonts w:eastAsia="等线" w:cs="Times New Roman"/>
          <w:b/>
          <w:bCs/>
          <w:color w:val="000000"/>
          <w:szCs w:val="24"/>
          <w:lang w:eastAsia="zh-CN"/>
        </w:rPr>
        <w:t xml:space="preserve">. </w:t>
      </w:r>
      <w:r>
        <w:rPr>
          <w:rFonts w:eastAsia="等线" w:cs="Times New Roman"/>
          <w:color w:val="000000"/>
          <w:szCs w:val="24"/>
          <w:lang w:eastAsia="zh-CN"/>
        </w:rPr>
        <w:t>Univariate and Multivariate Cox model regression analysis of the signature and clinical information with lung adenocarcinoma (LUAD) survival.</w:t>
      </w: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2289"/>
        <w:gridCol w:w="2032"/>
        <w:gridCol w:w="500"/>
        <w:gridCol w:w="838"/>
        <w:gridCol w:w="721"/>
        <w:gridCol w:w="220"/>
        <w:gridCol w:w="500"/>
        <w:gridCol w:w="838"/>
        <w:gridCol w:w="762"/>
        <w:gridCol w:w="220"/>
        <w:gridCol w:w="500"/>
        <w:gridCol w:w="838"/>
        <w:gridCol w:w="762"/>
        <w:gridCol w:w="220"/>
        <w:gridCol w:w="500"/>
        <w:gridCol w:w="838"/>
        <w:gridCol w:w="762"/>
        <w:gridCol w:w="220"/>
      </w:tblGrid>
      <w:tr w:rsidR="004B2EE9" w14:paraId="29961570" w14:textId="77777777">
        <w:trPr>
          <w:gridAfter w:val="1"/>
          <w:wAfter w:w="191" w:type="pct"/>
          <w:trHeight w:val="288"/>
        </w:trPr>
        <w:tc>
          <w:tcPr>
            <w:tcW w:w="84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25031F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Variables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87C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7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56F6F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GSE72094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50B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7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C2770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TCGA 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C72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7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5199F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GSE31210</w:t>
            </w: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187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6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F03E6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GSE30219</w:t>
            </w:r>
          </w:p>
        </w:tc>
      </w:tr>
      <w:tr w:rsidR="004B2EE9" w14:paraId="223556AE" w14:textId="77777777">
        <w:trPr>
          <w:gridAfter w:val="1"/>
          <w:wAfter w:w="191" w:type="pct"/>
          <w:trHeight w:val="288"/>
        </w:trPr>
        <w:tc>
          <w:tcPr>
            <w:tcW w:w="84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DC12960" w14:textId="77777777" w:rsidR="004B2EE9" w:rsidRDefault="004B2EE9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5D30D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27E11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F38E6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95%CI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AB6EF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>
              <w:rPr>
                <w:rFonts w:eastAsia="等线" w:cs="Times New Roman"/>
                <w:color w:val="000000"/>
                <w:sz w:val="22"/>
                <w:lang w:eastAsia="zh-CN"/>
              </w:rPr>
              <w:t>-value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CD009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9CEBF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160CC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95%CI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F5B75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-value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8663A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AA1DF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4B6E5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95%CI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D48D2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-value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387FB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895CB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B59C7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95%CI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41250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>
              <w:rPr>
                <w:rFonts w:eastAsia="等线" w:cs="Times New Roman"/>
                <w:color w:val="000000"/>
                <w:sz w:val="22"/>
                <w:lang w:eastAsia="zh-CN"/>
              </w:rPr>
              <w:t>- value</w:t>
            </w:r>
          </w:p>
        </w:tc>
      </w:tr>
      <w:tr w:rsidR="004B2EE9" w14:paraId="5A7639C9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175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Univariable Cox Regression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B6569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E29E9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B567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D74E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AF96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0F0B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F515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0988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49D9F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8FDD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E67C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C452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23C7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7228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2034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4328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70A1EEE2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3AF3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604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&lt;65 vs.</w:t>
            </w:r>
            <w:r>
              <w:rPr>
                <w:rFonts w:ascii="等线" w:eastAsia="等线" w:hAnsi="等线" w:cs="Times New Roman" w:hint="eastAsia"/>
                <w:color w:val="000000"/>
                <w:sz w:val="22"/>
                <w:lang w:eastAsia="zh-CN"/>
              </w:rPr>
              <w:t>≥</w:t>
            </w: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65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AECA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248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0.57-1.15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E7F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0.246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2DFE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458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7D1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0.73-1.11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E42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0.331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39A7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B02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BFE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0.32-0.82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0AE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A95E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3B2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58C3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0.42-1.02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733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0.059</w:t>
            </w:r>
          </w:p>
        </w:tc>
      </w:tr>
      <w:tr w:rsidR="004B2EE9" w14:paraId="7ADC21B8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63A8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Gender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0329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Male vs. Female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E99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1.57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756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1.15-2.13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2D6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90C8D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3521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1.06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1B0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0.86-1.31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36BA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0.564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C189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4C6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1.34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0EF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0.84-2.15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FE9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0.219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9ACCC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C6D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1.08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A01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0.63-1.86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3DF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0.784</w:t>
            </w:r>
          </w:p>
        </w:tc>
      </w:tr>
      <w:tr w:rsidR="004B2EE9" w14:paraId="0EF09BA1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97F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Smoking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1A06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Never vs. Ever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33A9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0B3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0.47-1.53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39D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0.584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AB9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ACB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1.05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0C6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0.84-1.31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4F7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0.698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663B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A70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0.71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CBF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0.44-1.13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993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0.15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54E60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790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B548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5F90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15AE8D3E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278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C878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Stage III&amp;IV vs. Stage I&amp;II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972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2.25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FEF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1.63-3.11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A4C9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97CBF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8C3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1.93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627B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1.54-2.41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E713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4896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A65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731F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F94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8D304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F91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1A3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2533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0DB47453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427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T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98E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T3&amp;T4 vs. T1&amp;T2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052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33D9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ED2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DCB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3EE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1.77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D09A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1.36-2.32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7B27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646B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0BD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7FC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464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F492C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FC3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C50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0.21-3.5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E7A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0.824</w:t>
            </w:r>
          </w:p>
        </w:tc>
      </w:tr>
      <w:tr w:rsidR="004B2EE9" w14:paraId="074113E5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488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N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E3B9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N0 vs. N+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9DF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2C2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A89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4A3EF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D8D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D7B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0.42-0.65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6E4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7BFE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AAF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E06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D9F9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1716D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345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1.17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F45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0.43-3.21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049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0.762</w:t>
            </w:r>
          </w:p>
        </w:tc>
      </w:tr>
      <w:tr w:rsidR="004B2EE9" w14:paraId="56E16D2D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4DA4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M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6EEC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M0 vs. M+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3DE8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BEE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754B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91417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B7F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1.02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2FB5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0.81-1.28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11D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0.854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4C08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97ED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A15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ED50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7DDC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0E4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A95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FF6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50EBE490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4CF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EGFR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402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110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2.65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ECC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1.17-5.98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E4C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0.019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9CBBD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C78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9D4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68D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73C6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411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876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ABD9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C3D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00F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AEDF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7F6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5FDD2523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3BD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KRAS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2EB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989A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3AD5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0.61-1.14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568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0.265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E2F8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211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E61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DFE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B1C9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43D7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E91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7ED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623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A1F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8EC2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896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05F757C4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AA5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STK11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2E59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8F7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1.19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142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0.76-1.87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3393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0.445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0E7D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09AC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E245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6422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A73E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C8C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FFD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29FA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1E5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D01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9A7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4D6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108CEDFE" w14:textId="77777777">
        <w:trPr>
          <w:gridAfter w:val="1"/>
          <w:wAfter w:w="191" w:type="pct"/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AA8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TP53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035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011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679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0.62-1.21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A61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0.404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F6EA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3EF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0F9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5AA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BE093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464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508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434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CF44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4BE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CB65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E92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</w:tr>
      <w:tr w:rsidR="004B2EE9" w14:paraId="56241438" w14:textId="77777777">
        <w:trPr>
          <w:gridAfter w:val="1"/>
          <w:wAfter w:w="191" w:type="pct"/>
          <w:trHeight w:val="517"/>
        </w:trPr>
        <w:tc>
          <w:tcPr>
            <w:tcW w:w="8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2D4F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Signature</w:t>
            </w:r>
          </w:p>
        </w:tc>
        <w:tc>
          <w:tcPr>
            <w:tcW w:w="7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90D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Low-risk vs. High-risk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9AF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0.33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F64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0.23-0.47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4491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247B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886E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0.79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D493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0.64-0.98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1E1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0.029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76E0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3D3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0.45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A95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0.26-0.76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C758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0.003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813B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9A8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0.58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4FE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0.37-0.9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C5E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0.014</w:t>
            </w:r>
          </w:p>
        </w:tc>
      </w:tr>
      <w:tr w:rsidR="004B2EE9" w14:paraId="2A2322B5" w14:textId="77777777">
        <w:trPr>
          <w:trHeight w:val="300"/>
        </w:trPr>
        <w:tc>
          <w:tcPr>
            <w:tcW w:w="8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985D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7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F077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E669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63A8A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0854C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5AD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1C8E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F4D81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0024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3A59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36EF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370F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F1D2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E80C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EE46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CC1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A3D0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0ACC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</w:tr>
      <w:tr w:rsidR="004B2EE9" w14:paraId="1D664986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312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Multivariable Cox Regression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7B6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2184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804C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EB80F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7CB39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3741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08186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9B0B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B2A9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EA0B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757A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75C1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3BF0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4353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9885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308F" w14:textId="77777777" w:rsidR="004B2EE9" w:rsidRDefault="004B2EE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1" w:type="pct"/>
            <w:vAlign w:val="center"/>
          </w:tcPr>
          <w:p w14:paraId="5B45BCBB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5B2A726F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494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4FE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&lt;65 vs.</w:t>
            </w:r>
            <w:r>
              <w:rPr>
                <w:rFonts w:ascii="等线" w:eastAsia="等线" w:hAnsi="等线" w:cs="Times New Roman" w:hint="eastAsia"/>
                <w:color w:val="000000"/>
                <w:sz w:val="22"/>
                <w:lang w:eastAsia="zh-CN"/>
              </w:rPr>
              <w:t>≥</w:t>
            </w: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65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271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E729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E78F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CC6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797B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A96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2D9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69B3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E26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46B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0.3-0.8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DA40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A01BF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E37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09D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0.4-0.96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C90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0.034</w:t>
            </w:r>
          </w:p>
        </w:tc>
        <w:tc>
          <w:tcPr>
            <w:tcW w:w="191" w:type="pct"/>
            <w:vAlign w:val="center"/>
          </w:tcPr>
          <w:p w14:paraId="29952EA0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65C39CDC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5030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lastRenderedPageBreak/>
              <w:t>Gender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1592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Male vs. Female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585C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1.72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287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1.26-2.35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020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80DE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9DD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143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8D1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0A17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D55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70C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86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EF43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950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6C5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1B7D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2486E31D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6F2BAD3A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8F2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Smoking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1558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Never vs. Ever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A389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B78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7D6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9A2B8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345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38E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E81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F9357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4F2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E11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0.43-1.12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F93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0.133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5062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6946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BE6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CBCE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6E488538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18ECC700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7BE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A8A0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Stage III&amp;IV vs. Stage I&amp;II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D40C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2.24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C1C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1.6-3.12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8F3E" w14:textId="77777777" w:rsidR="004B2EE9" w:rsidRDefault="00000000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1917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4397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1.26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E116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0.94-1.68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D8D1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0.118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261C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E4F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23E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544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9343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540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0263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38F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78240550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7D980D9B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1BF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T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ED0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T3&amp;T4 vs. T1&amp;T2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B659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F3E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C9DD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FDCD4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A0A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1.41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3F9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1.04-1.9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A01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0.026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14D4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E2A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B1D9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C1C2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0D146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928C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EC3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B4A2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4A997E88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6930FC7C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EEA3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N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4A5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N0 vs. N+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0B2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E5E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D01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084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6FC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C91D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0.47-0.77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CFE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BE5C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59E2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D42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B1A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E7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F0C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2DE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E8E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3402C449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757608CB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045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Pathologic M stage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D7D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M0 vs. M+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A3E5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5F39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778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DB5F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8BE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1EB5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2FB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9416A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79B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D453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4F96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43F9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8EB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9B2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37F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111F3662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68463DD9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409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EGFR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C46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05B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1.96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4CE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0.86-4.44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E02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0.108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A6A5A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AFE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D78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84B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BB074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D1B6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CA7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FA1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AF2B2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471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C3E0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61B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1511D5DD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285534E0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FACD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KRAS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7D2E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2FDB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B99C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B09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1A07F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E37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BA2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E52A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612F5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21A9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4028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1DAC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9135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69AF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A64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E6E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55C6025B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50BFB258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4AB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STK11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4A6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889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F38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17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008A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6B5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1E8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222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BE02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212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B9C0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CB85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C39D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27F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F97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E1AE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71BBE7FC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714545EE" w14:textId="77777777">
        <w:trPr>
          <w:trHeight w:val="276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C74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TP53 mutation status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3C4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Wildtype vs. Mutant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18F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EB5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31FA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6350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EF9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6E7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C4E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1E3F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3D89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AB2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DC4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F1DA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126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D144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6C7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</w:t>
            </w:r>
          </w:p>
        </w:tc>
        <w:tc>
          <w:tcPr>
            <w:tcW w:w="191" w:type="pct"/>
            <w:vAlign w:val="center"/>
          </w:tcPr>
          <w:p w14:paraId="17BE0EAA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55CE8260" w14:textId="77777777">
        <w:trPr>
          <w:trHeight w:val="300"/>
        </w:trPr>
        <w:tc>
          <w:tcPr>
            <w:tcW w:w="84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98A1D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Signature</w:t>
            </w:r>
          </w:p>
        </w:tc>
        <w:tc>
          <w:tcPr>
            <w:tcW w:w="74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F84873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Low-risk vs. High-risk</w:t>
            </w: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A4372D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0.36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9873B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0.25-0.52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B9D4C9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0.001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900D68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5F0C5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0.83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26A7E3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0.67-1.03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A77E3E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0.045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4702244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CDF476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0.47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CC2CC7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0.27-0.8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82B358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0.006</w:t>
            </w: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B1EB71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0A20EA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0.56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418731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0.36-0.86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03CDD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0.009</w:t>
            </w:r>
          </w:p>
        </w:tc>
        <w:tc>
          <w:tcPr>
            <w:tcW w:w="191" w:type="pct"/>
            <w:vAlign w:val="center"/>
          </w:tcPr>
          <w:p w14:paraId="71FB6E97" w14:textId="77777777" w:rsidR="004B2EE9" w:rsidRDefault="004B2EE9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4B2EE9" w14:paraId="5CB85A8D" w14:textId="77777777">
        <w:trPr>
          <w:trHeight w:val="288"/>
        </w:trPr>
        <w:tc>
          <w:tcPr>
            <w:tcW w:w="84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E6C8FE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74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D8F0B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E96D8F7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0E890B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4AC5B0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32C7135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AFFE668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36E9D8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B5B09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43DE93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BEB22D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8C63D17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82285E7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F77D426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312787F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6A54692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7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D915636" w14:textId="77777777" w:rsidR="004B2EE9" w:rsidRDefault="004B2EE9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3A40" w14:textId="77777777" w:rsidR="004B2EE9" w:rsidRDefault="004B2EE9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</w:tr>
    </w:tbl>
    <w:p w14:paraId="2776C0FF" w14:textId="77777777" w:rsidR="004B2EE9" w:rsidRDefault="004B2EE9">
      <w:pPr>
        <w:sectPr w:rsidR="004B2EE9"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11D6AE16" w14:textId="77777777" w:rsidR="004B2EE9" w:rsidRDefault="00000000">
      <w:pPr>
        <w:spacing w:before="0" w:after="0"/>
        <w:rPr>
          <w:rFonts w:eastAsia="等线" w:cs="Times New Roman"/>
          <w:b/>
          <w:bCs/>
          <w:color w:val="000000"/>
          <w:sz w:val="22"/>
          <w:lang w:eastAsia="zh-CN"/>
        </w:rPr>
      </w:pPr>
      <w:r>
        <w:rPr>
          <w:b/>
          <w:bCs/>
        </w:rPr>
        <w:lastRenderedPageBreak/>
        <w:t>Table</w:t>
      </w:r>
      <w:r>
        <w:rPr>
          <w:rFonts w:eastAsia="等线" w:cs="Times New Roman"/>
          <w:b/>
          <w:bCs/>
          <w:color w:val="000000"/>
        </w:rPr>
        <w:t xml:space="preserve"> S</w:t>
      </w:r>
      <w:r>
        <w:rPr>
          <w:rFonts w:eastAsia="等线" w:cs="Times New Roman" w:hint="eastAsia"/>
          <w:b/>
          <w:bCs/>
          <w:color w:val="000000"/>
          <w:lang w:eastAsia="zh-CN"/>
        </w:rPr>
        <w:t>5</w:t>
      </w:r>
      <w:r>
        <w:rPr>
          <w:rFonts w:eastAsia="等线" w:cs="Times New Roman"/>
          <w:b/>
          <w:bCs/>
          <w:color w:val="000000"/>
          <w:szCs w:val="24"/>
          <w:lang w:eastAsia="zh-CN"/>
        </w:rPr>
        <w:t xml:space="preserve">. </w:t>
      </w:r>
      <w:r>
        <w:rPr>
          <w:rFonts w:eastAsia="等线" w:cs="Times New Roman"/>
          <w:color w:val="000000"/>
          <w:szCs w:val="24"/>
          <w:lang w:eastAsia="zh-CN"/>
        </w:rPr>
        <w:t>C-index of Four cohorts</w:t>
      </w:r>
      <w:r>
        <w:rPr>
          <w:rFonts w:eastAsia="等线" w:cs="Times New Roman"/>
          <w:color w:val="000000"/>
          <w:sz w:val="22"/>
          <w:lang w:eastAsia="zh-CN"/>
        </w:rPr>
        <w:t>.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3100"/>
        <w:gridCol w:w="2560"/>
        <w:gridCol w:w="2060"/>
        <w:gridCol w:w="2480"/>
      </w:tblGrid>
      <w:tr w:rsidR="004B2EE9" w14:paraId="5C736BAC" w14:textId="77777777">
        <w:trPr>
          <w:trHeight w:val="312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E1455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szCs w:val="24"/>
                <w:lang w:eastAsia="zh-CN"/>
              </w:rPr>
              <w:t>Cohorts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2E72D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szCs w:val="24"/>
                <w:lang w:eastAsia="zh-CN"/>
              </w:rPr>
              <w:t xml:space="preserve"> C-index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F8D11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szCs w:val="24"/>
                <w:lang w:eastAsia="zh-CN"/>
              </w:rPr>
              <w:t xml:space="preserve">low 95%CI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7931A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szCs w:val="24"/>
                <w:lang w:eastAsia="zh-CN"/>
              </w:rPr>
              <w:t>up 95%CI</w:t>
            </w:r>
          </w:p>
        </w:tc>
      </w:tr>
      <w:tr w:rsidR="004B2EE9" w14:paraId="67C2366B" w14:textId="77777777">
        <w:trPr>
          <w:trHeight w:val="27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9DB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GSE72094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705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BBA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6C28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0.697</w:t>
            </w:r>
          </w:p>
        </w:tc>
      </w:tr>
      <w:tr w:rsidR="004B2EE9" w14:paraId="6D479708" w14:textId="77777777">
        <w:trPr>
          <w:trHeight w:val="27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A49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GSE30219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79D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1B6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004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0.649</w:t>
            </w:r>
          </w:p>
        </w:tc>
      </w:tr>
      <w:tr w:rsidR="004B2EE9" w14:paraId="5FE78F5B" w14:textId="77777777">
        <w:trPr>
          <w:trHeight w:val="27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9F5A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GSE31210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3041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0547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89C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0.686</w:t>
            </w:r>
          </w:p>
        </w:tc>
      </w:tr>
      <w:tr w:rsidR="004B2EE9" w14:paraId="3DD20816" w14:textId="77777777">
        <w:trPr>
          <w:trHeight w:val="276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388F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TCGA-LUAD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B90E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2C7D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90F0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0.585</w:t>
            </w:r>
          </w:p>
        </w:tc>
      </w:tr>
    </w:tbl>
    <w:p w14:paraId="3D8D02BE" w14:textId="77777777" w:rsidR="004B2EE9" w:rsidRDefault="004B2EE9"/>
    <w:p w14:paraId="65AF0930" w14:textId="77777777" w:rsidR="004B2EE9" w:rsidRDefault="00000000">
      <w:pPr>
        <w:spacing w:before="0" w:after="0"/>
        <w:rPr>
          <w:rFonts w:eastAsia="等线" w:cs="Times New Roman"/>
          <w:color w:val="000000"/>
          <w:sz w:val="22"/>
          <w:lang w:eastAsia="zh-CN"/>
        </w:rPr>
      </w:pPr>
      <w:r>
        <w:rPr>
          <w:b/>
          <w:bCs/>
        </w:rPr>
        <w:t>Table</w:t>
      </w:r>
      <w:r>
        <w:rPr>
          <w:rFonts w:eastAsia="等线" w:cs="Times New Roman"/>
          <w:b/>
          <w:bCs/>
          <w:color w:val="000000"/>
        </w:rPr>
        <w:t xml:space="preserve"> S</w:t>
      </w:r>
      <w:r>
        <w:rPr>
          <w:rFonts w:eastAsia="等线" w:cs="Times New Roman" w:hint="eastAsia"/>
          <w:b/>
          <w:bCs/>
          <w:color w:val="000000"/>
          <w:lang w:eastAsia="zh-CN"/>
        </w:rPr>
        <w:t>6</w:t>
      </w:r>
      <w:r>
        <w:rPr>
          <w:rFonts w:eastAsia="等线" w:cs="Times New Roman"/>
          <w:b/>
          <w:bCs/>
          <w:color w:val="000000"/>
          <w:szCs w:val="24"/>
          <w:lang w:eastAsia="zh-CN"/>
        </w:rPr>
        <w:t xml:space="preserve">. </w:t>
      </w:r>
      <w:r>
        <w:rPr>
          <w:rFonts w:eastAsia="等线" w:cs="Times New Roman"/>
          <w:color w:val="000000"/>
          <w:szCs w:val="24"/>
          <w:lang w:eastAsia="zh-CN"/>
        </w:rPr>
        <w:t>Significantly enriched pathways between the high-risk and low-risk groups.</w:t>
      </w:r>
    </w:p>
    <w:tbl>
      <w:tblPr>
        <w:tblW w:w="11100" w:type="dxa"/>
        <w:tblLook w:val="04A0" w:firstRow="1" w:lastRow="0" w:firstColumn="1" w:lastColumn="0" w:noHBand="0" w:noVBand="1"/>
      </w:tblPr>
      <w:tblGrid>
        <w:gridCol w:w="1060"/>
        <w:gridCol w:w="5320"/>
        <w:gridCol w:w="2016"/>
        <w:gridCol w:w="1460"/>
        <w:gridCol w:w="1380"/>
      </w:tblGrid>
      <w:tr w:rsidR="004B2EE9" w14:paraId="10371243" w14:textId="77777777">
        <w:trPr>
          <w:trHeight w:val="312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0724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ID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D8AC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Description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C9F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EnrichmentScore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1810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NES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05B3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等线" w:cs="Times New Roman"/>
                <w:b/>
                <w:bCs/>
                <w:color w:val="000000"/>
                <w:szCs w:val="24"/>
                <w:lang w:eastAsia="zh-CN"/>
              </w:rPr>
              <w:t>P-value</w:t>
            </w:r>
          </w:p>
        </w:tc>
      </w:tr>
      <w:tr w:rsidR="004B2EE9" w14:paraId="4FC4F8A7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4554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hsa05203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9575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Viral carcinogenesis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B14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-0.397749806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94F2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-1.519622661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75B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0.004201681</w:t>
            </w:r>
          </w:p>
        </w:tc>
      </w:tr>
      <w:tr w:rsidR="004B2EE9" w14:paraId="31995A7B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F79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hsa03010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E67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Ribosome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AE41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-0.424376415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E3B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-1.521459694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4666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0.006396588</w:t>
            </w:r>
          </w:p>
        </w:tc>
      </w:tr>
      <w:tr w:rsidR="004B2EE9" w14:paraId="34787455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EB1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hsa00563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92F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Glycosylphosphatidylinositol (GPI)-anchor biosynthesis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F89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0.606531556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467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1.612949946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721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0.010695187</w:t>
            </w:r>
          </w:p>
        </w:tc>
      </w:tr>
      <w:tr w:rsidR="004B2EE9" w14:paraId="31A61541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3BF8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hsa03060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6EE3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Protein export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E785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0.600531747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AE3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1.582720743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7E6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0.019264448</w:t>
            </w:r>
          </w:p>
        </w:tc>
      </w:tr>
      <w:tr w:rsidR="004B2EE9" w14:paraId="6D36320C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A1E4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hsa04510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58F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Focal adhesion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281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-0.343934453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D9F1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-1.320206081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D75A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0.023206751</w:t>
            </w:r>
          </w:p>
        </w:tc>
      </w:tr>
      <w:tr w:rsidR="004B2EE9" w14:paraId="67B73C63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D5A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hsa00020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3DCC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Citrate cycle (TCA cycle)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DDF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0.5352258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036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1.472200593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A374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0.027573529</w:t>
            </w:r>
          </w:p>
        </w:tc>
      </w:tr>
      <w:tr w:rsidR="004B2EE9" w14:paraId="190C4416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988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hsa04630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4DFB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JAK-STAT signaling pathway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43D0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-0.366211546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7427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-1.350700403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5E418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0.034408602</w:t>
            </w:r>
          </w:p>
        </w:tc>
      </w:tr>
      <w:tr w:rsidR="004B2EE9" w14:paraId="55F8571D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D1E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hsa00592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DFC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alpha-Linolenic acid metabolism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FDB3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-0.572435687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1AF4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-1.525779602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AB7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0.034802784</w:t>
            </w:r>
          </w:p>
        </w:tc>
      </w:tr>
      <w:tr w:rsidR="004B2EE9" w14:paraId="213059F7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CDAD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hsa04950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387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Maturity onset diabetes of the young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2106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0.561318878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4C88F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1.492715827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E692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0.040998217</w:t>
            </w:r>
          </w:p>
        </w:tc>
      </w:tr>
      <w:tr w:rsidR="004B2EE9" w14:paraId="6C21196F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13E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hsa00260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319C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Glycine, serine, and threonine metabolism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8DE3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0.49756281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258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1.432317267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3FFA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0.041742287</w:t>
            </w:r>
          </w:p>
        </w:tc>
      </w:tr>
      <w:tr w:rsidR="004B2EE9" w14:paraId="7178ADB0" w14:textId="77777777">
        <w:trPr>
          <w:trHeight w:val="276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99954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hsa00760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C1BD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Nicotinate and nicotinamide metabolism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49EEE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0.515072394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2078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1.416766315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76B35" w14:textId="77777777" w:rsidR="004B2EE9" w:rsidRDefault="00000000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0.045955882</w:t>
            </w:r>
          </w:p>
        </w:tc>
      </w:tr>
    </w:tbl>
    <w:p w14:paraId="58CDA0C7" w14:textId="77777777" w:rsidR="004B2EE9" w:rsidRDefault="004B2EE9">
      <w:pPr>
        <w:rPr>
          <w:rFonts w:eastAsia="等线" w:cs="Times New Roman"/>
          <w:b/>
          <w:bCs/>
          <w:color w:val="000000"/>
          <w:szCs w:val="24"/>
          <w:lang w:bidi="ar"/>
        </w:rPr>
      </w:pPr>
    </w:p>
    <w:p w14:paraId="639DD951" w14:textId="77777777" w:rsidR="004B2EE9" w:rsidRDefault="00000000">
      <w:pPr>
        <w:rPr>
          <w:rFonts w:eastAsia="等线" w:cs="Times New Roman"/>
          <w:color w:val="000000"/>
          <w:szCs w:val="24"/>
          <w:lang w:bidi="ar"/>
        </w:rPr>
      </w:pPr>
      <w:r>
        <w:rPr>
          <w:rFonts w:eastAsia="等线" w:cs="Times New Roman"/>
          <w:b/>
          <w:bCs/>
          <w:color w:val="000000"/>
          <w:szCs w:val="24"/>
          <w:lang w:bidi="ar"/>
        </w:rPr>
        <w:t xml:space="preserve">Table S7. </w:t>
      </w:r>
      <w:r>
        <w:rPr>
          <w:rFonts w:eastAsia="等线" w:cs="Times New Roman"/>
          <w:color w:val="000000"/>
          <w:szCs w:val="24"/>
          <w:lang w:bidi="ar"/>
        </w:rPr>
        <w:t xml:space="preserve">Five drugs with the connectivity scores in A549 in the CMap analysis. </w:t>
      </w:r>
    </w:p>
    <w:tbl>
      <w:tblPr>
        <w:tblpPr w:leftFromText="180" w:rightFromText="180" w:vertAnchor="text" w:horzAnchor="margin" w:tblpY="269"/>
        <w:tblW w:w="36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5"/>
        <w:gridCol w:w="1982"/>
        <w:gridCol w:w="1982"/>
        <w:gridCol w:w="2553"/>
      </w:tblGrid>
      <w:tr w:rsidR="003051F2" w14:paraId="6F3610FD" w14:textId="77777777" w:rsidTr="003051F2"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D4658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b/>
                <w:bCs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2"/>
                <w:sz w:val="22"/>
                <w:lang w:eastAsia="zh-CN" w:bidi="ar"/>
              </w:rPr>
              <w:t>Drug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5664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2"/>
                <w:sz w:val="22"/>
                <w:lang w:eastAsia="zh-CN" w:bidi="ar"/>
              </w:rPr>
              <w:t>Dose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9F0B8C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color w:val="000000"/>
                <w:kern w:val="2"/>
                <w:sz w:val="22"/>
                <w:lang w:eastAsia="zh-CN" w:bidi="ar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2"/>
                <w:sz w:val="22"/>
                <w:lang w:eastAsia="zh-CN" w:bidi="ar"/>
              </w:rPr>
              <w:t>Time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F62A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2"/>
                <w:sz w:val="22"/>
                <w:lang w:eastAsia="zh-CN" w:bidi="ar"/>
              </w:rPr>
              <w:t>Cell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9048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2"/>
                <w:sz w:val="22"/>
                <w:lang w:eastAsia="zh-CN" w:bidi="ar"/>
              </w:rPr>
              <w:t>Connectivity score</w:t>
            </w:r>
          </w:p>
        </w:tc>
      </w:tr>
      <w:tr w:rsidR="003051F2" w14:paraId="7D9DE51B" w14:textId="77777777" w:rsidTr="003051F2"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6BD6A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Paclitaxel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3698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sz w:val="22"/>
              </w:rPr>
              <w:t>10 uM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429B5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</w:pPr>
            <w:r>
              <w:rPr>
                <w:rFonts w:eastAsia="等线" w:cs="Times New Roman" w:hint="eastAsia"/>
                <w:color w:val="000000"/>
                <w:kern w:val="2"/>
                <w:sz w:val="22"/>
                <w:lang w:eastAsia="zh-CN" w:bidi="ar"/>
              </w:rPr>
              <w:t>2</w:t>
            </w: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4h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B8FC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A549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3FD1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-0.92</w:t>
            </w:r>
          </w:p>
        </w:tc>
      </w:tr>
      <w:tr w:rsidR="003051F2" w14:paraId="7830D652" w14:textId="77777777" w:rsidTr="003051F2">
        <w:tc>
          <w:tcPr>
            <w:tcW w:w="797" w:type="pct"/>
            <w:shd w:val="clear" w:color="auto" w:fill="auto"/>
            <w:noWrap/>
            <w:vAlign w:val="center"/>
          </w:tcPr>
          <w:p w14:paraId="2D6B25C6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Vinorelbine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0294F9EB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sz w:val="22"/>
              </w:rPr>
              <w:t>10 uM</w:t>
            </w:r>
          </w:p>
        </w:tc>
        <w:tc>
          <w:tcPr>
            <w:tcW w:w="1013" w:type="pct"/>
          </w:tcPr>
          <w:p w14:paraId="28446FCF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</w:pPr>
            <w:r>
              <w:rPr>
                <w:rFonts w:eastAsia="等线" w:cs="Times New Roman" w:hint="eastAsia"/>
                <w:color w:val="000000"/>
                <w:kern w:val="2"/>
                <w:sz w:val="22"/>
                <w:lang w:eastAsia="zh-CN" w:bidi="ar"/>
              </w:rPr>
              <w:t>2</w:t>
            </w: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4h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64821DF5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A549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6EC434F7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sz w:val="22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-0.77</w:t>
            </w:r>
          </w:p>
        </w:tc>
      </w:tr>
      <w:tr w:rsidR="003051F2" w14:paraId="22CB51A9" w14:textId="77777777" w:rsidTr="003051F2">
        <w:tc>
          <w:tcPr>
            <w:tcW w:w="797" w:type="pct"/>
            <w:shd w:val="clear" w:color="auto" w:fill="auto"/>
            <w:noWrap/>
            <w:vAlign w:val="center"/>
          </w:tcPr>
          <w:p w14:paraId="049B0BE4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Gefitinib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4B23E64B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sz w:val="22"/>
                <w:lang w:bidi="ar"/>
              </w:rPr>
              <w:t>10 uM</w:t>
            </w:r>
          </w:p>
        </w:tc>
        <w:tc>
          <w:tcPr>
            <w:tcW w:w="1013" w:type="pct"/>
          </w:tcPr>
          <w:p w14:paraId="3B46BB7D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</w:pPr>
            <w:r>
              <w:rPr>
                <w:rFonts w:eastAsia="等线" w:cs="Times New Roman" w:hint="eastAsia"/>
                <w:color w:val="000000"/>
                <w:kern w:val="2"/>
                <w:sz w:val="22"/>
                <w:lang w:eastAsia="zh-CN" w:bidi="ar"/>
              </w:rPr>
              <w:t>2</w:t>
            </w: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4h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239387FF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A549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6DD51674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0.09</w:t>
            </w:r>
          </w:p>
        </w:tc>
      </w:tr>
      <w:tr w:rsidR="003051F2" w14:paraId="7F111FC4" w14:textId="77777777" w:rsidTr="003051F2">
        <w:tc>
          <w:tcPr>
            <w:tcW w:w="797" w:type="pct"/>
            <w:shd w:val="clear" w:color="auto" w:fill="auto"/>
            <w:noWrap/>
            <w:vAlign w:val="center"/>
          </w:tcPr>
          <w:p w14:paraId="6D087B10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Erlotinib</w:t>
            </w: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965F744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sz w:val="22"/>
                <w:lang w:bidi="ar"/>
              </w:rPr>
              <w:t>2.22 uM</w:t>
            </w:r>
          </w:p>
        </w:tc>
        <w:tc>
          <w:tcPr>
            <w:tcW w:w="1013" w:type="pct"/>
          </w:tcPr>
          <w:p w14:paraId="57CBDF9E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</w:pPr>
            <w:r>
              <w:rPr>
                <w:rFonts w:eastAsia="等线" w:cs="Times New Roman" w:hint="eastAsia"/>
                <w:color w:val="000000"/>
                <w:kern w:val="2"/>
                <w:sz w:val="22"/>
                <w:lang w:eastAsia="zh-CN" w:bidi="ar"/>
              </w:rPr>
              <w:t>2</w:t>
            </w: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4h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434E8A3D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A549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 w14:paraId="371A17D5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0.58</w:t>
            </w:r>
          </w:p>
        </w:tc>
      </w:tr>
      <w:tr w:rsidR="003051F2" w14:paraId="79482CC9" w14:textId="77777777" w:rsidTr="003051F2"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FC96CA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Docetaxel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31B580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sz w:val="22"/>
                <w:lang w:bidi="ar"/>
              </w:rPr>
              <w:t>10 uM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0CBB7A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</w:pPr>
            <w:r>
              <w:rPr>
                <w:rFonts w:eastAsia="等线" w:cs="Times New Roman" w:hint="eastAsia"/>
                <w:color w:val="000000"/>
                <w:kern w:val="2"/>
                <w:sz w:val="22"/>
                <w:lang w:eastAsia="zh-CN" w:bidi="ar"/>
              </w:rPr>
              <w:t>2</w:t>
            </w: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4h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811833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A549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8A5768" w14:textId="77777777" w:rsidR="003051F2" w:rsidRDefault="003051F2" w:rsidP="003051F2">
            <w:pPr>
              <w:autoSpaceDE w:val="0"/>
              <w:autoSpaceDN w:val="0"/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color w:val="000000"/>
                <w:sz w:val="22"/>
                <w:lang w:bidi="ar"/>
              </w:rPr>
            </w:pPr>
            <w:r>
              <w:rPr>
                <w:rFonts w:eastAsia="等线" w:cs="Times New Roman"/>
                <w:color w:val="000000"/>
                <w:kern w:val="2"/>
                <w:sz w:val="22"/>
                <w:lang w:eastAsia="zh-CN" w:bidi="ar"/>
              </w:rPr>
              <w:t>0.83</w:t>
            </w:r>
          </w:p>
        </w:tc>
      </w:tr>
    </w:tbl>
    <w:p w14:paraId="39A6EF43" w14:textId="77777777" w:rsidR="004B2EE9" w:rsidRDefault="004B2EE9">
      <w:pPr>
        <w:rPr>
          <w:rFonts w:eastAsia="等线" w:cs="Times New Roman"/>
          <w:color w:val="000000"/>
          <w:szCs w:val="24"/>
          <w:lang w:bidi="ar"/>
        </w:rPr>
      </w:pPr>
    </w:p>
    <w:p w14:paraId="5435BA53" w14:textId="77777777" w:rsidR="004B2EE9" w:rsidRDefault="004B2EE9">
      <w:pPr>
        <w:rPr>
          <w:rFonts w:eastAsia="等线" w:cs="Times New Roman"/>
          <w:color w:val="000000"/>
          <w:szCs w:val="24"/>
          <w:lang w:bidi="ar"/>
        </w:rPr>
      </w:pPr>
    </w:p>
    <w:p w14:paraId="2C39EBF4" w14:textId="77777777" w:rsidR="004B2EE9" w:rsidRDefault="004B2EE9">
      <w:pPr>
        <w:rPr>
          <w:rFonts w:eastAsia="等线" w:cs="Times New Roman"/>
          <w:color w:val="000000"/>
          <w:szCs w:val="24"/>
          <w:lang w:bidi="ar"/>
        </w:rPr>
      </w:pPr>
    </w:p>
    <w:p w14:paraId="451DB566" w14:textId="77777777" w:rsidR="004B2EE9" w:rsidRDefault="004B2EE9">
      <w:pPr>
        <w:rPr>
          <w:rFonts w:eastAsia="等线" w:cs="Times New Roman"/>
          <w:color w:val="000000"/>
          <w:szCs w:val="24"/>
          <w:lang w:bidi="ar"/>
        </w:rPr>
      </w:pPr>
    </w:p>
    <w:sectPr w:rsidR="004B2EE9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887F" w14:textId="77777777" w:rsidR="00DB7CFC" w:rsidRDefault="00DB7CFC">
      <w:pPr>
        <w:spacing w:before="0" w:after="0"/>
      </w:pPr>
      <w:r>
        <w:separator/>
      </w:r>
    </w:p>
  </w:endnote>
  <w:endnote w:type="continuationSeparator" w:id="0">
    <w:p w14:paraId="54B1B7C4" w14:textId="77777777" w:rsidR="00DB7CFC" w:rsidRDefault="00DB7C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AE53" w14:textId="77777777" w:rsidR="004B2EE9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1718" wp14:editId="4CA7ABE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80ED67" w14:textId="77777777" w:rsidR="004B2EE9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91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1A80ED67" w14:textId="77777777" w:rsidR="004B2EE9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01D8" w14:textId="77777777" w:rsidR="004B2EE9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B12B0" wp14:editId="2788CC3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104C5A" w14:textId="77777777" w:rsidR="004B2EE9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B12B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46104C5A" w14:textId="77777777" w:rsidR="004B2EE9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6587" w14:textId="77777777" w:rsidR="00DB7CFC" w:rsidRDefault="00DB7CFC">
      <w:pPr>
        <w:spacing w:before="0" w:after="0"/>
      </w:pPr>
      <w:r>
        <w:separator/>
      </w:r>
    </w:p>
  </w:footnote>
  <w:footnote w:type="continuationSeparator" w:id="0">
    <w:p w14:paraId="1220FE56" w14:textId="77777777" w:rsidR="00DB7CFC" w:rsidRDefault="00DB7C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6169283">
    <w:abstractNumId w:val="0"/>
  </w:num>
  <w:num w:numId="2" w16cid:durableId="160900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5NjgwNTFmZjM1NGNiN2U4NjI1ODY0ZjAxYzMwZGYifQ=="/>
  </w:docVars>
  <w:rsids>
    <w:rsidRoot w:val="00ED20B5"/>
    <w:rsid w:val="0001436A"/>
    <w:rsid w:val="00022EE7"/>
    <w:rsid w:val="00034304"/>
    <w:rsid w:val="00035434"/>
    <w:rsid w:val="00052A14"/>
    <w:rsid w:val="00077D53"/>
    <w:rsid w:val="00082309"/>
    <w:rsid w:val="000E7110"/>
    <w:rsid w:val="00105FD9"/>
    <w:rsid w:val="00117666"/>
    <w:rsid w:val="00133FF9"/>
    <w:rsid w:val="00152B90"/>
    <w:rsid w:val="001549D3"/>
    <w:rsid w:val="00160065"/>
    <w:rsid w:val="00177D84"/>
    <w:rsid w:val="001841D9"/>
    <w:rsid w:val="00186985"/>
    <w:rsid w:val="001968D2"/>
    <w:rsid w:val="002274DB"/>
    <w:rsid w:val="0023162A"/>
    <w:rsid w:val="00267D18"/>
    <w:rsid w:val="00272686"/>
    <w:rsid w:val="00274347"/>
    <w:rsid w:val="002868E2"/>
    <w:rsid w:val="002869C3"/>
    <w:rsid w:val="00286E2B"/>
    <w:rsid w:val="002936E4"/>
    <w:rsid w:val="002B4A57"/>
    <w:rsid w:val="002B69D9"/>
    <w:rsid w:val="002C74CA"/>
    <w:rsid w:val="002D1BA6"/>
    <w:rsid w:val="003051F2"/>
    <w:rsid w:val="003123F4"/>
    <w:rsid w:val="00325FD6"/>
    <w:rsid w:val="003544FB"/>
    <w:rsid w:val="00372368"/>
    <w:rsid w:val="003D2F2D"/>
    <w:rsid w:val="00401590"/>
    <w:rsid w:val="00447801"/>
    <w:rsid w:val="00452E9C"/>
    <w:rsid w:val="0046604C"/>
    <w:rsid w:val="004735C8"/>
    <w:rsid w:val="0047603D"/>
    <w:rsid w:val="004947A6"/>
    <w:rsid w:val="004961FF"/>
    <w:rsid w:val="00497D81"/>
    <w:rsid w:val="004B2EE9"/>
    <w:rsid w:val="004D6486"/>
    <w:rsid w:val="0051654A"/>
    <w:rsid w:val="00517A89"/>
    <w:rsid w:val="005250F2"/>
    <w:rsid w:val="00537F77"/>
    <w:rsid w:val="0059049A"/>
    <w:rsid w:val="00593EEA"/>
    <w:rsid w:val="005A4BCF"/>
    <w:rsid w:val="005A5EEE"/>
    <w:rsid w:val="005B0C6F"/>
    <w:rsid w:val="005E4B83"/>
    <w:rsid w:val="006375C7"/>
    <w:rsid w:val="006379A3"/>
    <w:rsid w:val="00654E8F"/>
    <w:rsid w:val="00660D05"/>
    <w:rsid w:val="00677F92"/>
    <w:rsid w:val="006820B1"/>
    <w:rsid w:val="00682296"/>
    <w:rsid w:val="006B7D14"/>
    <w:rsid w:val="006E23C0"/>
    <w:rsid w:val="00701727"/>
    <w:rsid w:val="0070566C"/>
    <w:rsid w:val="00714C50"/>
    <w:rsid w:val="00725A7D"/>
    <w:rsid w:val="007501BE"/>
    <w:rsid w:val="00790BB3"/>
    <w:rsid w:val="007C206C"/>
    <w:rsid w:val="008172E2"/>
    <w:rsid w:val="00817DD6"/>
    <w:rsid w:val="0083759F"/>
    <w:rsid w:val="00846FA1"/>
    <w:rsid w:val="00885156"/>
    <w:rsid w:val="008B0C9D"/>
    <w:rsid w:val="008B208C"/>
    <w:rsid w:val="008C2880"/>
    <w:rsid w:val="008F775B"/>
    <w:rsid w:val="009151AA"/>
    <w:rsid w:val="00931CB8"/>
    <w:rsid w:val="0093429D"/>
    <w:rsid w:val="00943573"/>
    <w:rsid w:val="00964134"/>
    <w:rsid w:val="00970F7D"/>
    <w:rsid w:val="00976E45"/>
    <w:rsid w:val="00994A3D"/>
    <w:rsid w:val="009A3A5D"/>
    <w:rsid w:val="009C2B12"/>
    <w:rsid w:val="00A174D9"/>
    <w:rsid w:val="00AA4D24"/>
    <w:rsid w:val="00AB2862"/>
    <w:rsid w:val="00AB6715"/>
    <w:rsid w:val="00B1671E"/>
    <w:rsid w:val="00B2018B"/>
    <w:rsid w:val="00B25EB8"/>
    <w:rsid w:val="00B2737F"/>
    <w:rsid w:val="00B37F4D"/>
    <w:rsid w:val="00B74581"/>
    <w:rsid w:val="00C52A7B"/>
    <w:rsid w:val="00C56BAF"/>
    <w:rsid w:val="00C679AA"/>
    <w:rsid w:val="00C75972"/>
    <w:rsid w:val="00CD066B"/>
    <w:rsid w:val="00CE4FEE"/>
    <w:rsid w:val="00D060CF"/>
    <w:rsid w:val="00D22761"/>
    <w:rsid w:val="00D33A9B"/>
    <w:rsid w:val="00D45AEF"/>
    <w:rsid w:val="00D7607F"/>
    <w:rsid w:val="00D77526"/>
    <w:rsid w:val="00DA02D2"/>
    <w:rsid w:val="00DB1EE1"/>
    <w:rsid w:val="00DB59C3"/>
    <w:rsid w:val="00DB7CFC"/>
    <w:rsid w:val="00DC259A"/>
    <w:rsid w:val="00DC30AB"/>
    <w:rsid w:val="00DD1DA1"/>
    <w:rsid w:val="00DE23E8"/>
    <w:rsid w:val="00DE6C57"/>
    <w:rsid w:val="00E02848"/>
    <w:rsid w:val="00E52377"/>
    <w:rsid w:val="00E537AD"/>
    <w:rsid w:val="00E62D35"/>
    <w:rsid w:val="00E64E17"/>
    <w:rsid w:val="00E866C9"/>
    <w:rsid w:val="00EA3D3C"/>
    <w:rsid w:val="00EC090A"/>
    <w:rsid w:val="00ED20B5"/>
    <w:rsid w:val="00F01F86"/>
    <w:rsid w:val="00F41BBE"/>
    <w:rsid w:val="00F46900"/>
    <w:rsid w:val="00F61D89"/>
    <w:rsid w:val="00FE315E"/>
    <w:rsid w:val="00FF4125"/>
    <w:rsid w:val="00FF75CA"/>
    <w:rsid w:val="12853E80"/>
    <w:rsid w:val="3D1B793E"/>
    <w:rsid w:val="3F043BEA"/>
    <w:rsid w:val="411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4A52"/>
  <w15:docId w15:val="{FF0F4A7C-2C5D-4F52-A0BF-20BD64B7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table" w:customStyle="1" w:styleId="15">
    <w:name w:val="网格型1"/>
    <w:basedOn w:val="a2"/>
    <w:uiPriority w:val="3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70</TotalTime>
  <Pages>5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1257168493@qq.com</cp:lastModifiedBy>
  <cp:revision>51</cp:revision>
  <cp:lastPrinted>2013-10-03T12:51:00Z</cp:lastPrinted>
  <dcterms:created xsi:type="dcterms:W3CDTF">2018-11-23T08:58:00Z</dcterms:created>
  <dcterms:modified xsi:type="dcterms:W3CDTF">2023-05-10T12:53:00Z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b22218700151ab76d3d870292f3a4f45c48c685d6c05ae764fc5cb2af54ddd29</vt:lpwstr>
  </property>
  <property fmtid="{D5CDD505-2E9C-101B-9397-08002B2CF9AE}" pid="3" name="KSOProductBuildVer">
    <vt:lpwstr>2052-11.1.0.14036</vt:lpwstr>
  </property>
  <property fmtid="{D5CDD505-2E9C-101B-9397-08002B2CF9AE}" pid="4" name="ICV">
    <vt:lpwstr>8237F990047F4A4D85964B36261D3F34</vt:lpwstr>
  </property>
</Properties>
</file>