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AB616" w14:textId="77777777" w:rsidR="00E735F1" w:rsidRPr="00B36B97" w:rsidRDefault="00E735F1" w:rsidP="00E735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bookmarkStart w:id="0" w:name="_GoBack"/>
      <w:bookmarkEnd w:id="0"/>
      <w:r w:rsidRPr="00B36B97">
        <w:rPr>
          <w:rFonts w:ascii="Times New Roman" w:hAnsi="Times New Roman" w:cs="Times New Roman"/>
          <w:b/>
          <w:sz w:val="28"/>
          <w:szCs w:val="24"/>
          <w:lang w:val="en-US"/>
        </w:rPr>
        <w:t xml:space="preserve">Biology and ecology of the lionfish </w:t>
      </w:r>
      <w:r w:rsidRPr="00B36B97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Pterois volitans / Pterois miles </w:t>
      </w:r>
      <w:r w:rsidRPr="00B36B97">
        <w:rPr>
          <w:rFonts w:ascii="Times New Roman" w:hAnsi="Times New Roman" w:cs="Times New Roman"/>
          <w:b/>
          <w:sz w:val="28"/>
          <w:szCs w:val="24"/>
          <w:lang w:val="en-US"/>
        </w:rPr>
        <w:t>as invasive alien species: a review</w:t>
      </w:r>
    </w:p>
    <w:p w14:paraId="7658670B" w14:textId="77777777" w:rsidR="00E735F1" w:rsidRPr="00B36B97" w:rsidRDefault="00E735F1" w:rsidP="00E735F1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97">
        <w:rPr>
          <w:rFonts w:ascii="Times New Roman" w:hAnsi="Times New Roman" w:cs="Times New Roman"/>
          <w:bCs/>
          <w:sz w:val="24"/>
          <w:szCs w:val="24"/>
        </w:rPr>
        <w:t>Laura del Río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36B97">
        <w:rPr>
          <w:rFonts w:ascii="Times New Roman" w:hAnsi="Times New Roman" w:cs="Times New Roman"/>
          <w:bCs/>
          <w:sz w:val="24"/>
          <w:szCs w:val="24"/>
        </w:rPr>
        <w:t>, Zenaida Navarro-Martínez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B36B97">
        <w:rPr>
          <w:rFonts w:ascii="Times New Roman" w:hAnsi="Times New Roman" w:cs="Times New Roman"/>
          <w:bCs/>
          <w:sz w:val="24"/>
          <w:szCs w:val="24"/>
        </w:rPr>
        <w:t>, Dorka Cobián Rojas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36B97">
        <w:rPr>
          <w:rFonts w:ascii="Times New Roman" w:hAnsi="Times New Roman" w:cs="Times New Roman"/>
          <w:bCs/>
          <w:sz w:val="24"/>
          <w:szCs w:val="24"/>
        </w:rPr>
        <w:t>, Pedro Chevalier Monteagudo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B36B97">
        <w:rPr>
          <w:rFonts w:ascii="Times New Roman" w:hAnsi="Times New Roman" w:cs="Times New Roman"/>
          <w:bCs/>
          <w:sz w:val="24"/>
          <w:szCs w:val="24"/>
        </w:rPr>
        <w:t>, Jorge Angulo-Valdes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B36B97">
        <w:rPr>
          <w:rFonts w:ascii="Times New Roman" w:hAnsi="Times New Roman" w:cs="Times New Roman"/>
          <w:bCs/>
          <w:sz w:val="24"/>
          <w:szCs w:val="24"/>
        </w:rPr>
        <w:t>, Leandro Rodríguez-Viera</w:t>
      </w:r>
      <w:r w:rsidRPr="00B36B97">
        <w:rPr>
          <w:rFonts w:ascii="Times New Roman" w:hAnsi="Times New Roman" w:cs="Times New Roman"/>
          <w:bCs/>
          <w:sz w:val="24"/>
          <w:szCs w:val="24"/>
          <w:vertAlign w:val="superscript"/>
        </w:rPr>
        <w:t>1*</w:t>
      </w:r>
    </w:p>
    <w:p w14:paraId="38761758" w14:textId="77777777" w:rsidR="00E735F1" w:rsidRPr="00B36B97" w:rsidRDefault="00E735F1" w:rsidP="00E735F1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>Center for Marine Research, University of Havana, 16 street No. 114 between 1st and 3rd, Miramar, Playa, CP 11300, Havana, Cuba</w:t>
      </w:r>
    </w:p>
    <w:p w14:paraId="256A58AC" w14:textId="77777777" w:rsidR="00E735F1" w:rsidRPr="00B36B97" w:rsidRDefault="00E735F1" w:rsidP="00E735F1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 xml:space="preserve">Guanahacabibes National Park, Center of Research and Evironmental Services, Ministry of Science, Technology and Environment, La Bajada, 22100 Pinar del Río, Cuba. </w:t>
      </w:r>
    </w:p>
    <w:p w14:paraId="7BD87FD2" w14:textId="77777777" w:rsidR="00E735F1" w:rsidRPr="00B36B97" w:rsidRDefault="00E735F1" w:rsidP="00E735F1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>National Aquarium of Cuba. Calle 1</w:t>
      </w:r>
      <w:r w:rsidRPr="00B36B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 xml:space="preserve"> street No. 6002, 11300 Playa, Havana, Cuba. </w:t>
      </w:r>
    </w:p>
    <w:p w14:paraId="3BAC841D" w14:textId="77777777" w:rsidR="00E735F1" w:rsidRPr="00B36B97" w:rsidRDefault="00E735F1" w:rsidP="00E735F1">
      <w:pPr>
        <w:pStyle w:val="Sinespaciad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Pr="00B36B97">
        <w:rPr>
          <w:rFonts w:ascii="Times New Roman" w:hAnsi="Times New Roman" w:cs="Times New Roman"/>
          <w:sz w:val="24"/>
          <w:szCs w:val="24"/>
          <w:lang w:val="en-GB"/>
        </w:rPr>
        <w:t>Eckerd College, 4200 54th Ave S, St. Petersburg, FL 33711, USA</w:t>
      </w:r>
    </w:p>
    <w:p w14:paraId="22DDABC8" w14:textId="4A3FF057" w:rsidR="002D3D3A" w:rsidRPr="00B36B97" w:rsidRDefault="00E735F1" w:rsidP="00E735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  <w:sectPr w:rsidR="002D3D3A" w:rsidRPr="00B36B97" w:rsidSect="006E06F0">
          <w:footerReference w:type="default" r:id="rId9"/>
          <w:pgSz w:w="11906" w:h="16838"/>
          <w:pgMar w:top="1417" w:right="1701" w:bottom="1417" w:left="1701" w:header="708" w:footer="708" w:gutter="0"/>
          <w:lnNumType w:countBy="1" w:restart="continuous"/>
          <w:cols w:space="708"/>
          <w:docGrid w:linePitch="360"/>
        </w:sectPr>
      </w:pPr>
      <w:r w:rsidRPr="00B36B97">
        <w:rPr>
          <w:rFonts w:ascii="Times New Roman" w:hAnsi="Times New Roman" w:cs="Times New Roman"/>
          <w:sz w:val="24"/>
          <w:szCs w:val="20"/>
          <w:lang w:val="en-US"/>
        </w:rPr>
        <w:t>* Corresponding author (leokarma@gmail.com)</w:t>
      </w:r>
      <w:r w:rsidRPr="00B36B97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A115798" w14:textId="07C3CCBC" w:rsidR="000268FD" w:rsidRPr="00B36B97" w:rsidRDefault="00BB1EA1" w:rsidP="006755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</w:t>
      </w:r>
      <w:r w:rsidR="00073FB5" w:rsidRPr="00B36B9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4CAB" w:rsidRPr="00B36B97">
        <w:rPr>
          <w:rFonts w:ascii="Times New Roman" w:hAnsi="Times New Roman" w:cs="Times New Roman"/>
          <w:sz w:val="24"/>
          <w:szCs w:val="24"/>
          <w:lang w:val="en-US"/>
        </w:rPr>
        <w:t>Most relevant l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>ionfish studies along the invasive and natural distribution range</w:t>
      </w:r>
      <w:r w:rsidR="00967E5D" w:rsidRPr="00B36B97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3E4CAB" w:rsidRPr="00B36B97">
        <w:rPr>
          <w:rFonts w:ascii="Times New Roman" w:hAnsi="Times New Roman" w:cs="Times New Roman"/>
          <w:sz w:val="24"/>
          <w:szCs w:val="24"/>
          <w:lang w:val="en-US"/>
        </w:rPr>
        <w:t xml:space="preserve"> which were used along this review</w:t>
      </w:r>
      <w:r w:rsidRPr="00B36B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4CAB" w:rsidRPr="00B36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551"/>
        <w:gridCol w:w="2410"/>
        <w:gridCol w:w="2410"/>
      </w:tblGrid>
      <w:tr w:rsidR="00436178" w:rsidRPr="00B36B97" w14:paraId="67B7C215" w14:textId="77777777" w:rsidTr="006F4203">
        <w:trPr>
          <w:trHeight w:val="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849748" w14:textId="445D4158" w:rsidR="00436178" w:rsidRPr="00B36B97" w:rsidRDefault="0043617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  <w:t>Topic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AC7C3A" w14:textId="77777777" w:rsidR="00436178" w:rsidRPr="00B36B97" w:rsidRDefault="0043617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  <w:t>Country/Region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26817A" w14:textId="77777777" w:rsidR="00436178" w:rsidRPr="00B36B97" w:rsidRDefault="0043617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  <w:t>Locality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21F4E" w14:textId="43E00E0B" w:rsidR="00436178" w:rsidRPr="00B36B97" w:rsidRDefault="00D0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Reference</w:t>
            </w:r>
          </w:p>
        </w:tc>
      </w:tr>
      <w:tr w:rsidR="003F34C3" w:rsidRPr="00B36B97" w14:paraId="34453EB7" w14:textId="77777777" w:rsidTr="006F4203">
        <w:trPr>
          <w:trHeight w:val="2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38EAEE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Diet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D95E84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0BAC12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4F844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3F34C3" w:rsidRPr="00B36B97" w14:paraId="29081FE1" w14:textId="77777777" w:rsidTr="006F4203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5F83CF9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hideMark/>
          </w:tcPr>
          <w:p w14:paraId="5EC0B1C5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2170B673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C14121F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Morris and Akins (2009)</w:t>
            </w:r>
          </w:p>
        </w:tc>
      </w:tr>
      <w:tr w:rsidR="003F34C3" w:rsidRPr="00B36B97" w14:paraId="0A37C501" w14:textId="77777777" w:rsidTr="006F4203">
        <w:trPr>
          <w:trHeight w:val="27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37BBD4E1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3BE282EC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United States</w:t>
            </w:r>
          </w:p>
        </w:tc>
        <w:tc>
          <w:tcPr>
            <w:tcW w:w="2410" w:type="dxa"/>
            <w:noWrap/>
            <w:hideMark/>
          </w:tcPr>
          <w:p w14:paraId="7BC560A3" w14:textId="4E982D01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North Carolina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5E19434D" w14:textId="62D336FF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Muñoz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(2011)</w:t>
            </w:r>
          </w:p>
        </w:tc>
      </w:tr>
      <w:tr w:rsidR="003F34C3" w:rsidRPr="00B36B97" w14:paraId="7FD832D7" w14:textId="77777777" w:rsidTr="006F4203">
        <w:trPr>
          <w:trHeight w:val="2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188D7DA6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071A0B52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Bonaire</w:t>
            </w:r>
          </w:p>
        </w:tc>
        <w:tc>
          <w:tcPr>
            <w:tcW w:w="2410" w:type="dxa"/>
            <w:noWrap/>
            <w:hideMark/>
          </w:tcPr>
          <w:p w14:paraId="0D30FD3E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2B6FECB2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McCleery (2011)</w:t>
            </w:r>
          </w:p>
        </w:tc>
      </w:tr>
      <w:tr w:rsidR="003F34C3" w:rsidRPr="00B36B97" w14:paraId="65E5F343" w14:textId="77777777" w:rsidTr="006F4203">
        <w:trPr>
          <w:trHeight w:val="845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24235B91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B7C8E15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  <w:hideMark/>
          </w:tcPr>
          <w:p w14:paraId="7463B59C" w14:textId="0EC68DC2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Cozumel, Xcalak, Mahahual, Banco Chinchorro, Puerto Morelos, Playa del Carmen, Isla Mujeres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303B16C9" w14:textId="0E3AF818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Valdez-Moreno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(2012)</w:t>
            </w:r>
          </w:p>
        </w:tc>
      </w:tr>
      <w:tr w:rsidR="003F34C3" w:rsidRPr="00B36B97" w14:paraId="26E6832B" w14:textId="77777777" w:rsidTr="006F4203">
        <w:trPr>
          <w:trHeight w:val="28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41B22DC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6B93F0D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Gulf of Mexico</w:t>
            </w:r>
          </w:p>
        </w:tc>
        <w:tc>
          <w:tcPr>
            <w:tcW w:w="2410" w:type="dxa"/>
            <w:noWrap/>
            <w:hideMark/>
          </w:tcPr>
          <w:p w14:paraId="258BE42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02BCFA9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Dahl and Patterson III (2014)</w:t>
            </w:r>
          </w:p>
        </w:tc>
      </w:tr>
      <w:tr w:rsidR="003F34C3" w:rsidRPr="00B36B97" w14:paraId="51124711" w14:textId="77777777" w:rsidTr="006F4203">
        <w:trPr>
          <w:trHeight w:val="561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7442DC51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440AFC26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  <w:hideMark/>
          </w:tcPr>
          <w:p w14:paraId="747806D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Quintana Roo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3BAC0395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Villaseñor-Derbez and Herrera-Pérez (2014)</w:t>
            </w:r>
          </w:p>
        </w:tc>
      </w:tr>
      <w:tr w:rsidR="00512A4A" w:rsidRPr="00B36B97" w14:paraId="310A593D" w14:textId="77777777" w:rsidTr="006F4203">
        <w:trPr>
          <w:trHeight w:val="561"/>
        </w:trPr>
        <w:tc>
          <w:tcPr>
            <w:tcW w:w="1526" w:type="dxa"/>
            <w:tcBorders>
              <w:left w:val="single" w:sz="4" w:space="0" w:color="auto"/>
            </w:tcBorders>
          </w:tcPr>
          <w:p w14:paraId="2BF22C77" w14:textId="77777777" w:rsidR="00512A4A" w:rsidRPr="00B36B97" w:rsidRDefault="00512A4A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4A0AD65" w14:textId="77CA1C90" w:rsidR="00512A4A" w:rsidRPr="00B36B97" w:rsidRDefault="00512A4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2328BF34" w14:textId="1FB6B92D" w:rsidR="00512A4A" w:rsidRPr="00B36B97" w:rsidRDefault="00512A4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Holguín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D3BFA9D" w14:textId="3FEAA660" w:rsidR="00512A4A" w:rsidRPr="00B36B97" w:rsidRDefault="00512A4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Vega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(2015)</w:t>
            </w:r>
          </w:p>
        </w:tc>
      </w:tr>
      <w:tr w:rsidR="003F34C3" w:rsidRPr="00B36B97" w14:paraId="19AB3FFB" w14:textId="77777777" w:rsidTr="006F4203">
        <w:trPr>
          <w:trHeight w:val="561"/>
        </w:trPr>
        <w:tc>
          <w:tcPr>
            <w:tcW w:w="1526" w:type="dxa"/>
            <w:tcBorders>
              <w:left w:val="single" w:sz="4" w:space="0" w:color="auto"/>
            </w:tcBorders>
          </w:tcPr>
          <w:p w14:paraId="453D2C25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6D36088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062B1A20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Guanahacabibes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E95F380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Cobián-Rojas </w:t>
            </w:r>
            <w:r w:rsidRPr="00B36B97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 (2016)</w:t>
            </w:r>
          </w:p>
        </w:tc>
      </w:tr>
      <w:tr w:rsidR="00C908E1" w:rsidRPr="00B36B97" w14:paraId="7C4F80A3" w14:textId="77777777" w:rsidTr="006F4203">
        <w:trPr>
          <w:trHeight w:val="561"/>
        </w:trPr>
        <w:tc>
          <w:tcPr>
            <w:tcW w:w="1526" w:type="dxa"/>
            <w:tcBorders>
              <w:left w:val="single" w:sz="4" w:space="0" w:color="auto"/>
            </w:tcBorders>
          </w:tcPr>
          <w:p w14:paraId="55E38C56" w14:textId="77777777" w:rsidR="00C908E1" w:rsidRPr="00B36B97" w:rsidRDefault="00C908E1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158BA4C6" w14:textId="249DEA53" w:rsidR="00C908E1" w:rsidRPr="00B36B97" w:rsidRDefault="00C908E1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</w:tcPr>
          <w:p w14:paraId="293CF821" w14:textId="59333E47" w:rsidR="00C908E1" w:rsidRPr="00B36B97" w:rsidRDefault="00C908E1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Mexican Caribbean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307C64F" w14:textId="1DE9189D" w:rsidR="00C908E1" w:rsidRPr="00B36B97" w:rsidRDefault="00C908E1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Arredondo-Chávez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(2016)</w:t>
            </w:r>
          </w:p>
        </w:tc>
      </w:tr>
      <w:tr w:rsidR="003F34C3" w:rsidRPr="00B36B97" w14:paraId="5A99A3B1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59C248CA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  <w:p w14:paraId="0D6F479A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011A86BD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  <w:hideMark/>
          </w:tcPr>
          <w:p w14:paraId="71AF9F14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Guanahacabibes, La Habana, Cayo Las Brujas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7976B8B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Pantoja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(2017)</w:t>
            </w:r>
          </w:p>
        </w:tc>
      </w:tr>
      <w:tr w:rsidR="003F34C3" w:rsidRPr="00B36B97" w14:paraId="55E9D975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142F9847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0F1A633" w14:textId="75CB93CE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Northern Gulf of Mexico</w:t>
            </w:r>
          </w:p>
        </w:tc>
        <w:tc>
          <w:tcPr>
            <w:tcW w:w="2410" w:type="dxa"/>
            <w:noWrap/>
          </w:tcPr>
          <w:p w14:paraId="5181B42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7E98D97" w14:textId="1546E4C1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Dahl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2017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)</w:t>
            </w:r>
          </w:p>
        </w:tc>
      </w:tr>
      <w:tr w:rsidR="003F34C3" w:rsidRPr="00B36B97" w14:paraId="0ACA2BB4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53299B56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E390A81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Bermuda </w:t>
            </w:r>
          </w:p>
        </w:tc>
        <w:tc>
          <w:tcPr>
            <w:tcW w:w="2410" w:type="dxa"/>
            <w:noWrap/>
            <w:hideMark/>
          </w:tcPr>
          <w:p w14:paraId="6D54F604" w14:textId="2E38085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F6EDABB" w14:textId="73D07A40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Peake 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="00423658"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 xml:space="preserve"> 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2018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)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</w:t>
            </w:r>
          </w:p>
        </w:tc>
      </w:tr>
      <w:tr w:rsidR="0061479F" w:rsidRPr="00B36B97" w14:paraId="5122B8C0" w14:textId="77777777" w:rsidTr="000268FD">
        <w:trPr>
          <w:trHeight w:val="272"/>
        </w:trPr>
        <w:tc>
          <w:tcPr>
            <w:tcW w:w="1526" w:type="dxa"/>
            <w:tcBorders>
              <w:left w:val="single" w:sz="4" w:space="0" w:color="auto"/>
            </w:tcBorders>
          </w:tcPr>
          <w:p w14:paraId="1443D889" w14:textId="77777777" w:rsidR="0061479F" w:rsidRPr="00B36B97" w:rsidRDefault="0061479F" w:rsidP="0002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9D6C6CE" w14:textId="77777777" w:rsidR="0061479F" w:rsidRPr="00B36B97" w:rsidRDefault="0061479F" w:rsidP="0002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United States</w:t>
            </w:r>
          </w:p>
        </w:tc>
        <w:tc>
          <w:tcPr>
            <w:tcW w:w="2410" w:type="dxa"/>
            <w:noWrap/>
          </w:tcPr>
          <w:p w14:paraId="0F9587CF" w14:textId="77777777" w:rsidR="0061479F" w:rsidRPr="00B36B97" w:rsidRDefault="0061479F" w:rsidP="0002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Biscayne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687C1CC" w14:textId="77777777" w:rsidR="0061479F" w:rsidRPr="00B36B97" w:rsidRDefault="0061479F" w:rsidP="0002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Sancho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(2018)</w:t>
            </w:r>
          </w:p>
        </w:tc>
      </w:tr>
      <w:tr w:rsidR="005C6C6D" w:rsidRPr="00B36B97" w14:paraId="2BC0EC4B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1DDA7E18" w14:textId="77777777" w:rsidR="005C6C6D" w:rsidRPr="00B36B97" w:rsidRDefault="005C6C6D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62242021" w14:textId="09296CB6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Bermuda</w:t>
            </w:r>
          </w:p>
        </w:tc>
        <w:tc>
          <w:tcPr>
            <w:tcW w:w="2410" w:type="dxa"/>
            <w:noWrap/>
          </w:tcPr>
          <w:p w14:paraId="1EF181C9" w14:textId="77777777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20CAFCC" w14:textId="153C2A6E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Eddy (2019)</w:t>
            </w:r>
          </w:p>
        </w:tc>
      </w:tr>
      <w:tr w:rsidR="005C6C6D" w:rsidRPr="00B36B97" w14:paraId="593A228A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6C33F1E3" w14:textId="77777777" w:rsidR="005C6C6D" w:rsidRPr="00B36B97" w:rsidRDefault="005C6C6D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1FD38CCD" w14:textId="40348D29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Bermuda</w:t>
            </w:r>
          </w:p>
        </w:tc>
        <w:tc>
          <w:tcPr>
            <w:tcW w:w="2410" w:type="dxa"/>
            <w:noWrap/>
          </w:tcPr>
          <w:p w14:paraId="11CD475A" w14:textId="77777777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0B3707FD" w14:textId="3B183782" w:rsidR="005C6C6D" w:rsidRPr="00B36B97" w:rsidRDefault="005C6C6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Eddy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(2020)</w:t>
            </w:r>
          </w:p>
        </w:tc>
      </w:tr>
      <w:tr w:rsidR="003F34C3" w:rsidRPr="00B36B97" w14:paraId="022B391C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3CBF3BBE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F63CC48" w14:textId="75410DB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Curaçao</w:t>
            </w:r>
          </w:p>
        </w:tc>
        <w:tc>
          <w:tcPr>
            <w:tcW w:w="2410" w:type="dxa"/>
            <w:noWrap/>
          </w:tcPr>
          <w:p w14:paraId="02A09AFC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6666B32" w14:textId="2A28C834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Ritger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2020</w:t>
            </w:r>
            <w:r w:rsidR="00A130B3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)</w:t>
            </w:r>
          </w:p>
        </w:tc>
      </w:tr>
      <w:tr w:rsidR="003F34C3" w:rsidRPr="00B36B97" w14:paraId="7AE7164E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08FB3DEF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noWrap/>
          </w:tcPr>
          <w:p w14:paraId="2983AD60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Mexico </w:t>
            </w:r>
          </w:p>
        </w:tc>
        <w:tc>
          <w:tcPr>
            <w:tcW w:w="2410" w:type="dxa"/>
            <w:noWrap/>
          </w:tcPr>
          <w:p w14:paraId="3B9F1484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Veracruz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0E2E138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Aguilar-Medrano and Vega-Cendejas (2020)</w:t>
            </w:r>
          </w:p>
        </w:tc>
      </w:tr>
      <w:tr w:rsidR="003F34C3" w:rsidRPr="00B36B97" w14:paraId="3154AA36" w14:textId="77777777" w:rsidTr="00C30D38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573A77BF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7910CF6C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</w:tcPr>
          <w:p w14:paraId="14F257CD" w14:textId="77777777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Cozumel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01F06CD" w14:textId="34E34DC9" w:rsidR="003F34C3" w:rsidRPr="00B36B97" w:rsidRDefault="003F34C3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Bogdanoff </w:t>
            </w:r>
            <w:r w:rsidRPr="00B36B97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. </w:t>
            </w:r>
            <w:r w:rsidR="009655D6"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(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2020a</w:t>
            </w:r>
            <w:r w:rsidR="009655D6"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)</w:t>
            </w:r>
          </w:p>
        </w:tc>
      </w:tr>
      <w:tr w:rsidR="00B02148" w:rsidRPr="00B36B97" w14:paraId="48C22FD9" w14:textId="77777777" w:rsidTr="00C30D38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27758DE6" w14:textId="77777777" w:rsidR="00B02148" w:rsidRPr="00B36B97" w:rsidRDefault="00B02148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63D181A0" w14:textId="0C34553D" w:rsidR="00B02148" w:rsidRPr="00B36B97" w:rsidRDefault="00B02148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United States</w:t>
            </w:r>
          </w:p>
        </w:tc>
        <w:tc>
          <w:tcPr>
            <w:tcW w:w="2410" w:type="dxa"/>
            <w:noWrap/>
          </w:tcPr>
          <w:p w14:paraId="7766C57E" w14:textId="4EB6AC1F" w:rsidR="00B02148" w:rsidRPr="00B36B97" w:rsidRDefault="00B02148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Western Florida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CB361F8" w14:textId="50F60C7C" w:rsidR="00B02148" w:rsidRPr="00B36B97" w:rsidRDefault="00B02148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Santamaria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(2020)</w:t>
            </w:r>
          </w:p>
        </w:tc>
      </w:tr>
      <w:tr w:rsidR="003F34C3" w:rsidRPr="00B36B97" w14:paraId="2E01627F" w14:textId="77777777" w:rsidTr="00C30D38">
        <w:trPr>
          <w:trHeight w:val="172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BE695F1" w14:textId="4F5DD434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Behavior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8131158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14:paraId="0E8D522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5A5A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3F34C3" w:rsidRPr="00B36B97" w14:paraId="334BFA31" w14:textId="77777777" w:rsidTr="006F4203"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62C5FA8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hideMark/>
          </w:tcPr>
          <w:p w14:paraId="6F5E6860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13D71B7F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Eilat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E468AE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Fishelson (1997)</w:t>
            </w:r>
          </w:p>
        </w:tc>
      </w:tr>
      <w:tr w:rsidR="003F34C3" w:rsidRPr="00B36B97" w14:paraId="1D3A2233" w14:textId="77777777" w:rsidTr="006F4203">
        <w:trPr>
          <w:trHeight w:val="2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04C9F2B6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5270D97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  <w:hideMark/>
          </w:tcPr>
          <w:p w14:paraId="4E54015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New Providence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07C49FF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Coté and Maljkovic (2010)</w:t>
            </w:r>
          </w:p>
        </w:tc>
      </w:tr>
      <w:tr w:rsidR="003F34C3" w:rsidRPr="00B36B97" w14:paraId="35ECF850" w14:textId="77777777" w:rsidTr="006F4203">
        <w:trPr>
          <w:trHeight w:val="267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5A3EB2FA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3265005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  <w:hideMark/>
          </w:tcPr>
          <w:p w14:paraId="67CB6D3C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Eleuthera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022A9042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Green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(2011)</w:t>
            </w:r>
          </w:p>
        </w:tc>
      </w:tr>
      <w:tr w:rsidR="003F34C3" w:rsidRPr="00B36B97" w14:paraId="1EE46799" w14:textId="77777777" w:rsidTr="006F4203">
        <w:trPr>
          <w:trHeight w:val="270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5EFEE1B7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326135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Philippines,Guam and Cayman Islands</w:t>
            </w:r>
          </w:p>
        </w:tc>
        <w:tc>
          <w:tcPr>
            <w:tcW w:w="2410" w:type="dxa"/>
            <w:noWrap/>
            <w:hideMark/>
          </w:tcPr>
          <w:p w14:paraId="16C156C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122B36DD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Cure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(2012)</w:t>
            </w:r>
          </w:p>
        </w:tc>
      </w:tr>
      <w:tr w:rsidR="003F34C3" w:rsidRPr="00B36B97" w14:paraId="5EED0399" w14:textId="77777777" w:rsidTr="007B41B5">
        <w:trPr>
          <w:trHeight w:val="260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3B670B9C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B352DE5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  <w:hideMark/>
          </w:tcPr>
          <w:p w14:paraId="422E9C4F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Lee Stocking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112F4EC1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Albins and Lyons (2012)</w:t>
            </w:r>
          </w:p>
        </w:tc>
      </w:tr>
      <w:tr w:rsidR="003F34C3" w:rsidRPr="00B36B97" w14:paraId="172D25DD" w14:textId="77777777" w:rsidTr="007B41B5">
        <w:trPr>
          <w:trHeight w:val="260"/>
        </w:trPr>
        <w:tc>
          <w:tcPr>
            <w:tcW w:w="1526" w:type="dxa"/>
            <w:tcBorders>
              <w:left w:val="single" w:sz="4" w:space="0" w:color="auto"/>
            </w:tcBorders>
          </w:tcPr>
          <w:p w14:paraId="714FF8D3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2409B0F0" w14:textId="51D9E095" w:rsidR="003F34C3" w:rsidRPr="00B36B97" w:rsidRDefault="003F34C3" w:rsidP="008D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Bahamas</w:t>
            </w:r>
          </w:p>
        </w:tc>
        <w:tc>
          <w:tcPr>
            <w:tcW w:w="2410" w:type="dxa"/>
            <w:noWrap/>
          </w:tcPr>
          <w:p w14:paraId="1D07EEDA" w14:textId="77777777" w:rsidR="00C9798B" w:rsidRPr="00B36B97" w:rsidRDefault="003F34C3" w:rsidP="008D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Rock Sound</w:t>
            </w:r>
            <w:r w:rsidR="00C9798B"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2D5AB73" w14:textId="3FB1A1C8" w:rsidR="003F34C3" w:rsidRPr="00B36B97" w:rsidRDefault="00C9798B" w:rsidP="008D04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west of Cape Eleuthera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A1F2075" w14:textId="5BC97F02" w:rsidR="003F34C3" w:rsidRPr="00B36B97" w:rsidRDefault="003F34C3" w:rsidP="008D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Tamburello and Cote (2014)</w:t>
            </w:r>
          </w:p>
        </w:tc>
      </w:tr>
      <w:tr w:rsidR="00B93B36" w:rsidRPr="00B36B97" w14:paraId="4D6769EE" w14:textId="77777777" w:rsidTr="007B41B5">
        <w:trPr>
          <w:trHeight w:val="260"/>
        </w:trPr>
        <w:tc>
          <w:tcPr>
            <w:tcW w:w="1526" w:type="dxa"/>
            <w:tcBorders>
              <w:left w:val="single" w:sz="4" w:space="0" w:color="auto"/>
            </w:tcBorders>
          </w:tcPr>
          <w:p w14:paraId="040739FE" w14:textId="77777777" w:rsidR="00B93B36" w:rsidRPr="00B36B97" w:rsidRDefault="00B93B36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244867F8" w14:textId="3868509E" w:rsidR="00B93B36" w:rsidRPr="00B36B97" w:rsidRDefault="00C3003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Mexico</w:t>
            </w:r>
          </w:p>
        </w:tc>
        <w:tc>
          <w:tcPr>
            <w:tcW w:w="2410" w:type="dxa"/>
            <w:noWrap/>
          </w:tcPr>
          <w:p w14:paraId="08C94C65" w14:textId="56593C3A" w:rsidR="00B93B36" w:rsidRPr="00B36B97" w:rsidRDefault="00B93B36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Mahahual,</w:t>
            </w:r>
            <w:r w:rsidR="00C30034"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Ban</w:t>
            </w:r>
            <w:r w:rsidR="00C30034"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co Chinchorro 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Biosphere Reserve, </w:t>
            </w:r>
            <w:r w:rsidR="00C30034"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Xcalak Reef 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D84741E" w14:textId="2CFC91FD" w:rsidR="00B93B36" w:rsidRPr="00B36B97" w:rsidRDefault="007738C5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García-Rivas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(2017)</w:t>
            </w:r>
          </w:p>
        </w:tc>
      </w:tr>
      <w:tr w:rsidR="003F34C3" w:rsidRPr="00B36B97" w14:paraId="2FC6214E" w14:textId="77777777" w:rsidTr="007B41B5">
        <w:trPr>
          <w:trHeight w:val="260"/>
        </w:trPr>
        <w:tc>
          <w:tcPr>
            <w:tcW w:w="1526" w:type="dxa"/>
            <w:tcBorders>
              <w:left w:val="single" w:sz="4" w:space="0" w:color="auto"/>
            </w:tcBorders>
          </w:tcPr>
          <w:p w14:paraId="7A76AED0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361D5122" w14:textId="36B105A3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Curaçao</w:t>
            </w:r>
          </w:p>
        </w:tc>
        <w:tc>
          <w:tcPr>
            <w:tcW w:w="2410" w:type="dxa"/>
            <w:noWrap/>
          </w:tcPr>
          <w:p w14:paraId="1DBE4AA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8430FE9" w14:textId="655C569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Ritger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="007738C5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2020</w:t>
            </w:r>
            <w:r w:rsidR="007738C5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)</w:t>
            </w:r>
          </w:p>
        </w:tc>
      </w:tr>
      <w:tr w:rsidR="00FC60AA" w:rsidRPr="00B36B97" w14:paraId="611EC577" w14:textId="77777777" w:rsidTr="007B41B5">
        <w:trPr>
          <w:trHeight w:val="260"/>
        </w:trPr>
        <w:tc>
          <w:tcPr>
            <w:tcW w:w="1526" w:type="dxa"/>
            <w:tcBorders>
              <w:left w:val="single" w:sz="4" w:space="0" w:color="auto"/>
            </w:tcBorders>
          </w:tcPr>
          <w:p w14:paraId="04B9EDB0" w14:textId="77777777" w:rsidR="00FC60AA" w:rsidRPr="00B36B97" w:rsidRDefault="00FC60AA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6BE024FE" w14:textId="6085AF0A" w:rsidR="00FC60AA" w:rsidRPr="00B36B97" w:rsidRDefault="0051097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</w:t>
            </w:r>
          </w:p>
        </w:tc>
        <w:tc>
          <w:tcPr>
            <w:tcW w:w="2410" w:type="dxa"/>
            <w:noWrap/>
          </w:tcPr>
          <w:p w14:paraId="10F81CFC" w14:textId="77777777" w:rsidR="00FC60AA" w:rsidRPr="00B36B97" w:rsidRDefault="00FC60A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97CBB01" w14:textId="6A835C02" w:rsidR="00FC60AA" w:rsidRPr="00B36B97" w:rsidRDefault="003B17A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Bogdanoff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="007B41B5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2020b</w:t>
            </w:r>
            <w:r w:rsidR="007B41B5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)</w:t>
            </w:r>
          </w:p>
        </w:tc>
      </w:tr>
      <w:tr w:rsidR="007B41B5" w:rsidRPr="00B36B97" w14:paraId="601F8028" w14:textId="77777777" w:rsidTr="00886EF0">
        <w:trPr>
          <w:trHeight w:val="26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361041B0" w14:textId="77777777" w:rsidR="007B41B5" w:rsidRPr="00B36B97" w:rsidRDefault="007B41B5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</w:tcPr>
          <w:p w14:paraId="28B4C312" w14:textId="133D3169" w:rsidR="007B41B5" w:rsidRPr="00B36B97" w:rsidRDefault="00357875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39AC63FA" w14:textId="02726D25" w:rsidR="007B41B5" w:rsidRPr="00B36B97" w:rsidRDefault="00357875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Florida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58450E1" w14:textId="01522F21" w:rsidR="007B41B5" w:rsidRPr="00B36B97" w:rsidRDefault="007B41B5" w:rsidP="00AA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Dahl </w:t>
            </w:r>
            <w:r w:rsidR="00AA1AD4"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and 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Patterson III (2020)</w:t>
            </w:r>
          </w:p>
        </w:tc>
      </w:tr>
      <w:tr w:rsidR="003F34C3" w:rsidRPr="00B36B97" w14:paraId="696B154D" w14:textId="77777777" w:rsidTr="006F4203">
        <w:trPr>
          <w:trHeight w:val="1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AFFB58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  <w:t>Invasion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B4A34FD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DF9578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E1F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</w:tr>
      <w:tr w:rsidR="003F34C3" w:rsidRPr="00B36B97" w14:paraId="24BD3671" w14:textId="77777777" w:rsidTr="006F4203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C1D10F3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hideMark/>
          </w:tcPr>
          <w:p w14:paraId="12201C4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States, Bermuda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74E9E67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United States: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North Carolina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New York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, Georgia, Florida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C3B9483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Whitfield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. (2002)</w:t>
            </w:r>
          </w:p>
        </w:tc>
      </w:tr>
      <w:tr w:rsidR="003F34C3" w:rsidRPr="00B36B97" w14:paraId="75F91911" w14:textId="77777777" w:rsidTr="006F4203">
        <w:trPr>
          <w:trHeight w:val="314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09DE4028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2E4FED5D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Dominican Republic</w:t>
            </w:r>
          </w:p>
        </w:tc>
        <w:tc>
          <w:tcPr>
            <w:tcW w:w="2410" w:type="dxa"/>
            <w:noWrap/>
            <w:hideMark/>
          </w:tcPr>
          <w:p w14:paraId="4B51D06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Morro (La Piedra de Kikim)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1CB5653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Guerrero and Franco (2008)</w:t>
            </w:r>
          </w:p>
        </w:tc>
      </w:tr>
      <w:tr w:rsidR="003F34C3" w:rsidRPr="00B36B97" w14:paraId="6E48BA4F" w14:textId="77777777" w:rsidTr="006F4203">
        <w:trPr>
          <w:trHeight w:val="304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70438773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69B044B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  <w:hideMark/>
          </w:tcPr>
          <w:p w14:paraId="2A49A0D0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5AB0E1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Chevalier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(2008)</w:t>
            </w:r>
          </w:p>
        </w:tc>
      </w:tr>
      <w:tr w:rsidR="003F34C3" w:rsidRPr="00B36B97" w14:paraId="1919F9B7" w14:textId="2CA78DA6" w:rsidTr="006F4203">
        <w:trPr>
          <w:trHeight w:val="279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772051BF" w14:textId="1EF95B0F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2DECFFB4" w14:textId="4CAAA462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United States, Turks and Caicos Islands, Bahamas, Bermuda,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Cayman Islands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, Cuba, Jamaica, Dominican Republic, Puerto Rico, Mexico, Honduras, Costa Rica</w:t>
            </w:r>
          </w:p>
        </w:tc>
        <w:tc>
          <w:tcPr>
            <w:tcW w:w="2410" w:type="dxa"/>
            <w:noWrap/>
            <w:hideMark/>
          </w:tcPr>
          <w:p w14:paraId="781A64D8" w14:textId="12AE934C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279BA51C" w14:textId="46A79A52" w:rsidR="003F34C3" w:rsidRPr="00B36B97" w:rsidRDefault="003F34C3" w:rsidP="008D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Schofield (2009)</w:t>
            </w:r>
            <w:r w:rsidR="008D043A" w:rsidRPr="00B36B9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F34C3" w:rsidRPr="00B36B97" w14:paraId="79AFE4E5" w14:textId="1D1ED0FC" w:rsidTr="006F4203">
        <w:trPr>
          <w:trHeight w:val="1113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148DB374" w14:textId="03802CDB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1B2A380B" w14:textId="16B26635" w:rsidR="003F34C3" w:rsidRPr="00B36B97" w:rsidRDefault="003F34C3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United States, Bermuda, Bahamas, Islas Turks and Caicos,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Cayman Islands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, Cuba, Jamaica, Dominican Republic, Puerto Rico, Mexico, Haiti, Nicaragua, Colombia, Honduras, Costa Rica, Panamá, Venezuela,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Leeward Islands</w:t>
            </w:r>
          </w:p>
        </w:tc>
        <w:tc>
          <w:tcPr>
            <w:tcW w:w="2410" w:type="dxa"/>
            <w:noWrap/>
            <w:hideMark/>
          </w:tcPr>
          <w:p w14:paraId="3DB4BBBD" w14:textId="25EA2461" w:rsidR="003F34C3" w:rsidRPr="00B36B97" w:rsidRDefault="003F34C3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59930EE9" w14:textId="48EB285F" w:rsidR="003F34C3" w:rsidRPr="00B36B97" w:rsidRDefault="003F34C3" w:rsidP="008D0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Schofield (2010)</w:t>
            </w:r>
            <w:r w:rsidR="008D043A" w:rsidRPr="00B36B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043A" w:rsidRPr="00B36B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F34C3" w:rsidRPr="00B36B97" w14:paraId="66FD57E3" w14:textId="77777777" w:rsidTr="006F4203">
        <w:trPr>
          <w:trHeight w:val="561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6BED26B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03F4231D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Bermuda,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Cayman Islands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, Colombia </w:t>
            </w:r>
          </w:p>
        </w:tc>
        <w:tc>
          <w:tcPr>
            <w:tcW w:w="2410" w:type="dxa"/>
            <w:noWrap/>
            <w:hideMark/>
          </w:tcPr>
          <w:p w14:paraId="47F3CC27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Cayman Islands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: Grand Cayman, Colombia: San Andrés Archipelago, Santa Marta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EEBCBF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Betancur-R.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(2011)</w:t>
            </w:r>
          </w:p>
        </w:tc>
      </w:tr>
      <w:tr w:rsidR="00C667AC" w:rsidRPr="00B36B97" w14:paraId="312B071D" w14:textId="77777777" w:rsidTr="00C30D38">
        <w:trPr>
          <w:trHeight w:val="279"/>
        </w:trPr>
        <w:tc>
          <w:tcPr>
            <w:tcW w:w="1526" w:type="dxa"/>
            <w:tcBorders>
              <w:left w:val="single" w:sz="4" w:space="0" w:color="auto"/>
            </w:tcBorders>
          </w:tcPr>
          <w:p w14:paraId="5E6176F5" w14:textId="77777777" w:rsidR="00C667AC" w:rsidRPr="00B36B97" w:rsidRDefault="00C667AC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5C1D6F4B" w14:textId="74FEB318" w:rsidR="00C667AC" w:rsidRPr="00B36B97" w:rsidRDefault="00C667AC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United States</w:t>
            </w:r>
          </w:p>
        </w:tc>
        <w:tc>
          <w:tcPr>
            <w:tcW w:w="2410" w:type="dxa"/>
            <w:noWrap/>
          </w:tcPr>
          <w:p w14:paraId="7043655D" w14:textId="6A299DAC" w:rsidR="00C667AC" w:rsidRPr="00B36B97" w:rsidRDefault="00C667AC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Florida Key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649487CF" w14:textId="5992B65C" w:rsidR="00C667AC" w:rsidRPr="00B36B97" w:rsidRDefault="00C667AC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Ruttenberg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(2012)</w:t>
            </w:r>
          </w:p>
        </w:tc>
      </w:tr>
      <w:tr w:rsidR="003F34C3" w:rsidRPr="00B36B97" w14:paraId="2CDB188D" w14:textId="77777777" w:rsidTr="006F4203">
        <w:trPr>
          <w:trHeight w:val="279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6899B78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6C23874B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Brazil</w:t>
            </w:r>
          </w:p>
        </w:tc>
        <w:tc>
          <w:tcPr>
            <w:tcW w:w="2410" w:type="dxa"/>
            <w:noWrap/>
            <w:hideMark/>
          </w:tcPr>
          <w:p w14:paraId="2A0A37BE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Arraial do Cabo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509324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Ferreira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(2015)</w:t>
            </w:r>
          </w:p>
        </w:tc>
      </w:tr>
      <w:tr w:rsidR="00301A43" w:rsidRPr="00B36B97" w14:paraId="3AFBF9FD" w14:textId="77777777" w:rsidTr="00301A43">
        <w:trPr>
          <w:trHeight w:val="27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6C49A0A0" w14:textId="77777777" w:rsidR="00301A43" w:rsidRPr="00B36B97" w:rsidRDefault="00301A43" w:rsidP="00C30D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5FA41E4C" w14:textId="0E3386B7" w:rsidR="00301A43" w:rsidRPr="00B36B97" w:rsidRDefault="00301A43" w:rsidP="00C30D3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bottom"/>
          </w:tcPr>
          <w:p w14:paraId="362B3356" w14:textId="1B199B24" w:rsidR="00301A43" w:rsidRPr="00B36B97" w:rsidRDefault="00AC6ACE" w:rsidP="00C30D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301A43"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oastal waters of the Gulf of Mexico and Atlantic Ocean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25D2909" w14:textId="77777777" w:rsidR="00301A43" w:rsidRPr="00B36B97" w:rsidRDefault="00301A43" w:rsidP="00C30D38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Lyons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(2020)</w:t>
            </w:r>
          </w:p>
        </w:tc>
      </w:tr>
      <w:tr w:rsidR="003F34C3" w:rsidRPr="00B36B97" w14:paraId="572C3094" w14:textId="77777777" w:rsidTr="00301A43">
        <w:trPr>
          <w:trHeight w:val="1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B22FD5" w14:textId="7BCD2F63" w:rsidR="003F34C3" w:rsidRPr="00B36B97" w:rsidRDefault="00E2217A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Abundance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E1DED0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2DA2B5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7EF17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2C3138" w:rsidRPr="00B36B97" w14:paraId="03BF8F07" w14:textId="77777777" w:rsidTr="006F4203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14:paraId="656F0E81" w14:textId="77777777" w:rsidR="002C3138" w:rsidRPr="00B36B97" w:rsidRDefault="002C3138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</w:tcPr>
          <w:p w14:paraId="708C60CC" w14:textId="7E29B928" w:rsidR="002C3138" w:rsidRPr="00B36B97" w:rsidRDefault="005141F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Taiwan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546A6E90" w14:textId="77777777" w:rsidR="002C3138" w:rsidRPr="00B36B97" w:rsidRDefault="002C313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2207F47" w14:textId="67CC8C4D" w:rsidR="002C3138" w:rsidRPr="00B36B97" w:rsidRDefault="005141F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Chen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(2004)</w:t>
            </w:r>
          </w:p>
        </w:tc>
      </w:tr>
      <w:tr w:rsidR="002C3138" w:rsidRPr="00B36B97" w14:paraId="6F79FD5B" w14:textId="77777777" w:rsidTr="00C30D38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547CDE43" w14:textId="77777777" w:rsidR="002C3138" w:rsidRPr="00B36B97" w:rsidRDefault="002C3138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567A168" w14:textId="03DEE247" w:rsidR="002C3138" w:rsidRPr="00B36B97" w:rsidRDefault="005141F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Australia</w:t>
            </w:r>
          </w:p>
        </w:tc>
        <w:tc>
          <w:tcPr>
            <w:tcW w:w="2410" w:type="dxa"/>
            <w:noWrap/>
          </w:tcPr>
          <w:p w14:paraId="03A7F04C" w14:textId="7AC2F395" w:rsidR="002C3138" w:rsidRPr="00B36B97" w:rsidRDefault="006F1C6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Middleton and Elizabeth Reef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CBA3B18" w14:textId="5D9EA5A6" w:rsidR="002C3138" w:rsidRPr="00B36B97" w:rsidRDefault="005141F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Oxley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(2004)</w:t>
            </w:r>
          </w:p>
        </w:tc>
      </w:tr>
      <w:tr w:rsidR="009041F9" w:rsidRPr="00B36B97" w14:paraId="68A73072" w14:textId="77777777" w:rsidTr="005141FF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2155DD42" w14:textId="35B18797" w:rsidR="009041F9" w:rsidRPr="00B36B97" w:rsidRDefault="009041F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7615F91A" w14:textId="76AB73EF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Western north Atlantic</w:t>
            </w:r>
          </w:p>
        </w:tc>
        <w:tc>
          <w:tcPr>
            <w:tcW w:w="2410" w:type="dxa"/>
            <w:noWrap/>
          </w:tcPr>
          <w:p w14:paraId="44024944" w14:textId="2A8B8DFD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6C1820F" w14:textId="46D2E79F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Whitfield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(2006)</w:t>
            </w:r>
          </w:p>
        </w:tc>
      </w:tr>
      <w:tr w:rsidR="009041F9" w:rsidRPr="00B36B97" w14:paraId="5CAF057F" w14:textId="77777777" w:rsidTr="005141FF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2E7662D2" w14:textId="75C66FD3" w:rsidR="009041F9" w:rsidRPr="00B36B97" w:rsidRDefault="009041F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0EB9E829" w14:textId="58BCF7C6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Bahamas </w:t>
            </w:r>
          </w:p>
        </w:tc>
        <w:tc>
          <w:tcPr>
            <w:tcW w:w="2410" w:type="dxa"/>
            <w:noWrap/>
          </w:tcPr>
          <w:p w14:paraId="0D0C2685" w14:textId="647A4629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New Providence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62E6395" w14:textId="41E28DED" w:rsidR="009041F9" w:rsidRPr="00B36B97" w:rsidRDefault="009041F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Green and Coté (2009)</w:t>
            </w:r>
          </w:p>
        </w:tc>
      </w:tr>
      <w:tr w:rsidR="0006491E" w:rsidRPr="00B36B97" w14:paraId="00384D8C" w14:textId="77777777" w:rsidTr="005141FF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5D933A30" w14:textId="6B11FFFE" w:rsidR="0006491E" w:rsidRPr="00B36B97" w:rsidRDefault="0006491E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742C1A34" w14:textId="2C96A9AA" w:rsidR="0006491E" w:rsidRPr="00B36B97" w:rsidRDefault="0006491E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Kenya, Bahamas</w:t>
            </w:r>
          </w:p>
        </w:tc>
        <w:tc>
          <w:tcPr>
            <w:tcW w:w="2410" w:type="dxa"/>
            <w:noWrap/>
          </w:tcPr>
          <w:p w14:paraId="5AF623C4" w14:textId="2AF7A903" w:rsidR="0006491E" w:rsidRPr="00B36B97" w:rsidRDefault="0006491E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Bahamas: New Providence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FC6FF2E" w14:textId="7A1BB227" w:rsidR="0006491E" w:rsidRPr="00B36B97" w:rsidRDefault="0006491E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Darling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(2011)</w:t>
            </w:r>
          </w:p>
        </w:tc>
      </w:tr>
      <w:tr w:rsidR="00C30D38" w:rsidRPr="00B36B97" w14:paraId="3FE05EDF" w14:textId="77777777" w:rsidTr="00073FB5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368850B7" w14:textId="77777777" w:rsidR="00C30D38" w:rsidRPr="00B36B97" w:rsidRDefault="00C30D38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268D5D97" w14:textId="3457EF36" w:rsidR="00C30D38" w:rsidRPr="00B36B97" w:rsidRDefault="00C30D3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Costa Rica</w:t>
            </w:r>
          </w:p>
        </w:tc>
        <w:tc>
          <w:tcPr>
            <w:tcW w:w="2410" w:type="dxa"/>
            <w:noWrap/>
          </w:tcPr>
          <w:p w14:paraId="184C2CEB" w14:textId="77777777" w:rsidR="00C30D38" w:rsidRPr="00B36B97" w:rsidRDefault="00C30D3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3D63FCA7" w14:textId="2C80A92F" w:rsidR="00C30D38" w:rsidRPr="00B36B97" w:rsidRDefault="00C30D38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Sandel (2011)</w:t>
            </w:r>
          </w:p>
        </w:tc>
      </w:tr>
      <w:tr w:rsidR="007D3890" w:rsidRPr="00B36B97" w14:paraId="072F66AE" w14:textId="77777777" w:rsidTr="005141FF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60F14C2D" w14:textId="3B68574B" w:rsidR="007D3890" w:rsidRPr="00B36B97" w:rsidRDefault="007D3890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24044832" w14:textId="2CE9A952" w:rsidR="007D3890" w:rsidRPr="00B36B97" w:rsidRDefault="007D3890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Cs/>
                <w:color w:val="231F20"/>
                <w:sz w:val="16"/>
                <w:szCs w:val="18"/>
              </w:rPr>
              <w:t>Indo-Pacific</w:t>
            </w:r>
          </w:p>
        </w:tc>
        <w:tc>
          <w:tcPr>
            <w:tcW w:w="2410" w:type="dxa"/>
            <w:noWrap/>
          </w:tcPr>
          <w:p w14:paraId="53526494" w14:textId="1B1176CC" w:rsidR="007D3890" w:rsidRPr="00B36B97" w:rsidRDefault="007D3890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AE9675F" w14:textId="0A03037F" w:rsidR="007D3890" w:rsidRPr="00B36B97" w:rsidRDefault="007D3890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Kulbicki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(2012)</w:t>
            </w:r>
            <w:r w:rsidR="007B4D9F" w:rsidRPr="00B36B9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91CD2" w:rsidRPr="00B36B97" w14:paraId="2C81E84E" w14:textId="77777777" w:rsidTr="005141FF">
        <w:trPr>
          <w:trHeight w:val="411"/>
        </w:trPr>
        <w:tc>
          <w:tcPr>
            <w:tcW w:w="1526" w:type="dxa"/>
            <w:tcBorders>
              <w:left w:val="single" w:sz="4" w:space="0" w:color="auto"/>
            </w:tcBorders>
          </w:tcPr>
          <w:p w14:paraId="45792866" w14:textId="77777777" w:rsidR="00391CD2" w:rsidRPr="00B36B97" w:rsidRDefault="00391CD2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noWrap/>
          </w:tcPr>
          <w:p w14:paraId="540FA44D" w14:textId="17CB9283" w:rsidR="00391CD2" w:rsidRPr="00B36B97" w:rsidRDefault="00391C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771EF03E" w14:textId="77C077CA" w:rsidR="00391CD2" w:rsidRPr="00B36B97" w:rsidRDefault="00391C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New Providence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8F3654B" w14:textId="2DC0762C" w:rsidR="00391CD2" w:rsidRPr="00B36B97" w:rsidRDefault="00391C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Green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(2012)</w:t>
            </w:r>
          </w:p>
        </w:tc>
      </w:tr>
      <w:tr w:rsidR="003F34C3" w:rsidRPr="00B36B97" w14:paraId="1F371074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6CB6E9B6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4030D48B" w14:textId="135B22F2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United States</w:t>
            </w:r>
          </w:p>
        </w:tc>
        <w:tc>
          <w:tcPr>
            <w:tcW w:w="2410" w:type="dxa"/>
            <w:noWrap/>
          </w:tcPr>
          <w:p w14:paraId="2C56A1DA" w14:textId="1F80154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Florida Key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128BFB5E" w14:textId="7834124C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Ruttenberg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(2012)</w:t>
            </w:r>
          </w:p>
        </w:tc>
      </w:tr>
      <w:tr w:rsidR="003F34C3" w:rsidRPr="00B36B97" w14:paraId="2D9CBD61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1E7EFAAC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08636BBC" w14:textId="3141493D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Cuba, </w:t>
            </w:r>
            <w:r w:rsidR="0090382D"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Bahamas, 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Mesoamerican Barrier Reef</w:t>
            </w:r>
            <w:r w:rsidR="0090382D"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90382D" w:rsidRPr="00B36B97">
              <w:rPr>
                <w:rFonts w:ascii="Times New Roman" w:hAnsi="Times New Roman" w:cs="Times New Roman"/>
                <w:sz w:val="16"/>
                <w:szCs w:val="16"/>
              </w:rPr>
              <w:t>in Belize and Mexico</w:t>
            </w:r>
          </w:p>
        </w:tc>
        <w:tc>
          <w:tcPr>
            <w:tcW w:w="2410" w:type="dxa"/>
            <w:noWrap/>
          </w:tcPr>
          <w:p w14:paraId="6928B734" w14:textId="0FDBF7E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Cuba: Jardines de Reina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5A0930AA" w14:textId="00AED51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Hackerott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(2013)</w:t>
            </w:r>
          </w:p>
        </w:tc>
      </w:tr>
      <w:tr w:rsidR="003F34C3" w:rsidRPr="00B36B97" w14:paraId="08F7B46B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711A00FC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0DA4C015" w14:textId="521F8616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Curaçao, Bonaire</w:t>
            </w:r>
          </w:p>
        </w:tc>
        <w:tc>
          <w:tcPr>
            <w:tcW w:w="2410" w:type="dxa"/>
            <w:noWrap/>
          </w:tcPr>
          <w:p w14:paraId="046994C3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617CB9FB" w14:textId="4E3180FC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de León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(2013)</w:t>
            </w:r>
          </w:p>
        </w:tc>
      </w:tr>
      <w:tr w:rsidR="00172A73" w:rsidRPr="00B36B97" w14:paraId="6396762A" w14:textId="77777777" w:rsidTr="000268FD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1B85681E" w14:textId="0A8CA5C1" w:rsidR="00172A73" w:rsidRPr="00B36B97" w:rsidRDefault="00172A7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67F7FCD8" w14:textId="50BF8FFD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Gulf of Mexico</w:t>
            </w:r>
          </w:p>
        </w:tc>
        <w:tc>
          <w:tcPr>
            <w:tcW w:w="2410" w:type="dxa"/>
            <w:noWrap/>
          </w:tcPr>
          <w:p w14:paraId="2FABE248" w14:textId="6003C38F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North of the Gulf of Mexico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014A8A3" w14:textId="0B723F50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Dahl and Patterson III (2014)</w:t>
            </w:r>
          </w:p>
        </w:tc>
      </w:tr>
      <w:tr w:rsidR="00172A73" w:rsidRPr="00B36B97" w14:paraId="68EB1779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00B83426" w14:textId="77777777" w:rsidR="00172A73" w:rsidRPr="00B36B97" w:rsidRDefault="00172A7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35B55592" w14:textId="38F384EE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08A08BA0" w14:textId="713F6005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Island of San Salvador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12191FF1" w14:textId="27539D8C" w:rsidR="00172A73" w:rsidRPr="00B36B97" w:rsidRDefault="00172A7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  <w:lang w:val="en-US"/>
              </w:rPr>
              <w:t xml:space="preserve">Anton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  <w:lang w:val="en-US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  <w:lang w:val="en-US"/>
              </w:rPr>
              <w:t>. (2014)</w:t>
            </w:r>
          </w:p>
        </w:tc>
      </w:tr>
      <w:tr w:rsidR="003F34C3" w:rsidRPr="00B36B97" w14:paraId="2BCBE415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21D1255F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6F935F56" w14:textId="1E67CE3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Venezuela</w:t>
            </w:r>
          </w:p>
        </w:tc>
        <w:tc>
          <w:tcPr>
            <w:tcW w:w="2410" w:type="dxa"/>
            <w:noWrap/>
          </w:tcPr>
          <w:p w14:paraId="03BD5E6E" w14:textId="3F478033" w:rsidR="003F34C3" w:rsidRPr="00B36B97" w:rsidRDefault="009F221C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Morrocoy national park, Ocumare de la Costa, Chichiriviche de la Costa, Chuspa, Mochima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12DC62ED" w14:textId="5C2E3523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Agudo and Klein (2014)</w:t>
            </w:r>
          </w:p>
        </w:tc>
      </w:tr>
      <w:tr w:rsidR="003F34C3" w:rsidRPr="00B36B97" w14:paraId="229B8B6B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21FDA9A6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1B620BF7" w14:textId="5B8F9D2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1B71C139" w14:textId="434F3CAE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Guanahacabibes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760E6DE9" w14:textId="2C81A229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Cobián-Rojas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al.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(2016)</w:t>
            </w:r>
          </w:p>
        </w:tc>
      </w:tr>
      <w:tr w:rsidR="003F34C3" w:rsidRPr="00B36B97" w14:paraId="6301A652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44404071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6FF50E35" w14:textId="28E6478E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272EFB52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506C3A33" w14:textId="0436C029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Chevalier (2017)</w:t>
            </w:r>
          </w:p>
        </w:tc>
      </w:tr>
      <w:tr w:rsidR="003F34C3" w:rsidRPr="00B36B97" w14:paraId="06C5177D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515671ED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7C5D7EA4" w14:textId="46C03D45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Belize</w:t>
            </w:r>
          </w:p>
        </w:tc>
        <w:tc>
          <w:tcPr>
            <w:tcW w:w="2410" w:type="dxa"/>
            <w:noWrap/>
          </w:tcPr>
          <w:p w14:paraId="29D048D9" w14:textId="6466F47A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Bacalar Chico Marine Reserve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36877CA2" w14:textId="4376A063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Anderson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(2017)</w:t>
            </w:r>
          </w:p>
        </w:tc>
      </w:tr>
      <w:tr w:rsidR="00C143A9" w:rsidRPr="00B36B97" w14:paraId="7E38A87D" w14:textId="77777777" w:rsidTr="000268FD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7820647F" w14:textId="77777777" w:rsidR="00C143A9" w:rsidRPr="00B36B97" w:rsidRDefault="00C143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DBC51C7" w14:textId="1CE413D3" w:rsidR="00C143A9" w:rsidRPr="00B36B97" w:rsidRDefault="00C143A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0C99F9AA" w14:textId="74D94078" w:rsidR="00C143A9" w:rsidRPr="00B36B97" w:rsidRDefault="00C143A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San Felipe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0A0BB558" w14:textId="4D8B2BFC" w:rsidR="00C143A9" w:rsidRPr="00B36B97" w:rsidRDefault="00C143A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 xml:space="preserve">Guardia </w:t>
            </w:r>
            <w:r w:rsidRPr="00B36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ES"/>
              </w:rPr>
              <w:t>et al.</w:t>
            </w: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, 2017</w:t>
            </w:r>
          </w:p>
        </w:tc>
      </w:tr>
      <w:tr w:rsidR="003F34C3" w:rsidRPr="00B36B97" w14:paraId="36FA5A59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5222D892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1DDB41CB" w14:textId="1CDBE33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Bermuda</w:t>
            </w:r>
          </w:p>
        </w:tc>
        <w:tc>
          <w:tcPr>
            <w:tcW w:w="2410" w:type="dxa"/>
            <w:noWrap/>
          </w:tcPr>
          <w:p w14:paraId="7F77B9AC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2F1AECC7" w14:textId="38F3D859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Goodbody-Gringley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(2019)</w:t>
            </w:r>
          </w:p>
        </w:tc>
      </w:tr>
      <w:tr w:rsidR="00D82DD2" w:rsidRPr="00B36B97" w14:paraId="3F13391E" w14:textId="77777777" w:rsidTr="00B93B36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479BD2DC" w14:textId="77777777" w:rsidR="00D82DD2" w:rsidRPr="00B36B97" w:rsidRDefault="00D82DD2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3FF513E5" w14:textId="2AC2CCF9" w:rsidR="00D82DD2" w:rsidRPr="00B36B97" w:rsidRDefault="00D82D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Gulf of Mexico</w:t>
            </w:r>
          </w:p>
        </w:tc>
        <w:tc>
          <w:tcPr>
            <w:tcW w:w="2410" w:type="dxa"/>
            <w:noWrap/>
          </w:tcPr>
          <w:p w14:paraId="38090717" w14:textId="77777777" w:rsidR="00D82DD2" w:rsidRPr="00B36B97" w:rsidRDefault="00D82D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4D61E176" w14:textId="661D5E12" w:rsidR="00D82DD2" w:rsidRPr="00B36B97" w:rsidRDefault="00D82DD2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Dahl </w:t>
            </w:r>
            <w:r w:rsidRPr="00B36B97">
              <w:rPr>
                <w:rFonts w:ascii="Times New Roman" w:hAnsi="Times New Roman" w:cs="Times New Roman"/>
                <w:i/>
                <w:color w:val="000000"/>
                <w:sz w:val="16"/>
                <w:szCs w:val="18"/>
              </w:rPr>
              <w:t>et al.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(2019)</w:t>
            </w:r>
          </w:p>
        </w:tc>
      </w:tr>
      <w:tr w:rsidR="003F34C3" w:rsidRPr="00B36B97" w14:paraId="07433DB3" w14:textId="77777777" w:rsidTr="00C30D38">
        <w:trPr>
          <w:trHeight w:val="289"/>
        </w:trPr>
        <w:tc>
          <w:tcPr>
            <w:tcW w:w="1526" w:type="dxa"/>
            <w:tcBorders>
              <w:left w:val="single" w:sz="4" w:space="0" w:color="auto"/>
            </w:tcBorders>
          </w:tcPr>
          <w:p w14:paraId="3D68C9D2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78134DAF" w14:textId="0780B7D1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</w:tcPr>
          <w:p w14:paraId="17982EF5" w14:textId="0DAEA7AF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Veracruz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444E348F" w14:textId="7DBF94C3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Aguilar-Medrano and Vega-Cendejas (2020)</w:t>
            </w:r>
          </w:p>
        </w:tc>
      </w:tr>
      <w:tr w:rsidR="003F34C3" w:rsidRPr="00B36B97" w14:paraId="3F472CA2" w14:textId="77777777" w:rsidTr="006F4203">
        <w:trPr>
          <w:trHeight w:val="1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7911DB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Impact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AEC36A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8BB6EF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5F1B9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3F34C3" w:rsidRPr="00B36B97" w14:paraId="05015866" w14:textId="77777777" w:rsidTr="00C30D38">
        <w:trPr>
          <w:trHeight w:val="6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888284E" w14:textId="77777777" w:rsidR="003F34C3" w:rsidRPr="00B36B97" w:rsidRDefault="003F34C3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hideMark/>
          </w:tcPr>
          <w:p w14:paraId="0A7F0FEE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4792DDE6" w14:textId="77777777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Lee Stocking Island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857A27C" w14:textId="55909EB1" w:rsidR="003F34C3" w:rsidRPr="00B36B97" w:rsidRDefault="003F34C3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Albins and Hixon (2008)</w:t>
            </w:r>
          </w:p>
        </w:tc>
      </w:tr>
      <w:tr w:rsidR="00B429B9" w:rsidRPr="00B36B97" w14:paraId="3B692542" w14:textId="77777777" w:rsidTr="00C30D38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5DB1C7C9" w14:textId="77777777" w:rsidR="00B429B9" w:rsidRPr="00B36B97" w:rsidRDefault="00B429B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84A5DDD" w14:textId="6891BD06" w:rsidR="00B429B9" w:rsidRPr="00B36B97" w:rsidRDefault="00C7672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27FF93B8" w14:textId="4BC72659" w:rsidR="00B429B9" w:rsidRPr="00B36B97" w:rsidRDefault="00B429B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New Providence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2D2C8AC" w14:textId="3C5A8928" w:rsidR="00B429B9" w:rsidRPr="00B36B97" w:rsidRDefault="00C7672A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Green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(2012)</w:t>
            </w:r>
          </w:p>
        </w:tc>
      </w:tr>
      <w:tr w:rsidR="004B0399" w:rsidRPr="00B36B97" w14:paraId="32039070" w14:textId="77777777" w:rsidTr="00C30D38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6F2E04ED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37FEFE8" w14:textId="22133774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6E238234" w14:textId="5643279E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Lee Stocking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346E672" w14:textId="1DC8FF55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Albins (2013)</w:t>
            </w:r>
          </w:p>
        </w:tc>
      </w:tr>
      <w:tr w:rsidR="004B0399" w:rsidRPr="00B36B97" w14:paraId="53888F1E" w14:textId="77777777" w:rsidTr="00C30D38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44038E3B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7743B22" w14:textId="1CEA7F8B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210D6F0E" w14:textId="6B2BBC21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Lee Stocking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B6A2E8D" w14:textId="42F82E7B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Albins (2015)</w:t>
            </w:r>
          </w:p>
        </w:tc>
      </w:tr>
      <w:tr w:rsidR="00205CA9" w:rsidRPr="00B36B97" w14:paraId="0940427B" w14:textId="77777777" w:rsidTr="00E96B16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37B8EFB4" w14:textId="77777777" w:rsidR="00205CA9" w:rsidRPr="00B36B97" w:rsidRDefault="00205C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4CD08E7A" w14:textId="6254B6BC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Venezuela</w:t>
            </w:r>
          </w:p>
        </w:tc>
        <w:tc>
          <w:tcPr>
            <w:tcW w:w="2410" w:type="dxa"/>
            <w:noWrap/>
          </w:tcPr>
          <w:p w14:paraId="77F6C019" w14:textId="66F33D4F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Archipelago Los Roques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03480DB" w14:textId="1C83F8F0" w:rsidR="00205CA9" w:rsidRPr="00B36B97" w:rsidRDefault="00205CA9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Elise </w:t>
            </w:r>
            <w:r w:rsidRPr="00B36B9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et al. 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(2015)</w:t>
            </w:r>
          </w:p>
        </w:tc>
      </w:tr>
      <w:tr w:rsidR="00205CA9" w:rsidRPr="00B36B97" w14:paraId="141739B3" w14:textId="77777777" w:rsidTr="00E96B16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0FB897C4" w14:textId="77777777" w:rsidR="00205CA9" w:rsidRPr="00B36B97" w:rsidRDefault="00205C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37A2E267" w14:textId="0DF1BE9F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Southeastern United States,  Caribbean, Gulf of Mexico</w:t>
            </w:r>
          </w:p>
        </w:tc>
        <w:tc>
          <w:tcPr>
            <w:tcW w:w="2410" w:type="dxa"/>
            <w:noWrap/>
          </w:tcPr>
          <w:p w14:paraId="7ED46158" w14:textId="77777777" w:rsidR="00205CA9" w:rsidRPr="00B36B97" w:rsidRDefault="00205CA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4A75FE9" w14:textId="0E2A8C6B" w:rsidR="00205CA9" w:rsidRPr="00B36B97" w:rsidRDefault="00205CA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Ballew </w:t>
            </w:r>
            <w:r w:rsidRPr="00B36B97">
              <w:rPr>
                <w:rFonts w:ascii="Times New Roman" w:hAnsi="Times New Roman" w:cs="Times New Roman"/>
                <w:i/>
                <w:sz w:val="16"/>
                <w:szCs w:val="16"/>
              </w:rPr>
              <w:t>et al.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 (2016)</w:t>
            </w:r>
          </w:p>
        </w:tc>
      </w:tr>
      <w:tr w:rsidR="00205CA9" w:rsidRPr="00B36B97" w14:paraId="5BDF8527" w14:textId="77777777" w:rsidTr="00E96B16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18301C05" w14:textId="77777777" w:rsidR="00205CA9" w:rsidRPr="00B36B97" w:rsidRDefault="00205C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8AFA717" w14:textId="11599042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Bahamas</w:t>
            </w:r>
          </w:p>
        </w:tc>
        <w:tc>
          <w:tcPr>
            <w:tcW w:w="2410" w:type="dxa"/>
            <w:noWrap/>
          </w:tcPr>
          <w:p w14:paraId="55A9C478" w14:textId="33FFEDF9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Eleuthera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CE30263" w14:textId="7C59338F" w:rsidR="00205CA9" w:rsidRPr="00B36B97" w:rsidRDefault="00205CA9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Eaton </w:t>
            </w:r>
            <w:r w:rsidRPr="00B36B97">
              <w:rPr>
                <w:rFonts w:ascii="Times New Roman" w:hAnsi="Times New Roman" w:cs="Times New Roman"/>
                <w:i/>
                <w:sz w:val="16"/>
                <w:szCs w:val="16"/>
              </w:rPr>
              <w:t>et al.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, 2016</w:t>
            </w:r>
          </w:p>
        </w:tc>
      </w:tr>
      <w:tr w:rsidR="00205CA9" w:rsidRPr="00B36B97" w14:paraId="7250AB91" w14:textId="77777777" w:rsidTr="00E96B16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6EB59590" w14:textId="77777777" w:rsidR="00205CA9" w:rsidRPr="00B36B97" w:rsidRDefault="00205C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4737B5BD" w14:textId="051BE772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Bahamas</w:t>
            </w:r>
          </w:p>
        </w:tc>
        <w:tc>
          <w:tcPr>
            <w:tcW w:w="2410" w:type="dxa"/>
            <w:noWrap/>
          </w:tcPr>
          <w:p w14:paraId="3F43FA63" w14:textId="1A8AA282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Rock Sound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DE982EE" w14:textId="53892181" w:rsidR="00205CA9" w:rsidRPr="00B36B97" w:rsidRDefault="00205CA9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Tuttle (2017)</w:t>
            </w:r>
          </w:p>
        </w:tc>
      </w:tr>
      <w:tr w:rsidR="00205CA9" w:rsidRPr="00B36B97" w14:paraId="08BECF3D" w14:textId="77777777" w:rsidTr="00E96B16">
        <w:trPr>
          <w:trHeight w:val="639"/>
        </w:trPr>
        <w:tc>
          <w:tcPr>
            <w:tcW w:w="1526" w:type="dxa"/>
            <w:tcBorders>
              <w:left w:val="single" w:sz="4" w:space="0" w:color="auto"/>
            </w:tcBorders>
          </w:tcPr>
          <w:p w14:paraId="2F5B176C" w14:textId="77777777" w:rsidR="00205CA9" w:rsidRPr="00B36B97" w:rsidRDefault="00205CA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49E5AEE" w14:textId="4ED72841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Bahamas</w:t>
            </w:r>
          </w:p>
        </w:tc>
        <w:tc>
          <w:tcPr>
            <w:tcW w:w="2410" w:type="dxa"/>
            <w:noWrap/>
          </w:tcPr>
          <w:p w14:paraId="5A134E5A" w14:textId="2F303003" w:rsidR="00205CA9" w:rsidRPr="00B36B97" w:rsidRDefault="00205CA9" w:rsidP="00283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Stocking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1B1B022" w14:textId="66AEBA3B" w:rsidR="00205CA9" w:rsidRPr="00B36B97" w:rsidRDefault="00205CA9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Kindinger and Albins (2017)</w:t>
            </w:r>
          </w:p>
        </w:tc>
      </w:tr>
      <w:tr w:rsidR="004B0399" w:rsidRPr="00B36B97" w14:paraId="290D3CCB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1FA9035E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31F2FD79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  <w:hideMark/>
          </w:tcPr>
          <w:p w14:paraId="51F2DA01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Guanahacabibes, La Habana, Cayo Las Brujas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CA24A67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Pantoja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(2017)</w:t>
            </w:r>
          </w:p>
        </w:tc>
      </w:tr>
      <w:tr w:rsidR="004B0399" w:rsidRPr="00B36B97" w14:paraId="67477895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</w:tcPr>
          <w:p w14:paraId="7BE1F675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26B8E7FB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1EA85D3B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Great Bahama Bank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C0D5A21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Kindinger and Albins (2017)</w:t>
            </w:r>
          </w:p>
        </w:tc>
      </w:tr>
      <w:tr w:rsidR="005E584F" w:rsidRPr="00B36B97" w14:paraId="2C4EBA5F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</w:tcPr>
          <w:p w14:paraId="055F0ED9" w14:textId="77777777" w:rsidR="005E584F" w:rsidRPr="00B36B97" w:rsidRDefault="005E584F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2AC959D9" w14:textId="5AABA71A" w:rsidR="005E584F" w:rsidRPr="00B36B97" w:rsidRDefault="005E584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United States</w:t>
            </w:r>
          </w:p>
        </w:tc>
        <w:tc>
          <w:tcPr>
            <w:tcW w:w="2410" w:type="dxa"/>
            <w:noWrap/>
          </w:tcPr>
          <w:p w14:paraId="0988AA75" w14:textId="0636814B" w:rsidR="005E584F" w:rsidRPr="00B36B97" w:rsidRDefault="005E584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Biscayne National Park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B000F10" w14:textId="740ABC7C" w:rsidR="005E584F" w:rsidRPr="00B36B97" w:rsidRDefault="005E584F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Curtis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(2017)</w:t>
            </w:r>
          </w:p>
        </w:tc>
      </w:tr>
      <w:tr w:rsidR="004B0399" w:rsidRPr="00B36B97" w14:paraId="0914D6E6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3BE9C8BE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12C6E7FC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Colombia</w:t>
            </w:r>
          </w:p>
        </w:tc>
        <w:tc>
          <w:tcPr>
            <w:tcW w:w="2410" w:type="dxa"/>
            <w:noWrap/>
            <w:hideMark/>
          </w:tcPr>
          <w:p w14:paraId="73BE628B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Santa Marta, Capurgana, Isla de San Andrés, Cabo de la Vela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69D770F2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Rojas-Vélez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(2019)</w:t>
            </w:r>
          </w:p>
        </w:tc>
      </w:tr>
      <w:tr w:rsidR="004B0399" w:rsidRPr="00B36B97" w14:paraId="55E8794E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7F84E701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289F0D12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Cuba, Mexico</w:t>
            </w:r>
          </w:p>
        </w:tc>
        <w:tc>
          <w:tcPr>
            <w:tcW w:w="2410" w:type="dxa"/>
            <w:noWrap/>
            <w:hideMark/>
          </w:tcPr>
          <w:p w14:paraId="78C5412E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Cuba: Guanahacabibes, Mexico: Arrecifes de Xcalak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42627327" w14:textId="14006EAE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Cobián-Rojas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(2018a)</w:t>
            </w:r>
          </w:p>
        </w:tc>
      </w:tr>
      <w:tr w:rsidR="004B0399" w:rsidRPr="00B36B97" w14:paraId="47FF57EA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</w:tcPr>
          <w:p w14:paraId="468811DC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6D21F6D1" w14:textId="3BDAC8EB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Northern Gulf of Mexico</w:t>
            </w:r>
          </w:p>
        </w:tc>
        <w:tc>
          <w:tcPr>
            <w:tcW w:w="2410" w:type="dxa"/>
            <w:noWrap/>
          </w:tcPr>
          <w:p w14:paraId="4B069E38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7F0B291" w14:textId="2FB07F60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Chagaris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="005E584F"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2020</w:t>
            </w:r>
            <w:r w:rsidR="005E584F"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)</w:t>
            </w:r>
          </w:p>
        </w:tc>
      </w:tr>
      <w:tr w:rsidR="004B0399" w:rsidRPr="00B36B97" w14:paraId="01667F7C" w14:textId="77777777" w:rsidTr="00C30D38">
        <w:trPr>
          <w:trHeight w:val="562"/>
        </w:trPr>
        <w:tc>
          <w:tcPr>
            <w:tcW w:w="1526" w:type="dxa"/>
            <w:tcBorders>
              <w:left w:val="single" w:sz="4" w:space="0" w:color="auto"/>
            </w:tcBorders>
          </w:tcPr>
          <w:p w14:paraId="528292E1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7649B101" w14:textId="77777777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Honduras</w:t>
            </w:r>
          </w:p>
        </w:tc>
        <w:tc>
          <w:tcPr>
            <w:tcW w:w="2410" w:type="dxa"/>
            <w:noWrap/>
          </w:tcPr>
          <w:p w14:paraId="04186974" w14:textId="1F3D25F9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La Ensenada, Tela Bay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79244CF" w14:textId="77777777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Hunt </w:t>
            </w:r>
            <w:r w:rsidRPr="00B36B97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 (2020)</w:t>
            </w:r>
          </w:p>
        </w:tc>
      </w:tr>
      <w:tr w:rsidR="004B0399" w:rsidRPr="00B36B97" w14:paraId="3AECFBFD" w14:textId="77777777" w:rsidTr="006F4203">
        <w:trPr>
          <w:trHeight w:val="562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6DC2A78B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</w:tcPr>
          <w:p w14:paraId="5FA27FB2" w14:textId="308BE50A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Mexico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7809C7C5" w14:textId="1609552D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Xcalak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A41D74A" w14:textId="23725DEE" w:rsidR="004B0399" w:rsidRPr="00B36B97" w:rsidRDefault="004B0399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Murillo-Pérez </w:t>
            </w:r>
            <w:r w:rsidRPr="00B36B97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8"/>
              </w:rPr>
              <w:t>et al</w:t>
            </w:r>
            <w:r w:rsidR="00C677A6"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 (2021)</w:t>
            </w:r>
          </w:p>
        </w:tc>
      </w:tr>
      <w:tr w:rsidR="004B0399" w:rsidRPr="00B36B97" w14:paraId="0FEC7FF5" w14:textId="77777777" w:rsidTr="004F3A35">
        <w:trPr>
          <w:trHeight w:val="1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357A0F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Control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986C44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7E3156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798C5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4B0399" w:rsidRPr="00B36B97" w14:paraId="263CB292" w14:textId="77777777" w:rsidTr="004F3A35">
        <w:trPr>
          <w:trHeight w:val="3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EF58AEE" w14:textId="77777777" w:rsidR="004B0399" w:rsidRPr="00B36B97" w:rsidRDefault="004B0399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hideMark/>
          </w:tcPr>
          <w:p w14:paraId="2CDFBDC1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1E7F612B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New Providence, Eleuthera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7BF701C" w14:textId="77777777" w:rsidR="004B0399" w:rsidRPr="00B36B97" w:rsidRDefault="004B0399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Maljkovic and Van Leeuwen (2008)</w:t>
            </w:r>
          </w:p>
        </w:tc>
      </w:tr>
      <w:tr w:rsidR="00BE11AD" w:rsidRPr="00B36B97" w14:paraId="64142926" w14:textId="77777777" w:rsidTr="00C30D38">
        <w:trPr>
          <w:trHeight w:val="3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14:paraId="6847A2EC" w14:textId="77777777" w:rsidR="00BE11AD" w:rsidRPr="00B36B97" w:rsidRDefault="00BE11AD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F423431" w14:textId="362D9079" w:rsidR="00BE11AD" w:rsidRPr="00B36B97" w:rsidRDefault="00BE11A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Curaçao, Bonaire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49D90A53" w14:textId="77777777" w:rsidR="00BE11AD" w:rsidRPr="00B36B97" w:rsidRDefault="00BE11A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66DF9C8" w14:textId="0D0C3519" w:rsidR="00BE11AD" w:rsidRPr="00B36B97" w:rsidRDefault="00BE11AD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de León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(2013)</w:t>
            </w:r>
          </w:p>
        </w:tc>
      </w:tr>
      <w:tr w:rsidR="009F4554" w:rsidRPr="00B36B97" w14:paraId="619CFDA7" w14:textId="77777777" w:rsidTr="00C30D38">
        <w:trPr>
          <w:trHeight w:val="335"/>
        </w:trPr>
        <w:tc>
          <w:tcPr>
            <w:tcW w:w="1526" w:type="dxa"/>
            <w:tcBorders>
              <w:left w:val="single" w:sz="4" w:space="0" w:color="auto"/>
            </w:tcBorders>
          </w:tcPr>
          <w:p w14:paraId="4016B327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14:paraId="41E3A91F" w14:textId="04B985DF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Cuba, Bahamas, Mesoamerican Barrier Reef 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in Belize and Mexico</w:t>
            </w:r>
          </w:p>
        </w:tc>
        <w:tc>
          <w:tcPr>
            <w:tcW w:w="2410" w:type="dxa"/>
            <w:noWrap/>
          </w:tcPr>
          <w:p w14:paraId="55DBEED1" w14:textId="5C515D5A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Cuba: Jardines de Reina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vAlign w:val="center"/>
          </w:tcPr>
          <w:p w14:paraId="7165989F" w14:textId="38773F61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Hackerott </w:t>
            </w:r>
            <w:r w:rsidRPr="00B36B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(2013)</w:t>
            </w:r>
          </w:p>
        </w:tc>
      </w:tr>
      <w:tr w:rsidR="009F4554" w:rsidRPr="00B36B97" w14:paraId="2FCE9035" w14:textId="77777777" w:rsidTr="00C30D38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25F1A15A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41C7D1A9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Belize</w:t>
            </w:r>
          </w:p>
        </w:tc>
        <w:tc>
          <w:tcPr>
            <w:tcW w:w="2410" w:type="dxa"/>
            <w:noWrap/>
          </w:tcPr>
          <w:p w14:paraId="29C323AD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val="en-US"/>
              </w:rPr>
              <w:t>Bacalar Chico Marine Reserve (BCMR)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E3C712D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Anderson </w:t>
            </w:r>
            <w:r w:rsidRPr="00B36B97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 (2017)</w:t>
            </w:r>
          </w:p>
        </w:tc>
      </w:tr>
      <w:tr w:rsidR="009F4554" w:rsidRPr="00B36B97" w14:paraId="27C10024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227F1853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0D4DE2E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Gulf of Mexico</w:t>
            </w:r>
          </w:p>
        </w:tc>
        <w:tc>
          <w:tcPr>
            <w:tcW w:w="2410" w:type="dxa"/>
            <w:noWrap/>
          </w:tcPr>
          <w:p w14:paraId="015C3CC4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4A93EB91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Harris </w:t>
            </w:r>
            <w:r w:rsidRPr="00B36B97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 (2019)</w:t>
            </w:r>
          </w:p>
        </w:tc>
      </w:tr>
      <w:tr w:rsidR="009F4554" w:rsidRPr="00B36B97" w14:paraId="201B0E58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360EB161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6CB7A67D" w14:textId="3D867A4C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Bahamas</w:t>
            </w:r>
          </w:p>
        </w:tc>
        <w:tc>
          <w:tcPr>
            <w:tcW w:w="2410" w:type="dxa"/>
            <w:noWrap/>
          </w:tcPr>
          <w:p w14:paraId="5C7AE87E" w14:textId="6B0E9C55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>Eleuthera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23616F1" w14:textId="2A906A35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Tamburello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(2019)</w:t>
            </w:r>
          </w:p>
        </w:tc>
      </w:tr>
      <w:tr w:rsidR="009F4554" w:rsidRPr="00B36B97" w14:paraId="5BD36F7D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322F23DF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557FDDBB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</w:tcPr>
          <w:p w14:paraId="256A1FDC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Cozumel Island</w:t>
            </w:r>
          </w:p>
          <w:p w14:paraId="7354F4FD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D478559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Chel-Guerrero </w:t>
            </w:r>
            <w:r w:rsidRPr="00B36B97">
              <w:rPr>
                <w:rFonts w:ascii="Times New Roman" w:eastAsia="Calibri" w:hAnsi="Times New Roman" w:cs="Times New Roman"/>
                <w:i/>
                <w:iCs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(2020)</w:t>
            </w:r>
          </w:p>
        </w:tc>
      </w:tr>
      <w:tr w:rsidR="009F4554" w:rsidRPr="00B36B97" w14:paraId="6D88A490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62F20E8E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7B255372" w14:textId="404D5623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Belize; Cayman Islands</w:t>
            </w:r>
          </w:p>
        </w:tc>
        <w:tc>
          <w:tcPr>
            <w:tcW w:w="2410" w:type="dxa"/>
            <w:noWrap/>
          </w:tcPr>
          <w:p w14:paraId="61FF31E6" w14:textId="37A443E0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Cayman Islands : Little Cayman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62A3D91" w14:textId="11725BDB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Bogdanoff </w:t>
            </w:r>
            <w:r w:rsidRPr="00B36B97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es-ES"/>
              </w:rPr>
              <w:t>et al.</w:t>
            </w:r>
            <w:r w:rsidRPr="00B36B97">
              <w:rPr>
                <w:rFonts w:ascii="Times New Roman" w:eastAsia="Times New Roman" w:hAnsi="Times New Roman" w:cs="Times New Roman"/>
                <w:sz w:val="16"/>
                <w:szCs w:val="18"/>
                <w:lang w:eastAsia="es-ES"/>
              </w:rPr>
              <w:t xml:space="preserve"> (2020c)</w:t>
            </w:r>
          </w:p>
        </w:tc>
      </w:tr>
      <w:tr w:rsidR="009F4554" w:rsidRPr="00B36B97" w14:paraId="36BA65D1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64E404FD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1AA03EF2" w14:textId="5BFD8F42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United States; </w:t>
            </w:r>
            <w:r w:rsidRPr="00B36B97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109B8603" w14:textId="59FA4B44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United States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 xml:space="preserve"> : North Carolina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970C821" w14:textId="3D9FD16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 xml:space="preserve">Bogdanoff </w:t>
            </w:r>
            <w:r w:rsidRPr="00B36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ES"/>
              </w:rPr>
              <w:t>et al</w:t>
            </w: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. (2020d)</w:t>
            </w:r>
          </w:p>
        </w:tc>
      </w:tr>
      <w:tr w:rsidR="009F4554" w:rsidRPr="00B36B97" w14:paraId="697D3941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</w:tcBorders>
          </w:tcPr>
          <w:p w14:paraId="53191842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04C48AB9" w14:textId="7D25269D" w:rsidR="009F4554" w:rsidRPr="00B36B97" w:rsidRDefault="009F4554" w:rsidP="004B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United States: </w:t>
            </w: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>Virgin Islands</w:t>
            </w:r>
          </w:p>
        </w:tc>
        <w:tc>
          <w:tcPr>
            <w:tcW w:w="2410" w:type="dxa"/>
            <w:noWrap/>
          </w:tcPr>
          <w:p w14:paraId="030AA085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49BCC277" w14:textId="4EC4C4F5" w:rsidR="009F4554" w:rsidRPr="00B36B97" w:rsidRDefault="009F4554" w:rsidP="004B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</w:pP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 xml:space="preserve">Simnitt </w:t>
            </w:r>
            <w:r w:rsidRPr="00B36B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es-ES"/>
              </w:rPr>
              <w:t>et al.,</w:t>
            </w:r>
            <w:r w:rsidRPr="00B36B9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  <w:t xml:space="preserve"> 2020</w:t>
            </w:r>
          </w:p>
        </w:tc>
      </w:tr>
      <w:tr w:rsidR="009F4554" w:rsidRPr="00B36B97" w14:paraId="3E998C00" w14:textId="77777777" w:rsidTr="004F3A35">
        <w:trPr>
          <w:trHeight w:val="228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1EB0B076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</w:tcPr>
          <w:p w14:paraId="7B6E59FB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537EFE73" w14:textId="242F1F04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9F45CD1" w14:textId="77777777" w:rsidR="009F4554" w:rsidRPr="00B36B97" w:rsidRDefault="009F4554" w:rsidP="004B77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9F4554" w:rsidRPr="00B36B97" w14:paraId="6D2090A6" w14:textId="77777777" w:rsidTr="00236085">
        <w:trPr>
          <w:trHeight w:val="1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62C97" w14:textId="244BB35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Genetic/Phylogenetic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97232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1EE418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15757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9F4554" w:rsidRPr="00B36B97" w14:paraId="6E683DBF" w14:textId="77777777" w:rsidTr="00236085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155A2DD0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3F9C41A1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Jordania, Kenya, Sri Lanka, Indonesia, Taiwan</w:t>
            </w:r>
          </w:p>
        </w:tc>
        <w:tc>
          <w:tcPr>
            <w:tcW w:w="2410" w:type="dxa"/>
            <w:noWrap/>
          </w:tcPr>
          <w:p w14:paraId="688E98C0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4186E0BB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Kochzius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(2003)</w:t>
            </w:r>
          </w:p>
        </w:tc>
      </w:tr>
      <w:tr w:rsidR="009F4554" w:rsidRPr="00B36B97" w14:paraId="21CBA91E" w14:textId="77777777" w:rsidTr="006F4203">
        <w:trPr>
          <w:trHeight w:val="330"/>
        </w:trPr>
        <w:tc>
          <w:tcPr>
            <w:tcW w:w="1526" w:type="dxa"/>
            <w:tcBorders>
              <w:left w:val="single" w:sz="4" w:space="0" w:color="auto"/>
            </w:tcBorders>
          </w:tcPr>
          <w:p w14:paraId="3015C418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2D47E53F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Cs/>
                <w:color w:val="231F20"/>
                <w:sz w:val="16"/>
                <w:szCs w:val="18"/>
              </w:rPr>
              <w:t>Indo-Pacific</w:t>
            </w:r>
          </w:p>
          <w:p w14:paraId="4E10A25C" w14:textId="3A327090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</w:t>
            </w:r>
          </w:p>
        </w:tc>
        <w:tc>
          <w:tcPr>
            <w:tcW w:w="2410" w:type="dxa"/>
            <w:noWrap/>
          </w:tcPr>
          <w:p w14:paraId="3C151383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United States: </w:t>
            </w:r>
          </w:p>
          <w:p w14:paraId="6F3194DC" w14:textId="0F9A6235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North Carolina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New York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, Florida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C28BC46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Hamner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(2007)</w:t>
            </w:r>
          </w:p>
        </w:tc>
      </w:tr>
      <w:tr w:rsidR="009F4554" w:rsidRPr="00B36B97" w14:paraId="1DBB8CB6" w14:textId="77777777" w:rsidTr="00AD049D">
        <w:trPr>
          <w:trHeight w:val="571"/>
        </w:trPr>
        <w:tc>
          <w:tcPr>
            <w:tcW w:w="1526" w:type="dxa"/>
            <w:tcBorders>
              <w:left w:val="single" w:sz="4" w:space="0" w:color="auto"/>
            </w:tcBorders>
          </w:tcPr>
          <w:p w14:paraId="239E7AC0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1D7E049" w14:textId="054EB5BC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21C3FD67" w14:textId="379E8D84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Guanahacabibes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76DD2AB0" w14:textId="58A7DED6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Labastida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 (2015)</w:t>
            </w:r>
          </w:p>
        </w:tc>
      </w:tr>
      <w:tr w:rsidR="009F4554" w:rsidRPr="00B36B97" w14:paraId="3FDCEA54" w14:textId="77777777" w:rsidTr="00AD049D">
        <w:trPr>
          <w:trHeight w:val="571"/>
        </w:trPr>
        <w:tc>
          <w:tcPr>
            <w:tcW w:w="1526" w:type="dxa"/>
            <w:tcBorders>
              <w:left w:val="single" w:sz="4" w:space="0" w:color="auto"/>
            </w:tcBorders>
          </w:tcPr>
          <w:p w14:paraId="1D2395A7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7930F285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</w:t>
            </w:r>
          </w:p>
        </w:tc>
        <w:tc>
          <w:tcPr>
            <w:tcW w:w="2410" w:type="dxa"/>
            <w:noWrap/>
          </w:tcPr>
          <w:p w14:paraId="65D4C3C3" w14:textId="07CAA6C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Chinchorro Bank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2E66FBF6" w14:textId="1C170E49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Guzmán-Méndez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(2017)</w:t>
            </w:r>
          </w:p>
        </w:tc>
      </w:tr>
      <w:tr w:rsidR="009F4554" w:rsidRPr="00B36B97" w14:paraId="0A1826C7" w14:textId="77777777" w:rsidTr="004F3A35">
        <w:trPr>
          <w:trHeight w:val="146"/>
        </w:trPr>
        <w:tc>
          <w:tcPr>
            <w:tcW w:w="1526" w:type="dxa"/>
            <w:tcBorders>
              <w:left w:val="single" w:sz="4" w:space="0" w:color="auto"/>
            </w:tcBorders>
          </w:tcPr>
          <w:p w14:paraId="32DEF963" w14:textId="02F21103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</w:tcPr>
          <w:p w14:paraId="2F120868" w14:textId="1B83616E" w:rsidR="009F4554" w:rsidRPr="00B36B97" w:rsidRDefault="009F4554" w:rsidP="00C30D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Turkey, Cyprus, Israel, Jordania, South Africa Madagascar, India, Sri Lanka, Indonesia, Japan</w:t>
            </w:r>
          </w:p>
        </w:tc>
        <w:tc>
          <w:tcPr>
            <w:tcW w:w="2410" w:type="dxa"/>
            <w:noWrap/>
          </w:tcPr>
          <w:p w14:paraId="61D95585" w14:textId="1A3D7B6D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9B2C40D" w14:textId="43B4D37F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Stern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(2018)</w:t>
            </w:r>
          </w:p>
        </w:tc>
      </w:tr>
      <w:tr w:rsidR="009F4554" w:rsidRPr="00B36B97" w14:paraId="4E3D7586" w14:textId="77777777" w:rsidTr="004F3A35">
        <w:trPr>
          <w:trHeight w:val="146"/>
        </w:trPr>
        <w:tc>
          <w:tcPr>
            <w:tcW w:w="1526" w:type="dxa"/>
            <w:tcBorders>
              <w:left w:val="single" w:sz="4" w:space="0" w:color="auto"/>
            </w:tcBorders>
          </w:tcPr>
          <w:p w14:paraId="0397849B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66C6E514" w14:textId="70DCD5FE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Mexico, Cuba, Belize, Puerto Rico</w:t>
            </w:r>
          </w:p>
        </w:tc>
        <w:tc>
          <w:tcPr>
            <w:tcW w:w="2410" w:type="dxa"/>
            <w:noWrap/>
          </w:tcPr>
          <w:p w14:paraId="774F27FF" w14:textId="2C57087B" w:rsidR="009F4554" w:rsidRPr="00B36B97" w:rsidRDefault="009F4554" w:rsidP="009F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Mexico;</w:t>
            </w:r>
            <w:r w:rsidRPr="00B36B97">
              <w:rPr>
                <w:rFonts w:ascii="Times New Roman" w:hAnsi="Times New Roman" w:cs="Times New Roman"/>
                <w:sz w:val="16"/>
                <w:szCs w:val="16"/>
              </w:rPr>
              <w:t xml:space="preserve"> Banco Chinchorro Biosphere Reserve, Puerto Morelos Reef National Park, Xcalak National Reef Park, Veracruz Coral Reef System National Park; Cuba: Guanahacabibes Biosphere Reserve; Belize: Turneffe Atoll Marine Reserve; Puerto Rico: La Parguera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2BE6BE1" w14:textId="2FA64C70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Labastida-Estrada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al.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, 2019</w:t>
            </w:r>
          </w:p>
        </w:tc>
      </w:tr>
      <w:tr w:rsidR="009F4554" w:rsidRPr="00B36B97" w14:paraId="3B47E4A8" w14:textId="77777777" w:rsidTr="00C30D38">
        <w:trPr>
          <w:trHeight w:val="577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2A6EDBEB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79F79185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Bahamas, Mexico,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Belize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, Honduras, Panamá, Filipinas, Taiwan, Sri Lanka</w:t>
            </w:r>
          </w:p>
        </w:tc>
        <w:tc>
          <w:tcPr>
            <w:tcW w:w="2410" w:type="dxa"/>
            <w:noWrap/>
            <w:hideMark/>
          </w:tcPr>
          <w:p w14:paraId="2996A2A3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12EA22DB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Burford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(2019)</w:t>
            </w:r>
          </w:p>
        </w:tc>
      </w:tr>
      <w:tr w:rsidR="009F4554" w:rsidRPr="00B36B97" w14:paraId="2C7CCDE1" w14:textId="77777777" w:rsidTr="00C30D38">
        <w:trPr>
          <w:trHeight w:val="1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D06BB5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  <w:t>Toxicology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C0E960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C5F400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E5B99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</w:tr>
      <w:tr w:rsidR="009F4554" w:rsidRPr="00B36B97" w14:paraId="19DFD4E8" w14:textId="77777777" w:rsidTr="00C30D38">
        <w:trPr>
          <w:trHeight w:val="3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14:paraId="2936B476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noWrap/>
          </w:tcPr>
          <w:p w14:paraId="32B5DBA0" w14:textId="142D17AB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Islas Marshall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05B74AEA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3C1B8EA" w14:textId="2B62B54E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Saunders and Taylor (1959)</w:t>
            </w:r>
          </w:p>
        </w:tc>
      </w:tr>
      <w:tr w:rsidR="009F4554" w:rsidRPr="00B36B97" w14:paraId="2643FBA8" w14:textId="77777777" w:rsidTr="00C30D38">
        <w:trPr>
          <w:trHeight w:val="368"/>
        </w:trPr>
        <w:tc>
          <w:tcPr>
            <w:tcW w:w="1526" w:type="dxa"/>
            <w:tcBorders>
              <w:left w:val="single" w:sz="4" w:space="0" w:color="auto"/>
            </w:tcBorders>
            <w:hideMark/>
          </w:tcPr>
          <w:p w14:paraId="4AF30DA6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14:paraId="695F7C22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</w:t>
            </w:r>
          </w:p>
        </w:tc>
        <w:tc>
          <w:tcPr>
            <w:tcW w:w="2410" w:type="dxa"/>
            <w:noWrap/>
            <w:hideMark/>
          </w:tcPr>
          <w:p w14:paraId="6E7DF000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San Francisco</w:t>
            </w:r>
          </w:p>
          <w:p w14:paraId="0F2A1499" w14:textId="6FCAE0D4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  <w:hideMark/>
          </w:tcPr>
          <w:p w14:paraId="7FEA08C5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Cohen and Olek (1989)</w:t>
            </w:r>
          </w:p>
          <w:p w14:paraId="5C64E8CE" w14:textId="4FA1085E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9F4554" w:rsidRPr="00B36B97" w14:paraId="26BDE0D9" w14:textId="77777777" w:rsidTr="00C30D38">
        <w:trPr>
          <w:trHeight w:val="551"/>
        </w:trPr>
        <w:tc>
          <w:tcPr>
            <w:tcW w:w="1526" w:type="dxa"/>
            <w:tcBorders>
              <w:left w:val="single" w:sz="4" w:space="0" w:color="auto"/>
            </w:tcBorders>
          </w:tcPr>
          <w:p w14:paraId="697CCD39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noWrap/>
          </w:tcPr>
          <w:p w14:paraId="73D9FBAA" w14:textId="7D2CFE4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Cuba</w:t>
            </w:r>
          </w:p>
        </w:tc>
        <w:tc>
          <w:tcPr>
            <w:tcW w:w="2410" w:type="dxa"/>
            <w:noWrap/>
          </w:tcPr>
          <w:p w14:paraId="0C98A18C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567A23D7" w14:textId="15D64856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Squadrone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  <w:lang w:val="en-US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. (2019)</w:t>
            </w:r>
          </w:p>
        </w:tc>
      </w:tr>
      <w:tr w:rsidR="009F4554" w:rsidRPr="00B36B97" w14:paraId="25D32129" w14:textId="77777777" w:rsidTr="006F4203">
        <w:trPr>
          <w:trHeight w:val="55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057A0264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</w:tcPr>
          <w:p w14:paraId="34BA6B74" w14:textId="5E8FD69C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6EB912A9" w14:textId="16357B3A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Florida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D0DCF36" w14:textId="36FEB2AD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van den Hurk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(2020)</w:t>
            </w:r>
          </w:p>
        </w:tc>
      </w:tr>
      <w:tr w:rsidR="009F4554" w:rsidRPr="00B36B97" w14:paraId="32D63A7D" w14:textId="77777777" w:rsidTr="00C30D38">
        <w:trPr>
          <w:trHeight w:val="1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4680" w14:textId="0ED2308E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  <w:t>Reproduction/Development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43968F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F3C1AB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98F2C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</w:p>
        </w:tc>
      </w:tr>
      <w:tr w:rsidR="009F4554" w:rsidRPr="00B36B97" w14:paraId="6A737D61" w14:textId="77777777" w:rsidTr="00C30D38">
        <w:trPr>
          <w:trHeight w:val="15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765ECB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  <w:lang w:val="en-US"/>
              </w:rPr>
              <w:t>Reproduction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</w:tcPr>
          <w:p w14:paraId="601F5CBF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</w:tcPr>
          <w:p w14:paraId="2E3604C6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961DD4B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</w:tr>
      <w:tr w:rsidR="009F4554" w:rsidRPr="00B36B97" w14:paraId="1DE041CB" w14:textId="77777777" w:rsidTr="00C30D38">
        <w:trPr>
          <w:trHeight w:val="279"/>
        </w:trPr>
        <w:tc>
          <w:tcPr>
            <w:tcW w:w="1526" w:type="dxa"/>
            <w:tcBorders>
              <w:left w:val="single" w:sz="4" w:space="0" w:color="auto"/>
            </w:tcBorders>
          </w:tcPr>
          <w:p w14:paraId="6B9DEB18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2450F766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>United States, Bahamas</w:t>
            </w:r>
          </w:p>
        </w:tc>
        <w:tc>
          <w:tcPr>
            <w:tcW w:w="2410" w:type="dxa"/>
            <w:noWrap/>
          </w:tcPr>
          <w:p w14:paraId="512FCB50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United States: </w:t>
            </w: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  <w:lang w:val="en-US"/>
              </w:rPr>
              <w:t>North Carolina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31978BF0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  <w:lang w:val="en-US"/>
              </w:rPr>
              <w:t xml:space="preserve">Morris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(2011a)</w:t>
            </w:r>
          </w:p>
        </w:tc>
      </w:tr>
      <w:tr w:rsidR="009F4554" w:rsidRPr="00B36B97" w14:paraId="30A78744" w14:textId="77777777" w:rsidTr="00C30D38">
        <w:trPr>
          <w:trHeight w:val="304"/>
        </w:trPr>
        <w:tc>
          <w:tcPr>
            <w:tcW w:w="1526" w:type="dxa"/>
            <w:tcBorders>
              <w:left w:val="single" w:sz="4" w:space="0" w:color="auto"/>
            </w:tcBorders>
          </w:tcPr>
          <w:p w14:paraId="3F48C6C9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65FEF624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Cayman Islands</w:t>
            </w:r>
          </w:p>
        </w:tc>
        <w:tc>
          <w:tcPr>
            <w:tcW w:w="2410" w:type="dxa"/>
            <w:noWrap/>
          </w:tcPr>
          <w:p w14:paraId="0135BD37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Little Cayman Island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05A89D4F" w14:textId="4E9FF765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Gardner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(2015)</w:t>
            </w:r>
          </w:p>
        </w:tc>
      </w:tr>
      <w:tr w:rsidR="009F4554" w:rsidRPr="00B36B97" w14:paraId="5F778CB0" w14:textId="77777777" w:rsidTr="00C30D38">
        <w:trPr>
          <w:trHeight w:val="278"/>
        </w:trPr>
        <w:tc>
          <w:tcPr>
            <w:tcW w:w="1526" w:type="dxa"/>
            <w:tcBorders>
              <w:left w:val="single" w:sz="4" w:space="0" w:color="auto"/>
            </w:tcBorders>
          </w:tcPr>
          <w:p w14:paraId="67B54FCF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noWrap/>
          </w:tcPr>
          <w:p w14:paraId="31C39496" w14:textId="1A6B0EC9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Cuba</w:t>
            </w:r>
          </w:p>
        </w:tc>
        <w:tc>
          <w:tcPr>
            <w:tcW w:w="2410" w:type="dxa"/>
            <w:noWrap/>
          </w:tcPr>
          <w:p w14:paraId="372816E9" w14:textId="18230113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TimesNewRomanPSMT" w:hAnsi="Times New Roman" w:cs="Times New Roman"/>
                <w:sz w:val="16"/>
                <w:szCs w:val="18"/>
              </w:rPr>
              <w:t>Havana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803A903" w14:textId="58921C22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Cruz-López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et al. 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(2020)</w:t>
            </w:r>
          </w:p>
        </w:tc>
      </w:tr>
      <w:tr w:rsidR="009F4554" w:rsidRPr="00B36B97" w14:paraId="0713C9FE" w14:textId="77777777" w:rsidTr="00C30D38">
        <w:trPr>
          <w:trHeight w:val="127"/>
        </w:trPr>
        <w:tc>
          <w:tcPr>
            <w:tcW w:w="1526" w:type="dxa"/>
            <w:tcBorders>
              <w:left w:val="single" w:sz="4" w:space="0" w:color="auto"/>
            </w:tcBorders>
          </w:tcPr>
          <w:p w14:paraId="25FCF715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Larval duration</w:t>
            </w:r>
          </w:p>
        </w:tc>
        <w:tc>
          <w:tcPr>
            <w:tcW w:w="2693" w:type="dxa"/>
            <w:gridSpan w:val="2"/>
            <w:noWrap/>
          </w:tcPr>
          <w:p w14:paraId="749F9DBB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noWrap/>
          </w:tcPr>
          <w:p w14:paraId="2A7300DD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18F4EC23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</w:tr>
      <w:tr w:rsidR="009F4554" w:rsidRPr="00B36B97" w14:paraId="21012ACF" w14:textId="77777777" w:rsidTr="00C30D38">
        <w:trPr>
          <w:trHeight w:val="245"/>
        </w:trPr>
        <w:tc>
          <w:tcPr>
            <w:tcW w:w="1526" w:type="dxa"/>
            <w:tcBorders>
              <w:left w:val="single" w:sz="4" w:space="0" w:color="auto"/>
            </w:tcBorders>
          </w:tcPr>
          <w:p w14:paraId="1D38CF7F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14:paraId="277CF3C9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Bahamas</w:t>
            </w:r>
          </w:p>
        </w:tc>
        <w:tc>
          <w:tcPr>
            <w:tcW w:w="2410" w:type="dxa"/>
            <w:noWrap/>
          </w:tcPr>
          <w:p w14:paraId="7FA125C8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64335999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Ahrenholz and Morris (2010)</w:t>
            </w:r>
          </w:p>
        </w:tc>
      </w:tr>
      <w:tr w:rsidR="009F4554" w:rsidRPr="00B36B97" w14:paraId="52F6597A" w14:textId="77777777" w:rsidTr="00AC7260">
        <w:trPr>
          <w:trHeight w:val="245"/>
        </w:trPr>
        <w:tc>
          <w:tcPr>
            <w:tcW w:w="1526" w:type="dxa"/>
            <w:tcBorders>
              <w:left w:val="single" w:sz="4" w:space="0" w:color="auto"/>
            </w:tcBorders>
          </w:tcPr>
          <w:p w14:paraId="3A4CF129" w14:textId="5F8D3F81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Crecimiento</w:t>
            </w:r>
          </w:p>
        </w:tc>
        <w:tc>
          <w:tcPr>
            <w:tcW w:w="2693" w:type="dxa"/>
            <w:gridSpan w:val="2"/>
            <w:noWrap/>
          </w:tcPr>
          <w:p w14:paraId="34CC8118" w14:textId="77777777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noWrap/>
          </w:tcPr>
          <w:p w14:paraId="24814F56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noWrap/>
          </w:tcPr>
          <w:p w14:paraId="0FCD5303" w14:textId="77777777" w:rsidR="009F4554" w:rsidRPr="00B36B97" w:rsidRDefault="009F4554" w:rsidP="004B7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</w:tr>
      <w:tr w:rsidR="009F4554" w:rsidRPr="00B36B97" w14:paraId="3BD17075" w14:textId="77777777" w:rsidTr="004F3A35">
        <w:trPr>
          <w:trHeight w:val="24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14:paraId="060C4F8E" w14:textId="37038FEF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</w:tcPr>
          <w:p w14:paraId="2154A1B3" w14:textId="6BB231F4" w:rsidR="009F4554" w:rsidRPr="00B36B97" w:rsidRDefault="009F4554" w:rsidP="00C30D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6B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Colombian Caribbean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46CC22D3" w14:textId="77777777" w:rsidR="009F4554" w:rsidRPr="00B36B97" w:rsidRDefault="009F4554" w:rsidP="0067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060C77B" w14:textId="4DDD23AC" w:rsidR="009F4554" w:rsidRPr="00B36B97" w:rsidRDefault="009F4554" w:rsidP="0000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Bustos-Montes </w:t>
            </w:r>
            <w:r w:rsidRPr="00B36B97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et al</w:t>
            </w:r>
            <w:r w:rsidRPr="00B36B97">
              <w:rPr>
                <w:rFonts w:ascii="Times New Roman" w:eastAsia="Calibri" w:hAnsi="Times New Roman" w:cs="Times New Roman"/>
                <w:sz w:val="16"/>
                <w:szCs w:val="18"/>
              </w:rPr>
              <w:t>. (2020)</w:t>
            </w:r>
          </w:p>
        </w:tc>
      </w:tr>
    </w:tbl>
    <w:p w14:paraId="487DBA06" w14:textId="140118D7" w:rsidR="00FF6067" w:rsidRPr="00B36B97" w:rsidRDefault="00A77F72" w:rsidP="00002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B97">
        <w:rPr>
          <w:rFonts w:ascii="Times New Roman" w:hAnsi="Times New Roman" w:cs="Times New Roman"/>
          <w:sz w:val="24"/>
          <w:szCs w:val="24"/>
        </w:rPr>
        <w:t>*</w:t>
      </w:r>
      <w:r w:rsidR="00FF6067" w:rsidRPr="00B36B97">
        <w:rPr>
          <w:rFonts w:ascii="Times New Roman" w:hAnsi="Times New Roman" w:cs="Times New Roman"/>
          <w:sz w:val="24"/>
          <w:szCs w:val="24"/>
        </w:rPr>
        <w:t>Artículos no incluidos en el mapa</w:t>
      </w:r>
    </w:p>
    <w:p w14:paraId="74B9E809" w14:textId="77777777" w:rsidR="00165F2D" w:rsidRPr="00B36B97" w:rsidRDefault="00165F2D" w:rsidP="00165F2D">
      <w:pPr>
        <w:pStyle w:val="Sinespaciado"/>
        <w:spacing w:before="120" w:after="12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Literature Cited</w:t>
      </w:r>
    </w:p>
    <w:p w14:paraId="1B0796C2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Agudo, E.A., and E. Klein Salas. 2014.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Lionfish abundance, size structure and spatial distribution along the Venezuelan coast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Pteroinae: Scorpaenidae).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Rev. Biol. Trop. 62 (3): 151-158. http://www.scielo.sa.cr/scielo.php?script=sci_arttext&amp;pid=S0034-77442014000700025&amp;lng=en&amp;nrm=iso</w:t>
      </w:r>
    </w:p>
    <w:p w14:paraId="0D2F6320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Aguilar-Medrano, R., and Ma.E. Vega-Cendejas.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2020. Size, weight, and diet of the invasive lionfish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(Linnaeus, 1758) on the southern coast of Veracruz,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Gulf of Mexico. Ciencias Marinas 46(1):57–64. https://doi.org/10.7773/cm.v46i1.3012.</w:t>
      </w:r>
    </w:p>
    <w:p w14:paraId="6DFA8383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Ahrenholz, D.W., and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J.A. Morris. 2010. Larval duration of the lionfish,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along the Bahamian Archipelago.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Environ. Biol. Fishes. 88(4): 305-309.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https://doi.org/10.1007/s10641-010-9647-4</w:t>
      </w:r>
    </w:p>
    <w:p w14:paraId="005030DF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Albins, M.A., and M.A. Hixon. 2008. Invasive Indo-Pacific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reduce recruitment of Atlantic coral-reef fishes. </w:t>
      </w:r>
      <w:r w:rsidRPr="00B36B97">
        <w:rPr>
          <w:rFonts w:ascii="Times New Roman" w:hAnsi="Times New Roman" w:cs="Times New Roman"/>
          <w:iCs/>
          <w:color w:val="000000" w:themeColor="text1"/>
          <w:lang w:val="en-US"/>
        </w:rPr>
        <w:t>Mar. Ecol. Prog. Ser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.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367: 233-238. https://doi.org/10.3354/meps07620</w:t>
      </w:r>
    </w:p>
    <w:p w14:paraId="12E2E3CE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Albins, M.A., and P.J. Lyons. 2012. Invasive red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blow directed jets of water at prey fish. Mar. Ecol. Prog. Ser.</w:t>
      </w:r>
      <w:r w:rsidRPr="00B36B97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448: 1-5. https://doi.org/10.3354/meps09580</w:t>
      </w:r>
    </w:p>
    <w:p w14:paraId="254A1E12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Albins, M.A. 2013. Effects of invasive Pacific red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versus a native predator on Bahamian coral-reef fish communities. Biol Invasions. 15: 29–43. https://doi.org/10.1007/s10530-012-0266-1</w:t>
      </w:r>
    </w:p>
    <w:p w14:paraId="27704FEA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Albins, M.A. 2015. Invasive Pacific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reduce abundance and species richness of native Bahamian coral-reef fishes. Mar. Ecol. Prog. Ser</w:t>
      </w:r>
      <w:r w:rsidRPr="00B36B97">
        <w:rPr>
          <w:rFonts w:ascii="Times New Roman" w:hAnsi="Times New Roman" w:cs="Times New Roman"/>
          <w:i/>
          <w:color w:val="000000" w:themeColor="text1"/>
          <w:lang w:val="en-US"/>
        </w:rPr>
        <w:t xml:space="preserve">.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522: 231–243. https://doi.org/10.3354/meps11159</w:t>
      </w:r>
    </w:p>
    <w:p w14:paraId="1AB68067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Anderson, L.G., J.K. Chapman, D. Escontrela, and Ch.L.A. Gough.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2017.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role of conservation volunteers in the detection, monitoring and management of invasive alien lionfish.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Management of Biological Invasions 8(4): 589–598. https://doi.org/10.3391/mbi.2017.8.4.14</w:t>
      </w:r>
    </w:p>
    <w:p w14:paraId="3CC3B927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Anton, A., M.S. Simpson, and I. Vu. 2014.  Environmental and Biotic Correlates to Lionfish Invasion Success in Bahamian Coral Reefs. PLoS ONE 9(9): e106229. doi:10.1371/journal.pone.0106229.</w:t>
      </w:r>
    </w:p>
    <w:p w14:paraId="71D8BCA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Arredondo-Chávez, A.T., J.A. Sánchez-Jimenez, O.G. Ávila-Morales, P. Torres-Chávez, Y. Herrerias-Diego, M. Medina-Nava, X. Madrigal-Guridi, A. Campos-Mendoza, O. Domínguez-Domínguez, and J.A. Caballero-Vázquez.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2016. Spatio-temporal variation in the diet composition of red lionfish,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(Actinopterygii: Scorpaeniformes: Scorpaenidae), in the Mexican Caribbean: insights into the ecological effect of the alien invasion.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Acta Ichthyologica et Piscatoria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46 (3):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185–200. doi: 10.3750/AIP2016.46.3.03</w:t>
      </w:r>
    </w:p>
    <w:p w14:paraId="5810A06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Ballew, N.G., N.M Bacheler, G.T. Kellison, and A.M. Schueller. 2016. Invasive lionfish reduce native fish abundance on a regional scale.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Scientific Reports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32169. https://doi.org/10.1038/srep32169</w:t>
      </w:r>
    </w:p>
    <w:p w14:paraId="477A4DD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Betancur-R, R., A.P. Hines, A. Acero, G. Ortí, A.E. Wilbur, and D.W. Freshwater. 2011. Reconstructing the lionfish invasion: insights into Greater Caribbean biogeography. Journal of Biogeography. 38: 1281–1293 https://www.researchgate.net/publication/229988897.</w:t>
      </w:r>
    </w:p>
    <w:p w14:paraId="0A2CF3B8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Bogdanoff, A.K., J. Mostowy, J. Peake, C.A. Layman, A. Brito, C. Gonzalez, N. Hernández, D.T. Martinez, M.R. Bravo, and J.A. Morris. 2018.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 brief description of invasive lionfish (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Pterois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spp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.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 diet composition in the Arrecifes de Cozumel National Park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Food Webs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17. https://doi.org/10.1016/j.fooweb.2018.e00104</w:t>
      </w:r>
    </w:p>
    <w:p w14:paraId="798E9DF3" w14:textId="77777777" w:rsidR="00165F2D" w:rsidRPr="00B36B97" w:rsidRDefault="00165F2D" w:rsidP="00165F2D">
      <w:pPr>
        <w:tabs>
          <w:tab w:val="left" w:pos="1362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Bogdanoff, A.K., C.A. Layman, J. Fleming, J.L. Akins, and J.A. Morris. 2020b. The use of artificial structure to attract and aggregate invasive lionfish (Pterois spp.) to enhance capture for control and commercialization. </w:t>
      </w:r>
    </w:p>
    <w:p w14:paraId="6F4E77BF" w14:textId="77777777" w:rsidR="00165F2D" w:rsidRPr="00B36B97" w:rsidRDefault="00165F2D" w:rsidP="00165F2D">
      <w:pPr>
        <w:tabs>
          <w:tab w:val="left" w:pos="1362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Bogdanoff, A.K., C.A. Layman, T. Rezek, D.P. Nowacek, and J.A. Morris. 2020a.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Lionfish (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Pterois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spp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.)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vocalizations and the potential for using passive acoustics to monitor invasive populations in the temperate and tropical western Atlantic. </w:t>
      </w:r>
    </w:p>
    <w:p w14:paraId="3054DFFC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Bogdanoff, A.K., K.W. Shertzer, C.A. Layman, J.K. Chapman, M.L. Fruitema, J. Solomon, J. Sabattis, S.J. Green, and J.A. Morris. 2021.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Optimum lionfish yield: A non-traditional management concept for invasive lionfish (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Pterois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spp.) fisheries.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Invasions 23: 795-810. http://doi.org/10.1007/s10530-020-02398-z</w:t>
      </w:r>
    </w:p>
    <w:p w14:paraId="7B4F506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Burford Reiskind M.O., E.M.X. Reed, A. Elias, J.J. Giacomini, A.F. McNear, J. Nieuwsma, G.A. Parker, R.B. Roberts, R.E. Rossi, C.N. Stephenson, J.L. Stevens, B.E. Williams. 2019. The genomics of invasion: characterization of red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populations from the native and introduced Ranges. Biol Invasions. </w:t>
      </w:r>
      <w:hyperlink r:id="rId10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https://doi.org/10.1007/s10530-019-01992-0</w:t>
        </w:r>
      </w:hyperlink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CCD710A" w14:textId="77777777" w:rsidR="00165F2D" w:rsidRDefault="00165F2D" w:rsidP="00165F2D">
      <w:pPr>
        <w:spacing w:after="0" w:line="480" w:lineRule="auto"/>
        <w:ind w:left="284" w:hanging="284"/>
        <w:jc w:val="both"/>
        <w:rPr>
          <w:rFonts w:ascii="Times New Roman" w:eastAsia="NimbusRomNo9L-Regu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Bustos-Montes, D., M. Wolff, A. Sanjuan-Muñoz, and A. Acero.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2020. Growth parameters of the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 in the Colombian Caribbean.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Regional Studies in Marine Science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hyperlink r:id="rId11">
        <w:r w:rsidRPr="00B36B97">
          <w:rPr>
            <w:rStyle w:val="EnlacedeInternet"/>
            <w:rFonts w:ascii="Times New Roman" w:eastAsia="NimbusRomNo9L-Regu" w:hAnsi="Times New Roman" w:cs="Times New Roman"/>
            <w:color w:val="000000" w:themeColor="text1"/>
            <w:sz w:val="24"/>
            <w:szCs w:val="24"/>
          </w:rPr>
          <w:t>https://doi.org/10.1016/j.rsma.2020.101362</w:t>
        </w:r>
      </w:hyperlink>
      <w:r w:rsidRPr="00B36B97">
        <w:rPr>
          <w:rFonts w:ascii="Times New Roman" w:eastAsia="NimbusRomNo9L-Regu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163307D" w14:textId="73978DBC" w:rsidR="009512DF" w:rsidRPr="00B36B97" w:rsidRDefault="009512DF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512D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Chagaris, D. D., Patterson III, W. F.,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Allen, M. S. 2020</w:t>
      </w:r>
      <w:r w:rsidRPr="009512D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Relative effects of multiple stressors on reef food webs in the Northern Gulf of Mexico revealed via ecosystem modeling. Frontiers in Marine Science, 7, 513.</w:t>
      </w:r>
      <w:r w:rsidR="008A3C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doi</w:t>
      </w:r>
      <w:r w:rsidR="008A3C97" w:rsidRPr="008A3C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 w:rsidR="008A3C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8A3C97" w:rsidRPr="008A3C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10.3389/fmars.2020.00513</w:t>
      </w:r>
    </w:p>
    <w:p w14:paraId="3979BF4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Chel-Guerrero, L., D. Cua-Aguayo, D. Betancur-Ancona, A. Chuc-Koyoc, I. Aranda-González, and S. Gallegos-Tintoré.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2020.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Style w:val="A2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Antioxidant and chelating activities from Lionfish (</w:t>
      </w:r>
      <w:r w:rsidRPr="00B36B97">
        <w:rPr>
          <w:rStyle w:val="A2"/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Style w:val="A2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L.) muscle protein hydrolysates produced by in vitro digestion using pepsin and pancreatin.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Emir. J. Food Agric. 32(1): 62-72. https://doi.org/10.9755/ejfa.2020.v32.i1.2060</w:t>
      </w:r>
    </w:p>
    <w:p w14:paraId="0EACC8E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Chen, Ch., K. Shao, and Y. Tu.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2004.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Effect of thermal discharges on the Fish assemblages of a nuclear power Plant in northern Taiwan.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Journal of Marine Science and Technology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12(5): 404-410. doi: 10.51400/2709-6998.2261. https://jmstt.ntou.edu.tw/journal/vol12/iss5/6</w:t>
      </w:r>
    </w:p>
    <w:p w14:paraId="15A4679E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Chevalier-Monteagudo, P.P. 2017. Efecto de las poblaciones de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(Pisces: Scorpaenidae) sobre sus principales presas y competidores entre los peces de arrecifes en varias localidades en Cuba. Ph.D. thesis. Acuario Nacional de Cuba, La Habana, Cuba. 117 p.</w:t>
      </w:r>
    </w:p>
    <w:p w14:paraId="5F27CB20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Chevalier-Monteagudo, P.P., E. Gutiérrez, D. Ibarzabal, S. Romero, V. Isla, E. Hernández. 2008. Primer registro de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(Pisces: Scorpaenidae) para aguas cubanas. Solenodon 7: 37-40. </w:t>
      </w:r>
    </w:p>
    <w:p w14:paraId="31E014F3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Cobián-Rojas, D., P.P. Chevalier- Monteagudo, J.J. Schimitter-Soto, R.I. Corrada- Wong, H. Salvat-Torres, E. Cabrera-Sansón, A. García-Rodríguez, A. Fernández-Osorio, L. Espinosa-Pantoja, D. Cabrera-Guerra, L.M. Pantoja-Echevaria, H. Caballero-Aragón, and S. Perera-Valderrama.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2016. Density, size, biomass, and diet of lionfish in Guanahacabibes National Park, western Cuba.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Aquatic Biology 24: 219-226. https://doi.org/10.3354/ab00651 </w:t>
      </w:r>
    </w:p>
    <w:p w14:paraId="7C9076E1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36B97">
        <w:rPr>
          <w:rFonts w:ascii="Times New Roman" w:hAnsi="Times New Roman" w:cs="Times New Roman"/>
          <w:color w:val="000000" w:themeColor="text1"/>
        </w:rPr>
        <w:t xml:space="preserve">Cobián-Rojas, D., J.J. Schmitter-Soto, A. Aguilar-Perera, C.M. Aguilar, M.Á. Ruiz-Zárate, G. González, P.P. Chevalier, A. García, R. Herrera, S. Perera, H. Caballero, E. Guardia. 2018a. </w:t>
      </w:r>
      <w:r w:rsidRPr="00B36B97">
        <w:rPr>
          <w:rFonts w:ascii="Times New Roman" w:hAnsi="Times New Roman" w:cs="Times New Roman"/>
          <w:bCs/>
          <w:color w:val="000000" w:themeColor="text1"/>
        </w:rPr>
        <w:t xml:space="preserve">Diversidad de las comunidades de peces en dos áreas marinas protegidas del Caribe y su relación con el pez león. </w:t>
      </w:r>
      <w:r w:rsidRPr="00B36B97">
        <w:rPr>
          <w:rFonts w:ascii="Times New Roman" w:hAnsi="Times New Roman" w:cs="Times New Roman"/>
          <w:color w:val="000000" w:themeColor="text1"/>
        </w:rPr>
        <w:t>Rev. Biol. Trop. 66(1): 189-203.</w:t>
      </w:r>
      <w:r w:rsidRPr="00B36B97">
        <w:rPr>
          <w:rFonts w:ascii="Times New Roman" w:hAnsi="Times New Roman" w:cs="Times New Roman"/>
          <w:bCs/>
          <w:color w:val="000000" w:themeColor="text1"/>
        </w:rPr>
        <w:t xml:space="preserve"> </w:t>
      </w:r>
      <w:hyperlink r:id="rId12">
        <w:bookmarkStart w:id="1" w:name="doi"/>
        <w:bookmarkEnd w:id="1"/>
        <w:r w:rsidRPr="00B36B97">
          <w:rPr>
            <w:rStyle w:val="EnlacedeInternet"/>
            <w:rFonts w:ascii="Times New Roman" w:hAnsi="Times New Roman" w:cs="Times New Roman"/>
            <w:bCs/>
            <w:color w:val="000000" w:themeColor="text1"/>
          </w:rPr>
          <w:t>http://dx.doi.org/10.15517/rbt.v66i1.28197</w:t>
        </w:r>
      </w:hyperlink>
      <w:r w:rsidRPr="00B36B9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181458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Cohen, A.S., and A.J. Olek. 1989. An extract of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spine tissue contains acethylcholine and a toxin that affects neuromuscular-transmission. Toxicon 27(12): 1367-1376.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hyperlink r:id="rId13" w:tgtFrame="_blank">
        <w:r w:rsidRPr="00B36B97">
          <w:rPr>
            <w:rStyle w:val="EnlacedeInternet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https://doi.org/10.1016/0041-0101(89)90068-8</w:t>
        </w:r>
      </w:hyperlink>
    </w:p>
    <w:p w14:paraId="67560252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Côté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, I.M., and A. Maljkovic. 2010. Predation rates of Indo-Pacific lionfish on Bahamian coral reefs. Mar. Ecol. Prog. Ser.</w:t>
      </w:r>
      <w:r w:rsidRPr="00B36B97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Pr="00B36B97">
        <w:rPr>
          <w:rFonts w:ascii="Times New Roman" w:eastAsia="Calibri" w:hAnsi="Times New Roman" w:cs="Times New Roman"/>
          <w:color w:val="000000" w:themeColor="text1"/>
          <w:lang w:val="en-US"/>
        </w:rPr>
        <w:t>404: 219-2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25. https://doi.org/10.3354/meps08458</w:t>
      </w:r>
    </w:p>
    <w:p w14:paraId="48C139C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Cruz-López, C., A. Sanz-Ochotorena, Y. Rodríguez-Gómez, R. Lara-Martínez, M. de L. Segura-Valdéz, L.F. Jiménez-García. 2020. Morfología de las gónadas maduras del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pez león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Pisces, Scorpaenidae) en el litoral oeste de La Habana.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Rev. Invest. Mar.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 (2): 26-42.</w:t>
      </w:r>
    </w:p>
    <w:p w14:paraId="37D2E5FB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Cure, K., C.E. Benkwitt, T.L. Kindinger, E.A. Pickering, T.J.  Pusack, J.L. Mcilwain, and M. Hixon. 2012. Comparative behavior of red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on native Pacific versus invaded Atlantic coral reefs. Mar. Ecol. Prog. Ser. 467: 181-192. https://doi.org/10.3354/meps09942 </w:t>
      </w:r>
    </w:p>
    <w:p w14:paraId="30CDA1BB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Curtis, J.S., K.R. Wall, M.A. Albins, and C.D. Stallings. 2017. Diet shifts in a native mesopredator across a range of invasive lionfish biomass. 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Mar. Ecol. Prog. Ser.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573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215-228. https://doi.org/10.3354/meps12164 </w:t>
      </w:r>
    </w:p>
    <w:p w14:paraId="5BC24AB7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Dahl, K.A., and W.F. Patterson. 2020. Movement, home range, and depredation of invasive lionfish revealed by fine-scale acoustic telemetry in the northern Gulf of Mexico.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Mar Biol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167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1-22.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https://doi.org/10.1007/s00227-020-03728-4</w:t>
      </w:r>
    </w:p>
    <w:p w14:paraId="47B928C5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Dahl, K.A., W.F. 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Patterson III, A. Robertson, and A.C. Ortmann. 2017. DNA barcoding significantly improves resolution of invasive lionfish diet in the northern Gulf of Mexico.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Invasions.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doi: 10.1007/s10530-017-1407-3.</w:t>
      </w:r>
    </w:p>
    <w:p w14:paraId="255DE2B0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Dahl, K.A., and W.F. Patterson III. 2014. Habitat-specific density and diet of rapidly expanding invasive red lionfish,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populations in the Northern Gulf of Mexico. PLoS ONE 9(8): e105852. doi: 10.1371/journal.pone.0105852.</w:t>
      </w:r>
    </w:p>
    <w:p w14:paraId="1DCE3A9A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bCs/>
          <w:color w:val="000000" w:themeColor="text1"/>
          <w:lang w:val="en-US"/>
        </w:rPr>
        <w:t>Dahl, K.A., M.A. Edwards, and W.F. Patterson III. 2019. Density-dependent condition and growth of invasive lionfish in the northern Gulf of Mexico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B36B97">
        <w:rPr>
          <w:rFonts w:ascii="Times New Roman" w:hAnsi="Times New Roman" w:cs="Times New Roman"/>
          <w:bCs/>
          <w:color w:val="000000" w:themeColor="text1"/>
          <w:lang w:val="en-US"/>
        </w:rPr>
        <w:t>Mar. Ecol. Prog. Ser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B36B97">
        <w:rPr>
          <w:rFonts w:ascii="Times New Roman" w:hAnsi="Times New Roman" w:cs="Times New Roman"/>
          <w:bCs/>
          <w:color w:val="000000" w:themeColor="text1"/>
          <w:lang w:val="en-US"/>
        </w:rPr>
        <w:t xml:space="preserve">623: 145–159. https://doi.org/10.3354/meps13028 </w:t>
      </w:r>
    </w:p>
    <w:p w14:paraId="0BAAF66C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Darling, E.S., S.J. Green, J.K. O’Leary, and I.M. Côté. 2011. Indo-Pacific lionfish are larger and more abundant on invaded reefs: a comparison of Kenyan and Bahamian lionfish populations. Biol Invasions 13: 2045–2051. https://doi.org/10.1007/s10530-011-0020-0</w:t>
      </w:r>
    </w:p>
    <w:p w14:paraId="38BC43DC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De León, R., K. Vane, P. Bertuol, V.C. Chamberland, F. Simal, E. Imms, M.J.A. Vermeij.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2013.  Effectiveness of lionfish removal efforts in the southern Caribbean. Endang Species Res. 22: 175–182. https://doi.org/10.3354/esr00542</w:t>
      </w:r>
    </w:p>
    <w:p w14:paraId="35A47FA5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Eaton, L., K.A. Sloman, R.W. Wilson, A.B. Gill, A.R. Harborne. 2016. Non-consumptive effects of native and invasive predators on juvenile Caribbean parrotfish.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Environ. Biol. Fishes.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99 (5):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499–508. https://doi.org/10.1007/s10641-016-0486-9</w:t>
      </w:r>
    </w:p>
    <w:p w14:paraId="02C1A062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Eddy, C. 2019. Trophic discrimination factors for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P.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in Bermuda. Biol Invasions. </w:t>
      </w:r>
      <w:hyperlink r:id="rId14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https://doi.org/10.1007/s10530-019-02078-7</w:t>
        </w:r>
      </w:hyperlink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9326EFF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Eddy, C., J.M. Pitt, J. Larkum, M.A. Altabet, and D. Bernal. 2020. Stable Isotope Ecology of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P.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 in Bermuda.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Front. Mar. Sci.7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435. doi: 10.3389/fmars.2020.00435</w:t>
      </w:r>
    </w:p>
    <w:p w14:paraId="677877E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Elise, S., I. Urbina-Barreto, H. Boadas-Gil, M. Galindo-Vivas, and M. Kulbicki. 2014. No detectable effect of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P.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invasion on a healthy reef fish assemblage in Archipelago Los Roques National Park, Venezuela.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Mar Biol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doi: 10.1007/s00227-014-2571-y</w:t>
      </w:r>
    </w:p>
    <w:p w14:paraId="5FDDE39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Ferreira, C.E.L., O.J. Luiz, S.R. Floeter, M.B. Lucena, M.C. Barbosa, C.R. Rocha, L.A. Rocha. 2015. First Record of Invasive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for the Brazilian Coast. PLoS ONE 10(4): 1-5. </w:t>
      </w:r>
      <w:hyperlink r:id="rId15">
        <w:r w:rsidRPr="00B36B97">
          <w:rPr>
            <w:rStyle w:val="EnlacedeInternet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https://doi.org/10.1371/journal.pone.0123002</w:t>
        </w:r>
      </w:hyperlink>
    </w:p>
    <w:p w14:paraId="5E7021D8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Fishelson, L. 1997. Experiments and observations on food consumption, growth and starvation in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Dendrochirus brachypterus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>(Pteroinae, Scorpaenidae). Environ. Biol. Fishes. 50: 391-403. https://doi.org/10.1023/A:1007331304122</w:t>
      </w:r>
    </w:p>
    <w:p w14:paraId="182A856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García-Rivas, M.D.C., S. Machkour-M’Rabet, G. Pérez-Lachaud, J.J. Schmitter-Soto, C. Doneys, N. St-Jean, D. Cobián, and Y. Hénaut.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2017. What are the characteristics of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lionfish and other fishes that influence their association in diurnal refuges?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Marine Biology Research.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doi: 10.1080/17451000.2017.1314496.</w:t>
      </w:r>
    </w:p>
    <w:p w14:paraId="324D7054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Gardner, P.G., T.K. Frazer, C.A. Jacoby, and R.P.E. Yanong. 2015. Reproductive biology of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spp.). Front. Mar. Sci.2(7): 1-10. </w:t>
      </w:r>
      <w:hyperlink r:id="rId16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https://doi.org/10.3389/fmars.2015.00007</w:t>
        </w:r>
      </w:hyperlink>
    </w:p>
    <w:p w14:paraId="3540E232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Goodbody-Gringley, G., C. Eddy, J.M. Pitt, A.D. Chequer, and S.R. Smith. 2019. Ecological Drivers of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Distribution Across Mesophotic Reefs in Bermuda. Front. Mar. Sci. 6:258. </w:t>
      </w:r>
      <w:hyperlink r:id="rId17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https://doi.org/10.3389/fmars.2019.00258</w:t>
        </w:r>
      </w:hyperlink>
    </w:p>
    <w:p w14:paraId="153259E1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Green, S. J., and I. M. Côté. 2009. Record densities of Indo-Pacific lionfish on Bahamian coral reefs. </w:t>
      </w:r>
      <w:r w:rsidRPr="00B36B97">
        <w:rPr>
          <w:rFonts w:ascii="Times New Roman" w:hAnsi="Times New Roman" w:cs="Times New Roman"/>
          <w:bCs/>
          <w:i/>
          <w:color w:val="000000" w:themeColor="text1"/>
          <w:lang w:val="en-US"/>
        </w:rPr>
        <w:t>Coral Reefs</w:t>
      </w:r>
      <w:r w:rsidRPr="00B36B97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 28 (107). doi: 10.1007/s00338-008-0446-8</w:t>
      </w:r>
    </w:p>
    <w:p w14:paraId="47AECBAE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Green, S.J., J.L. Akins, A. Maljkovi´c, and I.M. Côté. 2012. Invasive Lionfish Drive Atlantic Coral Reef Fish Declines.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PLoS One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7 (3):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e32596. doi:10.1371/journal.pone.0032596</w:t>
      </w:r>
    </w:p>
    <w:p w14:paraId="3CB2E3B3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Green, S.J., J.L. Akins, and I.M. Côté. 2011. Foraging behavior and prey consumption in the Indo-Pacific lionfish on Bahamian coral reefs. </w:t>
      </w:r>
      <w:r w:rsidRPr="00B36B97">
        <w:rPr>
          <w:rFonts w:ascii="Times New Roman" w:hAnsi="Times New Roman" w:cs="Times New Roman"/>
          <w:color w:val="000000" w:themeColor="text1"/>
        </w:rPr>
        <w:t>Mar. Ecol. Prog. Ser.</w:t>
      </w:r>
      <w:r w:rsidRPr="00B36B9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</w:rPr>
        <w:t xml:space="preserve">433: 159-167. https://doi.org/10.3354/meps09208 </w:t>
      </w:r>
    </w:p>
    <w:p w14:paraId="35D6140F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36B97">
        <w:rPr>
          <w:rFonts w:ascii="Times New Roman" w:hAnsi="Times New Roman" w:cs="Times New Roman"/>
          <w:color w:val="000000" w:themeColor="text1"/>
        </w:rPr>
        <w:t xml:space="preserve">Guardia, E.d.l., D.C. Rojas, L. Espinosa, Z. Hernández, L. García, and J.E.A. González. 2017. Distribución y abundancia del pez león </w:t>
      </w:r>
      <w:r w:rsidRPr="00B36B97">
        <w:rPr>
          <w:rFonts w:ascii="Times New Roman" w:hAnsi="Times New Roman" w:cs="Times New Roman"/>
          <w:i/>
          <w:color w:val="000000" w:themeColor="text1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</w:rPr>
        <w:t xml:space="preserve"> (Scorpaeniformes: Scorpaenidae) y especies nativas asociadas en el Parque Marino Cayos de San Felipe, Cuba. </w:t>
      </w:r>
      <w:r w:rsidRPr="00B36B97">
        <w:rPr>
          <w:rFonts w:ascii="Times New Roman" w:eastAsia="TimesNewRomanPSMT" w:hAnsi="Times New Roman" w:cs="Times New Roman"/>
          <w:color w:val="000000" w:themeColor="text1"/>
        </w:rPr>
        <w:t>Rev. Biol. Trop.</w:t>
      </w:r>
      <w:r w:rsidRPr="00B36B97">
        <w:rPr>
          <w:rFonts w:ascii="Times New Roman" w:hAnsi="Times New Roman" w:cs="Times New Roman"/>
          <w:color w:val="000000" w:themeColor="text1"/>
        </w:rPr>
        <w:t xml:space="preserve"> 65 (1): 117-125.</w:t>
      </w:r>
    </w:p>
    <w:p w14:paraId="70CC489B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</w:rPr>
        <w:t xml:space="preserve">Guerrero, K.A., and L.A. Franco.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2008. First record of the Indo-Pacifica red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(Linnaeus, 1758) for the Dominican Republic. </w:t>
      </w:r>
      <w:r w:rsidRPr="00B36B97">
        <w:rPr>
          <w:rFonts w:ascii="Times New Roman" w:hAnsi="Times New Roman" w:cs="Times New Roman"/>
          <w:iCs/>
          <w:color w:val="000000" w:themeColor="text1"/>
          <w:lang w:val="en-US"/>
        </w:rPr>
        <w:t>Aquatic Invasions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 3(2): 267-268. doi: 10.3391/ai.2008.3.2.21</w:t>
      </w:r>
    </w:p>
    <w:p w14:paraId="6F754426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Guzmán-Méndez, I.A., R. Rivera-Madrid, P. Díaz-Jaimes, M.C. García-Rivas, M. Aguilar-Espinoza, and J.E. Arias-González.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2017. First genetically confirmed record of the invasive devil firefish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(Bennett, 1828) in the Mexican Caribbean. Biolnvasions Records 6(2): 99-103. https://doi.org/10.3391/bir.2017.6.2.02</w:t>
      </w:r>
    </w:p>
    <w:p w14:paraId="098D0C46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Hackerott, S., A. Valdivia, S.J Green, I.M. Côté, C.E. Cox, L. Akins, C.A. Layman, W.F. Precht, J.F. Bruno. 2013. Native Predators Do Not Influence Invasion Success of Pacific Lionfish on Caribbean. Reefs. PLoS ONE 8(7): e68259. doi:10.1371/journal.pone.0068259.</w:t>
      </w:r>
    </w:p>
    <w:p w14:paraId="031C8857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Hamner, R.M., D.W. Freshwater, and P.E. Whtifield. 2007. Mytochondrial cytochrome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b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 reveales two invasive lionfish species with strong founder effects in the western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Atlantic.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J. Fish. Biol.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71(B): 214-222. </w:t>
      </w:r>
      <w:hyperlink r:id="rId18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https://doi.org/10.1111/j.1095-8649.2007.01575.x</w:t>
        </w:r>
      </w:hyperlink>
    </w:p>
    <w:p w14:paraId="78A72557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Harris H.E., W.F. Patterson III, R.N.M. Ahrens, and M.S. Allen. 2019. Detection and removal efficiency of invasive lionfish in the northern Gulf of Mexico.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Fisheries Research 213:  22–32. </w:t>
      </w:r>
      <w:hyperlink r:id="rId19" w:tgtFrame="_blank">
        <w:r w:rsidRPr="00B36B97">
          <w:rPr>
            <w:rStyle w:val="EnlacedeInternet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https://doi.org/10.1016/j.fishres.2019.01.002</w:t>
        </w:r>
      </w:hyperlink>
    </w:p>
    <w:p w14:paraId="0D12B4F3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Hunt, C.L., D.A Andradi-Brown, C.J.Hudson,  J. Bennett-Williams, F. Noades,  J. Curtis-Quick, O.T. Lewis,  and D.A. Exton. 2020. Shelter use interactions of invasive lionfish with commercially and ecologically important native invertebrates on Caribbean coral reefs.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PloS ONE 15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(8), e0236200. </w:t>
      </w:r>
      <w:hyperlink r:id="rId20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https://doi.org/10.1371/journal.pone.0236200</w:t>
        </w:r>
      </w:hyperlink>
    </w:p>
    <w:p w14:paraId="608A326F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Kindinger, K.L., and M.A. Albins. 2017. Consumptive and non-consumptive effects of an invasive marine predator on native coral-reef herbivores.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Invasions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19: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131–146. https://doi.org/10.1007/s10530-016-1268-1</w:t>
      </w:r>
    </w:p>
    <w:p w14:paraId="462CBC86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Kochzius, M., R. Soller, M.A. Khalaf, and D. Blohmb. 2003. Molecular phylogeny of the lionfish genera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Dendrochirus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(Scorpaenidae, Pteroinae) based on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mitochondrial DNA sequences.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Molecular Phylogenetics and Evolution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28: 396–403. </w:t>
      </w:r>
      <w:hyperlink r:id="rId21" w:tgtFrame="_blank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https://doi.org/10.1016/S1055-7903(02)00444-X</w:t>
        </w:r>
      </w:hyperlink>
    </w:p>
    <w:p w14:paraId="3D494802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Kulbicki, M., J. Bates, P. Chabanet, K. Cure, E. Darling, S.R. Floeter, R. Galzin, A. Green, M. Harmelin-Viruen, M. Hixon, Y. Letourneur, T. Lison de Loma, McClonahan, J. McIlwain, G. Moutham, R. Myers, J.K. O´Leary, S. Planes, L. Vigliola, and L. Wantiez. 2012. Distributions of Indo-Pacific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spp. in their native ranges: implications for the Atlantic Invasion. </w:t>
      </w:r>
      <w:r w:rsidRPr="00B36B97">
        <w:rPr>
          <w:rFonts w:ascii="Times New Roman" w:hAnsi="Times New Roman" w:cs="Times New Roman"/>
          <w:color w:val="000000" w:themeColor="text1"/>
        </w:rPr>
        <w:t>Mar. Ecol. Prog. Ser</w:t>
      </w:r>
      <w:r w:rsidRPr="00B36B97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Pr="00B36B97">
        <w:rPr>
          <w:rFonts w:ascii="Times New Roman" w:hAnsi="Times New Roman" w:cs="Times New Roman"/>
          <w:color w:val="000000" w:themeColor="text1"/>
        </w:rPr>
        <w:t xml:space="preserve">446: 189- 205. https://doi.org/10.3354/meps09442 </w:t>
      </w:r>
    </w:p>
    <w:p w14:paraId="3F5C3AB6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Labastida, E., D. Cobián, Y. Hénaut, M.C. García-Rivas, P.P. Chevalier, and S. Machkour-M ́Rabet.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2015. The use of ISSR markers for species determination and a genetic study of the invasive lionfish in Guanahacabibes, Cuba.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Latin American Journal of Aquatic Research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43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(5): 1011-1018. </w:t>
      </w:r>
      <w:hyperlink r:id="rId22">
        <w:bookmarkStart w:id="2" w:name="pub-id%253A%253Adoi"/>
        <w:bookmarkEnd w:id="2"/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https://doi.org/10.3856/vol43-issue5-fulltext-21</w:t>
        </w:r>
      </w:hyperlink>
    </w:p>
    <w:p w14:paraId="5045249E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Labastida, E., S. Machkour-M’Rabet, L. Carrillo, Y. Hénaut, and D.N. Castelblanco-Martínez.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2019. Genetic structure of Mexican lionfish populations in the southwest Gulf of Mexico and the Caribbean Sea.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PloS ONE 14(10), e0222997. </w:t>
      </w:r>
      <w:hyperlink r:id="rId23">
        <w:r w:rsidRPr="00B36B97">
          <w:rPr>
            <w:rStyle w:val="EnlacedeInternet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https://doi.org/10.1371/journal.pone.0222997</w:t>
        </w:r>
      </w:hyperlink>
    </w:p>
    <w:p w14:paraId="1535EB0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Lyons, T.J., Q.M. Tuckett, A. Durland, and J.E. Hill. 2020. Risk screen of lionfishes, Pterois, Dendrochirus, and Parapterois, for southeastern United States coastal waters of the Gulf of Mexico and Atlantic Ocean. Biol Invasions. https://doi.org/10.1007/s10530-020-02203-x.</w:t>
      </w:r>
    </w:p>
    <w:p w14:paraId="50869B79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Maljkovic, A., and T.E. Van Leeuwen. 2008. Predation on the invasive red lionfish, </w:t>
      </w:r>
      <w:r w:rsidRPr="00B36B97">
        <w:rPr>
          <w:rFonts w:ascii="Times New Roman" w:hAnsi="Times New Roman" w:cs="Times New Roman"/>
          <w:i/>
          <w:color w:val="000000" w:themeColor="text1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 (Pisces: Scorpaenidae), by native groupers in the Bahamas. Coral Reefs 27 (501). https://doi.org/10.1007/s00338-008-0372-9</w:t>
      </w:r>
    </w:p>
    <w:p w14:paraId="50A1A53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lastRenderedPageBreak/>
        <w:t>McCleery, C. 2011. A comparative study of the feeding ecology of invasive lionfish (</w:t>
      </w:r>
      <w:r w:rsidRPr="00B36B97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) in the Caribbean</w:t>
      </w:r>
      <w:r w:rsidRPr="00B36B97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J. Mar. Sci. 9: 38-43. </w:t>
      </w:r>
    </w:p>
    <w:p w14:paraId="310404AF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Morris, J.A., and J.L. Akins. 2009. Feeding ecology of invasive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in the Bahamian archipelago. Environ. Biol. Fishes. 86: 389-398. https://doi.org/10.1007/s10641-009-9538-8</w:t>
      </w:r>
    </w:p>
    <w:p w14:paraId="2CB83D18" w14:textId="77777777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Morris, J.A., K.W. Shertzer, and J.A. Rice. 2011b. A stage-based matrix population model of invasive lionfish with implications for control.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Invasions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13:7–12. https://doi.org/10.1007/s10530-010-9786-8</w:t>
      </w:r>
    </w:p>
    <w:p w14:paraId="503E5911" w14:textId="623B8775" w:rsidR="00165F2D" w:rsidRPr="00B36B97" w:rsidRDefault="00165F2D" w:rsidP="00165F2D">
      <w:pPr>
        <w:pStyle w:val="Sinespaciado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Morris, J.A., C.V. Sullivan, and J.J. Govoni. 2011a. Oogenesis and spawn formation in the invasive lionfih,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Scientia Marina 75(1): 147-154. http://digital.casalini.it/2478336 </w:t>
      </w:r>
    </w:p>
    <w:p w14:paraId="02EBCE20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Murillo-Pérez, B.I., J.J. Schmitter-Soto, D. Cobián-Rojas, and R.L. Herrera-Pavón.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2021</w:t>
      </w:r>
      <w:r w:rsidRPr="00B36B9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.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Trophic overlap of lionfish (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 and two native predators (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Lutjanus apodus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and 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Cephalopholis cruentata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) in the western Caribbean.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Biota Neotropica 21(1): e20190909.</w:t>
      </w:r>
      <w:r w:rsidRPr="00B36B97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24" w:tgtFrame="_blank">
        <w:r w:rsidRPr="00B36B97">
          <w:rPr>
            <w:rStyle w:val="EnlacedeInternet"/>
            <w:rFonts w:ascii="Times New Roman" w:eastAsia="TimesNewRomanPSMT" w:hAnsi="Times New Roman" w:cs="Times New Roman"/>
            <w:bCs/>
            <w:color w:val="000000" w:themeColor="text1"/>
            <w:sz w:val="24"/>
            <w:szCs w:val="24"/>
          </w:rPr>
          <w:t>https://doi.org/10.1590/1676-0611-BN-2019-0909</w:t>
        </w:r>
      </w:hyperlink>
    </w:p>
    <w:p w14:paraId="1E1BD123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Oxley, W.G., A.M. Ayling, A.J. Cheal, and K. Osborne. 2004. Marine surveys undertaken in the Elizabeth and Middleton Reefs Marine National Nature Reserve, December 2003.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Australian Institute of Marine Science, Townsville. 42p.</w:t>
      </w:r>
    </w:p>
    <w:p w14:paraId="3B2F985B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Pantoja, L.,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P.P. Chevalier, D. Cabrera, 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R.I.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Corrada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C. Cobián, H. Caballero, A.  García, R.A. Fernández. 2017.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Superposición de la dieta del pez león 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Pterois volitans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(Teleostei:</w:t>
      </w:r>
      <w:r w:rsidRPr="00B36B97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Scorpaenidae) con la de peces nativos de nivel trófico similar en Cuba.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Boletín de Investigaciones Marinas y Costeras 46 (2): 115-134. </w:t>
      </w:r>
      <w:hyperlink r:id="rId25">
        <w:bookmarkStart w:id="3" w:name="doi1"/>
        <w:bookmarkEnd w:id="3"/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https://doi.org/10.25268/bimc.invemar.2017.46.2.732</w:t>
        </w:r>
      </w:hyperlink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BF4A949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Peake, J., A.K. Bogdanoff, C.A. Layman, B. Castillo, K. Reale-Munroe, J. Chapman,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 Dahl, W.F. Patterson III, C. Eddy, R.D. Ellis, M. Faletti, N. Higgs, M.A. Johnston,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R.C. Muñoz, V. Sandel, J.C. Villasenor-Derbez, J.A. Morris.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2018. Feeding ecology of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 in the temperate and tropical western Atlantic.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Biol invasions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20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(9): 2567-2597. https://doi.org/10.1007/s10530-018-1720-5</w:t>
      </w:r>
    </w:p>
    <w:p w14:paraId="07A13AC5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Ritger, A.L., C.T. Fountain, K. Bourne, J.A. Martín-Fernández, and M.E. Pierotti. 2020. Diet choice in a generalist predator, the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Pterois volitans/miles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Journal of Experimental Marine Biology and Ecology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524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1-7.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hyperlink r:id="rId26" w:tgtFrame="_blank">
        <w:r w:rsidRPr="00B36B97">
          <w:rPr>
            <w:rStyle w:val="EnlacedeInternet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https://doi.org/10.1016/j.jembe.2020.151311</w:t>
        </w:r>
      </w:hyperlink>
    </w:p>
    <w:p w14:paraId="4F584B31" w14:textId="77777777" w:rsidR="00165F2D" w:rsidRPr="00B36B97" w:rsidRDefault="00165F2D" w:rsidP="00165F2D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Rojas-Vélez S., J. Tavera, and A. Acero.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2019. Unraveling lionfish invasion: Is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truly a morphologically novel predator in the Caribbean? Biol Invasions. https://doi.org/10.1007/s10530-019-01946-6.(012</w:t>
      </w:r>
    </w:p>
    <w:p w14:paraId="0949766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Ruttenberg, B.I., P.J. Schofield, J.L. Akins, A. Acosta, M.W., Feeley, J. Blondeau, S.G. Smith, and J.S. Ault. 2012.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Rapid invasion of Indo-Pacific lionfishes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in the Florida Keys, USA: evidence from multiple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pre- and post-invasion data sets.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Bulletin of Marine Cience 88(4):1051–1059. </w:t>
      </w:r>
      <w:hyperlink r:id="rId27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https://doi.org/10.5343/bms.2011.1108</w:t>
        </w:r>
      </w:hyperlink>
    </w:p>
    <w:p w14:paraId="4230EB39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Sancho, G., P.R. Kingsley-Smith, J.A. Morris, C.A. Toline, V. McDonough, a</w:t>
      </w:r>
      <w:bookmarkStart w:id="4" w:name="_GoBack1"/>
      <w:bookmarkEnd w:id="4"/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 S.M. Doty. 2018. Invasive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volitans/miles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feeding ecology in Biscayne National Park, Florida, USA.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Biol Invasions.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8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https://doi.org/10.1007/s10530-018-1705-4</w:t>
        </w:r>
      </w:hyperlink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CAE6A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Sandel, V.M. 2011. El pez león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Pterois volitans/miles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complex) en el Área de Conservación La Amistad-Caribe, Costa Rica- estado actual de la población invasiva y perspectivas para su manejo. M.Sc. thesis. Universidad Nacional Heredia, Puntarenas, Costa Rica. p. 82 </w:t>
      </w:r>
    </w:p>
    <w:p w14:paraId="067C080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Santamaria, C.A., J. Locascio, and T.M. Greenan.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2020. First report of lionfish prey from Western Florida waters as identified by DNA barcoding.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PeerJ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e9922. </w:t>
      </w:r>
      <w:hyperlink r:id="rId29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https://doi.org/10.7717/peerj.9922</w:t>
        </w:r>
      </w:hyperlink>
    </w:p>
    <w:p w14:paraId="707009EF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Saunders, P.R., and P.B. Taylor. 1959. Venom of the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American Journal of Physiology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197: 437-440. </w:t>
      </w:r>
      <w:hyperlink r:id="rId30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https://doi.org/10.1152/ajplegacy.1959.197.2.437</w:t>
        </w:r>
      </w:hyperlink>
    </w:p>
    <w:p w14:paraId="153A1A13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Schofield, P.J. 2009. Geographic extent and chronology of the invasion of non-native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[Linnaeus 1758] and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P.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[Bennett 1828]) in the Western North Atlantic and Caribbean Sea.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Aquatic Invasions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4(3): 473-479. doi: 10.3391/ai.2009.4.3.5</w:t>
      </w:r>
    </w:p>
    <w:p w14:paraId="7107154E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Schofield, P.J. 2010. Update on geographic spread of invasive lionfishes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[Linnaeus, 1758] and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P. miles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[Bennett, 1828]) in the Western North Atlantic Ocean, Caribbean Sea and Gulf of Mexico. Aquatic Invasions 5(1): 117-122. </w:t>
      </w:r>
      <w:r w:rsidRPr="00B36B97">
        <w:rPr>
          <w:rStyle w:val="doilabel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doi:</w:t>
      </w:r>
      <w:hyperlink r:id="rId31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10.3391/AI.2010.5.S1.024</w:t>
        </w:r>
      </w:hyperlink>
    </w:p>
    <w:p w14:paraId="3DA97694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Simnitt, S., L. House, S.L. Larkin, J.S. Tookes, T. Yandle. 2020. Using Markets to Control Invasive Species: Lionfish in the US Virgin Islands.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Marine Resource Economics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35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(4): 319-341. </w:t>
      </w:r>
      <w:hyperlink r:id="rId32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https://doi.org/10.1086/710254</w:t>
        </w:r>
      </w:hyperlink>
    </w:p>
    <w:p w14:paraId="384471CD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Squadrone, S., P. Brizio, C. Stella, M. Mantia, L. Favaro, B. Biancani, S. Gridelli, C. Da Rugna, M.C. Abete.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2020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Differential Bioaccumulation of Trace Elements and Rare Earth Elements in the Muscle, Kidneys, and Liver of the Invasive Indo-Pacific Lionfish (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Pterois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spp.) from Cuba. 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Trace Elem Res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hyperlink r:id="rId33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https://doi.org/10.1007/s12011-019-01918-w</w:t>
        </w:r>
      </w:hyperlink>
    </w:p>
    <w:p w14:paraId="32378B84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Stern N., C. Jimenez, M.F. Huseyinoglu, V. Andreou, L. Hadijioannou, A. Petrou, B. Öztürk, D. Golani, S. Rothman.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2018. Constructing the genetic population demography of the invasive lionfish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miles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Levant Basin, Eastern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Mediterranean. Mitochondrial DNA Part A. </w:t>
      </w:r>
      <w:hyperlink r:id="rId34">
        <w:r w:rsidRPr="00B36B97">
          <w:rPr>
            <w:rStyle w:val="EnlacedeInternet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https://doi.org/10.1080/24701394.2018.1482284</w:t>
        </w:r>
      </w:hyperlink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7F0178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Tamburello, N., I.M. Côté. 2014. Movement ecology of Indo-Pacific lionfish on Caribbean coral reefs and its implications for invasion dynamics.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Biol Invasions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17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(6): 1639-1653. https://doi.org/10.1007/s10530-014-0822-y</w:t>
      </w:r>
    </w:p>
    <w:p w14:paraId="70C26D74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Tamburello, N., B.O. Ma, and I.M. Côté. 2019. From individual movement behaviour to landscape-scale invasion dynamics and management: a case study of lionfish metapopulations.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Philosophical Transactions of the Royal Society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B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374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20180057. http://dx.doi.org/10.1098/rstb.2018.0057</w:t>
      </w:r>
    </w:p>
    <w:p w14:paraId="6DEDE0D1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Tuttle, L.J. 2017. Direct and indirect effects of invasive lionfish on coral-reef cleaning mutualists.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Mar. Ecol. Prog. Ser.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569:</w:t>
      </w:r>
      <w:r w:rsidRPr="00B3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163–172. https://doi.org/10.3354/meps12092</w:t>
      </w:r>
    </w:p>
    <w:p w14:paraId="59D69E7F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Valdez-Moreno, M., C. Quintal-Lizama, R. Gómez-Lozano, and M.C. García-Rivas.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2012. Monitoring an Alien Invasion: DNA Barcoding and the Identification of Lionfish and Their Prey on Coral Reefs of the Mexican Caribbean. PLoS ONE 7(6): 1-8. https://doi.org/10.1371/journal.pone.0036636</w:t>
      </w:r>
    </w:p>
    <w:p w14:paraId="107A464E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Van den Hurk, P., I. Edhlund, R. David, J.J. Hahn, M.J. McComb, E. L. Rogers, E. Pisarski, K. Chung, M. DeLorenzo. 2020. Lionfish (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as biomonitoring species for oil pollution effects in coral reef ecosystems.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>Biological Sciences. https://doi.org/10.1016/j.marenvres.2020.104915</w:t>
      </w:r>
    </w:p>
    <w:p w14:paraId="3DE7D303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Vega, A., E. Reynaldo, A. Fernández, J. Crúz, F. Ocaña, E. Córdova. 2015. Abundancia y distribución del pez león </w:t>
      </w:r>
      <w:r w:rsidRPr="00B36B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Pterois volitans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(Teleostei: Scorpaenidae) en el litoral turístico de Holguín, Cuba. 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Solenodon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12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72-83.</w:t>
      </w:r>
    </w:p>
    <w:p w14:paraId="0196E82B" w14:textId="77777777" w:rsidR="00165F2D" w:rsidRPr="00B36B97" w:rsidRDefault="00165F2D" w:rsidP="00165F2D">
      <w:pPr>
        <w:pStyle w:val="Default"/>
        <w:spacing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36B97">
        <w:rPr>
          <w:rFonts w:ascii="Times New Roman" w:hAnsi="Times New Roman" w:cs="Times New Roman"/>
          <w:color w:val="000000" w:themeColor="text1"/>
        </w:rPr>
        <w:t xml:space="preserve">Villaseñor-Derbez, J., and R. Herrera-Perez.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t xml:space="preserve">2014. Brief description of prey selectivity and ontogenetic changes in the diet of the invasive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(Actinopterygii, Scorpaenidae) in the Mexican Caribbean. </w:t>
      </w:r>
      <w:r w:rsidRPr="00B36B97">
        <w:rPr>
          <w:rFonts w:ascii="Times New Roman" w:hAnsi="Times New Roman" w:cs="Times New Roman"/>
          <w:color w:val="000000" w:themeColor="text1"/>
        </w:rPr>
        <w:t>Pan-American Journal of Aquatic Sciences 9(2): 131-135.</w:t>
      </w:r>
    </w:p>
    <w:p w14:paraId="0AD3D7E9" w14:textId="77777777" w:rsidR="00165F2D" w:rsidRPr="00B36B97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Whitfield, P.E., T. Gardner, S.P. Vives, M.R. Gilligan, W.R. Courtenay Jr., G. Carleton Ray, and J.A. Hare. 2002. Biological invasion of the Indo-Pacific lionfish </w:t>
      </w:r>
      <w:r w:rsidRPr="00B36B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Pterois volitans </w:t>
      </w:r>
      <w:r w:rsidRPr="00B36B9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along the Atlantic coast of North America. Mar. Ecol. Prog. Ser. 235: 289–297. doi:10.3354/meps235289</w:t>
      </w:r>
    </w:p>
    <w:p w14:paraId="7C0ECAEA" w14:textId="77777777" w:rsidR="00165F2D" w:rsidRPr="004E1A81" w:rsidRDefault="00165F2D" w:rsidP="00165F2D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Whitfield, P.E., J.A. Hare, A.W. David, S.L. Harter, R.C. Muñoz, and C.M. Addison. 2006. Abundance estimates of the Indo-Pacific lionfish 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Pterois volitans/miles </w:t>
      </w:r>
      <w:r w:rsidRPr="00B36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complex in the Western North Atlantic. Biol Invasions 9: 53-64</w:t>
      </w:r>
      <w:r w:rsidRPr="00B36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B36B97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https://doi.org/10.1007/s10530-006-9005-9</w:t>
      </w:r>
    </w:p>
    <w:p w14:paraId="0F28D614" w14:textId="77777777" w:rsidR="00165F2D" w:rsidRPr="00C30D38" w:rsidRDefault="00165F2D" w:rsidP="00002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165F2D" w:rsidRPr="00C30D38" w:rsidSect="001E26FD">
      <w:pgSz w:w="11906" w:h="16838"/>
      <w:pgMar w:top="1417" w:right="1560" w:bottom="1417" w:left="1701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746BCE" w15:done="0"/>
  <w15:commentEx w15:paraId="4F58A115" w15:done="0"/>
  <w15:commentEx w15:paraId="5171F4C8" w15:done="0"/>
  <w15:commentEx w15:paraId="4E089841" w15:done="0"/>
  <w15:commentEx w15:paraId="63B54B14" w15:done="0"/>
  <w15:commentEx w15:paraId="5B71E857" w15:done="0"/>
  <w15:commentEx w15:paraId="1C83F6E8" w15:done="0"/>
  <w15:commentEx w15:paraId="4333AD33" w15:done="0"/>
  <w15:commentEx w15:paraId="4A8EF3DE" w15:done="0"/>
  <w15:commentEx w15:paraId="2A70AD36" w15:done="0"/>
  <w15:commentEx w15:paraId="560B888A" w15:done="0"/>
  <w15:commentEx w15:paraId="5BE1197B" w15:done="0"/>
  <w15:commentEx w15:paraId="1DBC9919" w15:done="0"/>
  <w15:commentEx w15:paraId="49324508" w15:done="0"/>
  <w15:commentEx w15:paraId="59497FA3" w15:done="0"/>
  <w15:commentEx w15:paraId="0AC2839E" w15:done="0"/>
  <w15:commentEx w15:paraId="1085F10E" w15:done="0"/>
  <w15:commentEx w15:paraId="6416C525" w15:done="0"/>
  <w15:commentEx w15:paraId="71AF2566" w15:done="0"/>
  <w15:commentEx w15:paraId="77624419" w15:done="0"/>
  <w15:commentEx w15:paraId="5A87D689" w15:done="0"/>
  <w15:commentEx w15:paraId="50E61BAA" w15:done="0"/>
  <w15:commentEx w15:paraId="374CDAE1" w15:done="0"/>
  <w15:commentEx w15:paraId="782FAEE3" w15:done="0"/>
  <w15:commentEx w15:paraId="3CBD1414" w15:done="0"/>
  <w15:commentEx w15:paraId="3719A36F" w15:done="0"/>
  <w15:commentEx w15:paraId="6FEFE47D" w15:done="0"/>
  <w15:commentEx w15:paraId="44857CEA" w15:done="0"/>
  <w15:commentEx w15:paraId="461A2940" w15:done="0"/>
  <w15:commentEx w15:paraId="577CD8F7" w15:done="0"/>
  <w15:commentEx w15:paraId="0B20F212" w15:done="0"/>
  <w15:commentEx w15:paraId="39BF0592" w15:done="0"/>
  <w15:commentEx w15:paraId="7DD982C1" w15:done="0"/>
  <w15:commentEx w15:paraId="21936144" w15:done="0"/>
  <w15:commentEx w15:paraId="0FE840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BA07C" w14:textId="77777777" w:rsidR="00CE0245" w:rsidRDefault="00CE0245" w:rsidP="00BD5E51">
      <w:pPr>
        <w:spacing w:after="0" w:line="240" w:lineRule="auto"/>
      </w:pPr>
      <w:r>
        <w:separator/>
      </w:r>
    </w:p>
  </w:endnote>
  <w:endnote w:type="continuationSeparator" w:id="0">
    <w:p w14:paraId="1BA364C9" w14:textId="77777777" w:rsidR="00CE0245" w:rsidRDefault="00CE0245" w:rsidP="00B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Condensed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NimbusRomNo9L-Regu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763885"/>
      <w:docPartObj>
        <w:docPartGallery w:val="Page Numbers (Bottom of Page)"/>
        <w:docPartUnique/>
      </w:docPartObj>
    </w:sdtPr>
    <w:sdtEndPr/>
    <w:sdtContent>
      <w:p w14:paraId="4339288F" w14:textId="3DFBF291" w:rsidR="00165F2D" w:rsidRDefault="00165F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1F">
          <w:rPr>
            <w:noProof/>
          </w:rPr>
          <w:t>1</w:t>
        </w:r>
        <w:r>
          <w:fldChar w:fldCharType="end"/>
        </w:r>
      </w:p>
    </w:sdtContent>
  </w:sdt>
  <w:p w14:paraId="55679959" w14:textId="77777777" w:rsidR="00165F2D" w:rsidRDefault="00165F2D" w:rsidP="00967E5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12F9" w14:textId="77777777" w:rsidR="00CE0245" w:rsidRDefault="00CE0245" w:rsidP="00BD5E51">
      <w:pPr>
        <w:spacing w:after="0" w:line="240" w:lineRule="auto"/>
      </w:pPr>
      <w:r>
        <w:separator/>
      </w:r>
    </w:p>
  </w:footnote>
  <w:footnote w:type="continuationSeparator" w:id="0">
    <w:p w14:paraId="5A46B307" w14:textId="77777777" w:rsidR="00CE0245" w:rsidRDefault="00CE0245" w:rsidP="00BD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078"/>
    <w:multiLevelType w:val="hybridMultilevel"/>
    <w:tmpl w:val="CFB01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25DE"/>
    <w:multiLevelType w:val="multilevel"/>
    <w:tmpl w:val="5E4A9EB2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9B2331"/>
    <w:multiLevelType w:val="hybridMultilevel"/>
    <w:tmpl w:val="D3529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1D5"/>
    <w:multiLevelType w:val="hybridMultilevel"/>
    <w:tmpl w:val="87C6262A"/>
    <w:lvl w:ilvl="0" w:tplc="0DA85D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er">
    <w15:presenceInfo w15:providerId="None" w15:userId="Dav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1"/>
    <w:rsid w:val="000000A7"/>
    <w:rsid w:val="00002ECB"/>
    <w:rsid w:val="00003814"/>
    <w:rsid w:val="00003867"/>
    <w:rsid w:val="000053F8"/>
    <w:rsid w:val="00006012"/>
    <w:rsid w:val="00006B5B"/>
    <w:rsid w:val="00010601"/>
    <w:rsid w:val="00013099"/>
    <w:rsid w:val="0001316D"/>
    <w:rsid w:val="00015C4F"/>
    <w:rsid w:val="0001660F"/>
    <w:rsid w:val="00016CC4"/>
    <w:rsid w:val="00016FD3"/>
    <w:rsid w:val="000173C2"/>
    <w:rsid w:val="00020166"/>
    <w:rsid w:val="00022597"/>
    <w:rsid w:val="000228FA"/>
    <w:rsid w:val="00023758"/>
    <w:rsid w:val="00023A3B"/>
    <w:rsid w:val="00023DE9"/>
    <w:rsid w:val="00024256"/>
    <w:rsid w:val="000254BC"/>
    <w:rsid w:val="00025F0B"/>
    <w:rsid w:val="000264A3"/>
    <w:rsid w:val="000268FD"/>
    <w:rsid w:val="0002748E"/>
    <w:rsid w:val="00031134"/>
    <w:rsid w:val="000314EA"/>
    <w:rsid w:val="00031B79"/>
    <w:rsid w:val="0003295C"/>
    <w:rsid w:val="00032F7B"/>
    <w:rsid w:val="000335AC"/>
    <w:rsid w:val="00034B86"/>
    <w:rsid w:val="00034DE1"/>
    <w:rsid w:val="000363FE"/>
    <w:rsid w:val="00040262"/>
    <w:rsid w:val="00040DBD"/>
    <w:rsid w:val="000445EB"/>
    <w:rsid w:val="000461C7"/>
    <w:rsid w:val="000466AD"/>
    <w:rsid w:val="00046AD3"/>
    <w:rsid w:val="00046AD4"/>
    <w:rsid w:val="00046CD6"/>
    <w:rsid w:val="00046FB1"/>
    <w:rsid w:val="00047574"/>
    <w:rsid w:val="000508B7"/>
    <w:rsid w:val="00052BD3"/>
    <w:rsid w:val="0005372D"/>
    <w:rsid w:val="000539F0"/>
    <w:rsid w:val="00054A51"/>
    <w:rsid w:val="00054C46"/>
    <w:rsid w:val="000553ED"/>
    <w:rsid w:val="00055B50"/>
    <w:rsid w:val="0005654B"/>
    <w:rsid w:val="00056F4E"/>
    <w:rsid w:val="00060BCD"/>
    <w:rsid w:val="00062E99"/>
    <w:rsid w:val="0006367E"/>
    <w:rsid w:val="0006448F"/>
    <w:rsid w:val="000645CB"/>
    <w:rsid w:val="00064736"/>
    <w:rsid w:val="0006491E"/>
    <w:rsid w:val="00064DA6"/>
    <w:rsid w:val="00066902"/>
    <w:rsid w:val="0006690C"/>
    <w:rsid w:val="000673F6"/>
    <w:rsid w:val="00072A96"/>
    <w:rsid w:val="000730F1"/>
    <w:rsid w:val="000732BC"/>
    <w:rsid w:val="0007338B"/>
    <w:rsid w:val="00073FB5"/>
    <w:rsid w:val="00075C09"/>
    <w:rsid w:val="00076EB5"/>
    <w:rsid w:val="000773D4"/>
    <w:rsid w:val="00080F6F"/>
    <w:rsid w:val="00081257"/>
    <w:rsid w:val="00081446"/>
    <w:rsid w:val="00081619"/>
    <w:rsid w:val="00081E6A"/>
    <w:rsid w:val="00081FB4"/>
    <w:rsid w:val="0008285F"/>
    <w:rsid w:val="00083AD0"/>
    <w:rsid w:val="00083DD4"/>
    <w:rsid w:val="00084819"/>
    <w:rsid w:val="00087571"/>
    <w:rsid w:val="00087FEC"/>
    <w:rsid w:val="00092458"/>
    <w:rsid w:val="00096658"/>
    <w:rsid w:val="00096975"/>
    <w:rsid w:val="00096A1C"/>
    <w:rsid w:val="00097FF2"/>
    <w:rsid w:val="000A0402"/>
    <w:rsid w:val="000A158E"/>
    <w:rsid w:val="000A18E5"/>
    <w:rsid w:val="000A1B1C"/>
    <w:rsid w:val="000A246D"/>
    <w:rsid w:val="000A41B5"/>
    <w:rsid w:val="000A45C9"/>
    <w:rsid w:val="000A4AAE"/>
    <w:rsid w:val="000A5708"/>
    <w:rsid w:val="000A5729"/>
    <w:rsid w:val="000A7FBB"/>
    <w:rsid w:val="000B13DA"/>
    <w:rsid w:val="000B20E7"/>
    <w:rsid w:val="000B214E"/>
    <w:rsid w:val="000B3FCB"/>
    <w:rsid w:val="000B40D1"/>
    <w:rsid w:val="000B6A05"/>
    <w:rsid w:val="000B7E6A"/>
    <w:rsid w:val="000C1469"/>
    <w:rsid w:val="000C2749"/>
    <w:rsid w:val="000C560C"/>
    <w:rsid w:val="000C69C8"/>
    <w:rsid w:val="000C6D29"/>
    <w:rsid w:val="000C7F3F"/>
    <w:rsid w:val="000D28D1"/>
    <w:rsid w:val="000D2976"/>
    <w:rsid w:val="000D2B07"/>
    <w:rsid w:val="000D2C87"/>
    <w:rsid w:val="000D362A"/>
    <w:rsid w:val="000D69CE"/>
    <w:rsid w:val="000E13DA"/>
    <w:rsid w:val="000E1635"/>
    <w:rsid w:val="000E1FBF"/>
    <w:rsid w:val="000E259B"/>
    <w:rsid w:val="000E2859"/>
    <w:rsid w:val="000E43C2"/>
    <w:rsid w:val="000F0240"/>
    <w:rsid w:val="000F0CAE"/>
    <w:rsid w:val="000F1238"/>
    <w:rsid w:val="000F1EF9"/>
    <w:rsid w:val="000F2593"/>
    <w:rsid w:val="000F2F8D"/>
    <w:rsid w:val="001002DC"/>
    <w:rsid w:val="001006E3"/>
    <w:rsid w:val="001014E2"/>
    <w:rsid w:val="00101EC4"/>
    <w:rsid w:val="00102AD0"/>
    <w:rsid w:val="00102E9B"/>
    <w:rsid w:val="00103050"/>
    <w:rsid w:val="00103AC7"/>
    <w:rsid w:val="00105F62"/>
    <w:rsid w:val="00106EEC"/>
    <w:rsid w:val="00107BB4"/>
    <w:rsid w:val="0011009A"/>
    <w:rsid w:val="0011050A"/>
    <w:rsid w:val="001105F7"/>
    <w:rsid w:val="00110853"/>
    <w:rsid w:val="001117F1"/>
    <w:rsid w:val="00111BCA"/>
    <w:rsid w:val="00112162"/>
    <w:rsid w:val="00112190"/>
    <w:rsid w:val="00112550"/>
    <w:rsid w:val="00112A23"/>
    <w:rsid w:val="001145AD"/>
    <w:rsid w:val="00115967"/>
    <w:rsid w:val="001201C9"/>
    <w:rsid w:val="00120C32"/>
    <w:rsid w:val="001213B2"/>
    <w:rsid w:val="001222D8"/>
    <w:rsid w:val="001225E2"/>
    <w:rsid w:val="00122DA3"/>
    <w:rsid w:val="00123A87"/>
    <w:rsid w:val="001242F6"/>
    <w:rsid w:val="00125580"/>
    <w:rsid w:val="00126471"/>
    <w:rsid w:val="00126822"/>
    <w:rsid w:val="00126A0E"/>
    <w:rsid w:val="0013079B"/>
    <w:rsid w:val="00130B03"/>
    <w:rsid w:val="00131417"/>
    <w:rsid w:val="00131921"/>
    <w:rsid w:val="001320E3"/>
    <w:rsid w:val="00132202"/>
    <w:rsid w:val="00133103"/>
    <w:rsid w:val="001336E1"/>
    <w:rsid w:val="001338DC"/>
    <w:rsid w:val="00133DB3"/>
    <w:rsid w:val="00133FAE"/>
    <w:rsid w:val="001343B5"/>
    <w:rsid w:val="001365F9"/>
    <w:rsid w:val="00137542"/>
    <w:rsid w:val="00137AC1"/>
    <w:rsid w:val="00137C09"/>
    <w:rsid w:val="00140DBF"/>
    <w:rsid w:val="001418A3"/>
    <w:rsid w:val="00141A91"/>
    <w:rsid w:val="0014308C"/>
    <w:rsid w:val="00145BC8"/>
    <w:rsid w:val="00146C27"/>
    <w:rsid w:val="00146DB2"/>
    <w:rsid w:val="0014709C"/>
    <w:rsid w:val="00147E1E"/>
    <w:rsid w:val="0015060B"/>
    <w:rsid w:val="00150964"/>
    <w:rsid w:val="00150FD5"/>
    <w:rsid w:val="00151E1C"/>
    <w:rsid w:val="00152B04"/>
    <w:rsid w:val="001543FC"/>
    <w:rsid w:val="001543FF"/>
    <w:rsid w:val="0015444F"/>
    <w:rsid w:val="00154583"/>
    <w:rsid w:val="00156E0C"/>
    <w:rsid w:val="00161C94"/>
    <w:rsid w:val="00162409"/>
    <w:rsid w:val="001639A3"/>
    <w:rsid w:val="00163CE7"/>
    <w:rsid w:val="001654C9"/>
    <w:rsid w:val="00165F2D"/>
    <w:rsid w:val="00166868"/>
    <w:rsid w:val="00166B6D"/>
    <w:rsid w:val="00166EF1"/>
    <w:rsid w:val="001704C6"/>
    <w:rsid w:val="0017133E"/>
    <w:rsid w:val="00171E06"/>
    <w:rsid w:val="00172A73"/>
    <w:rsid w:val="00172B2C"/>
    <w:rsid w:val="0017359B"/>
    <w:rsid w:val="0017371E"/>
    <w:rsid w:val="00173B36"/>
    <w:rsid w:val="00174B4B"/>
    <w:rsid w:val="001756B5"/>
    <w:rsid w:val="001768FC"/>
    <w:rsid w:val="00176D41"/>
    <w:rsid w:val="001772E7"/>
    <w:rsid w:val="00177CB1"/>
    <w:rsid w:val="00180CD1"/>
    <w:rsid w:val="00181073"/>
    <w:rsid w:val="00181B19"/>
    <w:rsid w:val="00182343"/>
    <w:rsid w:val="00183474"/>
    <w:rsid w:val="001836D8"/>
    <w:rsid w:val="001846D5"/>
    <w:rsid w:val="00185785"/>
    <w:rsid w:val="00185FC2"/>
    <w:rsid w:val="00186275"/>
    <w:rsid w:val="001862BC"/>
    <w:rsid w:val="00191421"/>
    <w:rsid w:val="0019193E"/>
    <w:rsid w:val="00191A18"/>
    <w:rsid w:val="00191F1C"/>
    <w:rsid w:val="001925B0"/>
    <w:rsid w:val="00193A71"/>
    <w:rsid w:val="00193CFF"/>
    <w:rsid w:val="00193F85"/>
    <w:rsid w:val="0019414D"/>
    <w:rsid w:val="001941BF"/>
    <w:rsid w:val="001954D9"/>
    <w:rsid w:val="00197A38"/>
    <w:rsid w:val="001A0857"/>
    <w:rsid w:val="001A1A87"/>
    <w:rsid w:val="001A3099"/>
    <w:rsid w:val="001A32F7"/>
    <w:rsid w:val="001A3588"/>
    <w:rsid w:val="001A47AF"/>
    <w:rsid w:val="001A4B5F"/>
    <w:rsid w:val="001A4B8E"/>
    <w:rsid w:val="001A51D5"/>
    <w:rsid w:val="001A6086"/>
    <w:rsid w:val="001A61EE"/>
    <w:rsid w:val="001A6446"/>
    <w:rsid w:val="001A70ED"/>
    <w:rsid w:val="001B081F"/>
    <w:rsid w:val="001B195C"/>
    <w:rsid w:val="001B22DE"/>
    <w:rsid w:val="001B2C9E"/>
    <w:rsid w:val="001B3C03"/>
    <w:rsid w:val="001B42EB"/>
    <w:rsid w:val="001B65C7"/>
    <w:rsid w:val="001B6FF3"/>
    <w:rsid w:val="001C26DC"/>
    <w:rsid w:val="001C2C3F"/>
    <w:rsid w:val="001C33F0"/>
    <w:rsid w:val="001C3E97"/>
    <w:rsid w:val="001C402B"/>
    <w:rsid w:val="001C5006"/>
    <w:rsid w:val="001C6953"/>
    <w:rsid w:val="001C6977"/>
    <w:rsid w:val="001C69CB"/>
    <w:rsid w:val="001C6F4B"/>
    <w:rsid w:val="001C76DD"/>
    <w:rsid w:val="001C7E61"/>
    <w:rsid w:val="001D0885"/>
    <w:rsid w:val="001D106E"/>
    <w:rsid w:val="001D1E54"/>
    <w:rsid w:val="001D240D"/>
    <w:rsid w:val="001D295C"/>
    <w:rsid w:val="001D2B82"/>
    <w:rsid w:val="001D370D"/>
    <w:rsid w:val="001D4E38"/>
    <w:rsid w:val="001D4F93"/>
    <w:rsid w:val="001D558B"/>
    <w:rsid w:val="001D59A1"/>
    <w:rsid w:val="001D646D"/>
    <w:rsid w:val="001D69D4"/>
    <w:rsid w:val="001D7528"/>
    <w:rsid w:val="001D77AB"/>
    <w:rsid w:val="001D7A1B"/>
    <w:rsid w:val="001E1015"/>
    <w:rsid w:val="001E1145"/>
    <w:rsid w:val="001E13C8"/>
    <w:rsid w:val="001E1E1B"/>
    <w:rsid w:val="001E2386"/>
    <w:rsid w:val="001E26FD"/>
    <w:rsid w:val="001E2AF6"/>
    <w:rsid w:val="001E3211"/>
    <w:rsid w:val="001E42C9"/>
    <w:rsid w:val="001E6AF4"/>
    <w:rsid w:val="001E6E65"/>
    <w:rsid w:val="001E7089"/>
    <w:rsid w:val="001E77B4"/>
    <w:rsid w:val="001F0EA8"/>
    <w:rsid w:val="001F1623"/>
    <w:rsid w:val="001F1714"/>
    <w:rsid w:val="001F18C0"/>
    <w:rsid w:val="001F2BE0"/>
    <w:rsid w:val="001F4A67"/>
    <w:rsid w:val="001F5C8E"/>
    <w:rsid w:val="001F6262"/>
    <w:rsid w:val="001F67BD"/>
    <w:rsid w:val="001F68F8"/>
    <w:rsid w:val="001F6CC2"/>
    <w:rsid w:val="001F7331"/>
    <w:rsid w:val="00200388"/>
    <w:rsid w:val="00200E17"/>
    <w:rsid w:val="0020167C"/>
    <w:rsid w:val="00202808"/>
    <w:rsid w:val="002029DF"/>
    <w:rsid w:val="00202CB9"/>
    <w:rsid w:val="00203268"/>
    <w:rsid w:val="002041E2"/>
    <w:rsid w:val="00204FCC"/>
    <w:rsid w:val="00205CA9"/>
    <w:rsid w:val="00210719"/>
    <w:rsid w:val="00211FD5"/>
    <w:rsid w:val="00212C6D"/>
    <w:rsid w:val="00212DCA"/>
    <w:rsid w:val="00214605"/>
    <w:rsid w:val="002152BF"/>
    <w:rsid w:val="00215556"/>
    <w:rsid w:val="00215895"/>
    <w:rsid w:val="00215E44"/>
    <w:rsid w:val="0021721D"/>
    <w:rsid w:val="00217525"/>
    <w:rsid w:val="00217827"/>
    <w:rsid w:val="00217916"/>
    <w:rsid w:val="002179DE"/>
    <w:rsid w:val="00220DCF"/>
    <w:rsid w:val="00221509"/>
    <w:rsid w:val="00221B64"/>
    <w:rsid w:val="002223D3"/>
    <w:rsid w:val="00222D70"/>
    <w:rsid w:val="0022357D"/>
    <w:rsid w:val="00223D78"/>
    <w:rsid w:val="00224813"/>
    <w:rsid w:val="00224976"/>
    <w:rsid w:val="002257BE"/>
    <w:rsid w:val="00231B1A"/>
    <w:rsid w:val="00232706"/>
    <w:rsid w:val="002332FA"/>
    <w:rsid w:val="00233D11"/>
    <w:rsid w:val="0023589B"/>
    <w:rsid w:val="00236085"/>
    <w:rsid w:val="002363A1"/>
    <w:rsid w:val="00236970"/>
    <w:rsid w:val="002375A9"/>
    <w:rsid w:val="00237BB4"/>
    <w:rsid w:val="00237D61"/>
    <w:rsid w:val="002407F6"/>
    <w:rsid w:val="0024218E"/>
    <w:rsid w:val="00242AD4"/>
    <w:rsid w:val="00242D44"/>
    <w:rsid w:val="00245CF6"/>
    <w:rsid w:val="0024640F"/>
    <w:rsid w:val="002466E3"/>
    <w:rsid w:val="00247A23"/>
    <w:rsid w:val="0025164F"/>
    <w:rsid w:val="00252BC8"/>
    <w:rsid w:val="00253191"/>
    <w:rsid w:val="00253483"/>
    <w:rsid w:val="00253F8F"/>
    <w:rsid w:val="0025504B"/>
    <w:rsid w:val="002556D6"/>
    <w:rsid w:val="002556DD"/>
    <w:rsid w:val="00257D7D"/>
    <w:rsid w:val="002600DD"/>
    <w:rsid w:val="00260AC4"/>
    <w:rsid w:val="00260F8D"/>
    <w:rsid w:val="00261A40"/>
    <w:rsid w:val="00264224"/>
    <w:rsid w:val="00264AE8"/>
    <w:rsid w:val="00264FC7"/>
    <w:rsid w:val="002651B8"/>
    <w:rsid w:val="00265C2A"/>
    <w:rsid w:val="002666F1"/>
    <w:rsid w:val="00266BC8"/>
    <w:rsid w:val="00267870"/>
    <w:rsid w:val="00270290"/>
    <w:rsid w:val="0027036F"/>
    <w:rsid w:val="00270C01"/>
    <w:rsid w:val="00272E07"/>
    <w:rsid w:val="00273129"/>
    <w:rsid w:val="00273D16"/>
    <w:rsid w:val="00274045"/>
    <w:rsid w:val="002744FB"/>
    <w:rsid w:val="002748F7"/>
    <w:rsid w:val="0027555D"/>
    <w:rsid w:val="002759C5"/>
    <w:rsid w:val="00275C6D"/>
    <w:rsid w:val="00275C94"/>
    <w:rsid w:val="00277DB0"/>
    <w:rsid w:val="002803A6"/>
    <w:rsid w:val="002822BE"/>
    <w:rsid w:val="00282329"/>
    <w:rsid w:val="00282E1E"/>
    <w:rsid w:val="002838D1"/>
    <w:rsid w:val="00285630"/>
    <w:rsid w:val="00286E4E"/>
    <w:rsid w:val="00287A84"/>
    <w:rsid w:val="002905A8"/>
    <w:rsid w:val="00293026"/>
    <w:rsid w:val="00293F78"/>
    <w:rsid w:val="0029535A"/>
    <w:rsid w:val="0029563D"/>
    <w:rsid w:val="00296ED6"/>
    <w:rsid w:val="002A02A2"/>
    <w:rsid w:val="002A06BB"/>
    <w:rsid w:val="002A095D"/>
    <w:rsid w:val="002A23C6"/>
    <w:rsid w:val="002A429E"/>
    <w:rsid w:val="002A4FBC"/>
    <w:rsid w:val="002A576B"/>
    <w:rsid w:val="002A57EE"/>
    <w:rsid w:val="002A7F1B"/>
    <w:rsid w:val="002B0820"/>
    <w:rsid w:val="002B12D6"/>
    <w:rsid w:val="002B31CE"/>
    <w:rsid w:val="002B3241"/>
    <w:rsid w:val="002B47DF"/>
    <w:rsid w:val="002B4BB7"/>
    <w:rsid w:val="002B503D"/>
    <w:rsid w:val="002B7561"/>
    <w:rsid w:val="002B7C8F"/>
    <w:rsid w:val="002B7E05"/>
    <w:rsid w:val="002C2EF3"/>
    <w:rsid w:val="002C3138"/>
    <w:rsid w:val="002C4183"/>
    <w:rsid w:val="002C46D9"/>
    <w:rsid w:val="002C4E41"/>
    <w:rsid w:val="002C5F88"/>
    <w:rsid w:val="002D0220"/>
    <w:rsid w:val="002D0225"/>
    <w:rsid w:val="002D16E8"/>
    <w:rsid w:val="002D2304"/>
    <w:rsid w:val="002D2A00"/>
    <w:rsid w:val="002D31C0"/>
    <w:rsid w:val="002D36E5"/>
    <w:rsid w:val="002D3D3A"/>
    <w:rsid w:val="002D764B"/>
    <w:rsid w:val="002E1293"/>
    <w:rsid w:val="002E12B1"/>
    <w:rsid w:val="002E3478"/>
    <w:rsid w:val="002E3D05"/>
    <w:rsid w:val="002E506A"/>
    <w:rsid w:val="002F0E66"/>
    <w:rsid w:val="002F1BEB"/>
    <w:rsid w:val="002F292A"/>
    <w:rsid w:val="002F2E94"/>
    <w:rsid w:val="002F3659"/>
    <w:rsid w:val="002F3A6C"/>
    <w:rsid w:val="002F50D8"/>
    <w:rsid w:val="002F672A"/>
    <w:rsid w:val="00300B7A"/>
    <w:rsid w:val="00301A43"/>
    <w:rsid w:val="00301B9D"/>
    <w:rsid w:val="0030224D"/>
    <w:rsid w:val="00303BC9"/>
    <w:rsid w:val="0030491B"/>
    <w:rsid w:val="003061C4"/>
    <w:rsid w:val="003063A2"/>
    <w:rsid w:val="00307CE2"/>
    <w:rsid w:val="00307DEA"/>
    <w:rsid w:val="003100C7"/>
    <w:rsid w:val="003100CB"/>
    <w:rsid w:val="003104D7"/>
    <w:rsid w:val="0031089C"/>
    <w:rsid w:val="003131F7"/>
    <w:rsid w:val="003133AE"/>
    <w:rsid w:val="003148FC"/>
    <w:rsid w:val="00314D4E"/>
    <w:rsid w:val="00315083"/>
    <w:rsid w:val="003150A7"/>
    <w:rsid w:val="003157E3"/>
    <w:rsid w:val="00317B9B"/>
    <w:rsid w:val="00317CA8"/>
    <w:rsid w:val="00320D5F"/>
    <w:rsid w:val="0032183C"/>
    <w:rsid w:val="00321AA1"/>
    <w:rsid w:val="003226FD"/>
    <w:rsid w:val="0032278B"/>
    <w:rsid w:val="0032295D"/>
    <w:rsid w:val="003229C4"/>
    <w:rsid w:val="00324AFF"/>
    <w:rsid w:val="003258DB"/>
    <w:rsid w:val="00325AFF"/>
    <w:rsid w:val="00325B6B"/>
    <w:rsid w:val="0032625B"/>
    <w:rsid w:val="0032635A"/>
    <w:rsid w:val="00326C1A"/>
    <w:rsid w:val="00330C33"/>
    <w:rsid w:val="00333867"/>
    <w:rsid w:val="00333AB9"/>
    <w:rsid w:val="00334A36"/>
    <w:rsid w:val="00335DC7"/>
    <w:rsid w:val="00335F69"/>
    <w:rsid w:val="00336146"/>
    <w:rsid w:val="00340BA6"/>
    <w:rsid w:val="0034228E"/>
    <w:rsid w:val="00345151"/>
    <w:rsid w:val="00345EB4"/>
    <w:rsid w:val="00347C33"/>
    <w:rsid w:val="00350B1F"/>
    <w:rsid w:val="0035157F"/>
    <w:rsid w:val="003526F9"/>
    <w:rsid w:val="003529ED"/>
    <w:rsid w:val="003532B9"/>
    <w:rsid w:val="00353479"/>
    <w:rsid w:val="00355581"/>
    <w:rsid w:val="00356999"/>
    <w:rsid w:val="0035704B"/>
    <w:rsid w:val="00357153"/>
    <w:rsid w:val="003574F6"/>
    <w:rsid w:val="00357875"/>
    <w:rsid w:val="0036000C"/>
    <w:rsid w:val="00360C01"/>
    <w:rsid w:val="00360D86"/>
    <w:rsid w:val="00361113"/>
    <w:rsid w:val="003631BF"/>
    <w:rsid w:val="00364A55"/>
    <w:rsid w:val="00364A89"/>
    <w:rsid w:val="00364B7E"/>
    <w:rsid w:val="0036517A"/>
    <w:rsid w:val="00370835"/>
    <w:rsid w:val="00370F8D"/>
    <w:rsid w:val="00371474"/>
    <w:rsid w:val="00372BC7"/>
    <w:rsid w:val="00372FF4"/>
    <w:rsid w:val="003735B5"/>
    <w:rsid w:val="00373CB8"/>
    <w:rsid w:val="00373DD3"/>
    <w:rsid w:val="003742BA"/>
    <w:rsid w:val="00375CB9"/>
    <w:rsid w:val="00375D11"/>
    <w:rsid w:val="00375F22"/>
    <w:rsid w:val="00380107"/>
    <w:rsid w:val="00380218"/>
    <w:rsid w:val="00380B9F"/>
    <w:rsid w:val="00380D6A"/>
    <w:rsid w:val="00380FBB"/>
    <w:rsid w:val="00381170"/>
    <w:rsid w:val="00382092"/>
    <w:rsid w:val="003848F3"/>
    <w:rsid w:val="00385F59"/>
    <w:rsid w:val="00386314"/>
    <w:rsid w:val="00390262"/>
    <w:rsid w:val="00390A6D"/>
    <w:rsid w:val="00390BF9"/>
    <w:rsid w:val="00391756"/>
    <w:rsid w:val="00391760"/>
    <w:rsid w:val="00391ACA"/>
    <w:rsid w:val="00391CD2"/>
    <w:rsid w:val="003923DA"/>
    <w:rsid w:val="00392886"/>
    <w:rsid w:val="003974B8"/>
    <w:rsid w:val="00397B67"/>
    <w:rsid w:val="003A06AD"/>
    <w:rsid w:val="003A0F4A"/>
    <w:rsid w:val="003A0F5C"/>
    <w:rsid w:val="003A196F"/>
    <w:rsid w:val="003A5116"/>
    <w:rsid w:val="003B028A"/>
    <w:rsid w:val="003B0C15"/>
    <w:rsid w:val="003B0D5D"/>
    <w:rsid w:val="003B1727"/>
    <w:rsid w:val="003B17AF"/>
    <w:rsid w:val="003B2765"/>
    <w:rsid w:val="003B2D29"/>
    <w:rsid w:val="003B2DA4"/>
    <w:rsid w:val="003B3759"/>
    <w:rsid w:val="003B3B0F"/>
    <w:rsid w:val="003B3DAD"/>
    <w:rsid w:val="003B5579"/>
    <w:rsid w:val="003B6DA9"/>
    <w:rsid w:val="003B7A95"/>
    <w:rsid w:val="003C0056"/>
    <w:rsid w:val="003C1288"/>
    <w:rsid w:val="003C2053"/>
    <w:rsid w:val="003C2BE8"/>
    <w:rsid w:val="003C33A9"/>
    <w:rsid w:val="003C41C1"/>
    <w:rsid w:val="003C43AF"/>
    <w:rsid w:val="003C4C3D"/>
    <w:rsid w:val="003C4F59"/>
    <w:rsid w:val="003C6A7A"/>
    <w:rsid w:val="003C6F20"/>
    <w:rsid w:val="003C7E60"/>
    <w:rsid w:val="003D2924"/>
    <w:rsid w:val="003D2E5C"/>
    <w:rsid w:val="003D317E"/>
    <w:rsid w:val="003D362B"/>
    <w:rsid w:val="003D54F6"/>
    <w:rsid w:val="003D7699"/>
    <w:rsid w:val="003E05B4"/>
    <w:rsid w:val="003E178C"/>
    <w:rsid w:val="003E3700"/>
    <w:rsid w:val="003E4CAB"/>
    <w:rsid w:val="003E6B4E"/>
    <w:rsid w:val="003E7FF7"/>
    <w:rsid w:val="003F206F"/>
    <w:rsid w:val="003F34C3"/>
    <w:rsid w:val="003F4968"/>
    <w:rsid w:val="003F49F8"/>
    <w:rsid w:val="003F71F9"/>
    <w:rsid w:val="00400114"/>
    <w:rsid w:val="00400280"/>
    <w:rsid w:val="0040072F"/>
    <w:rsid w:val="004016AC"/>
    <w:rsid w:val="0040171E"/>
    <w:rsid w:val="00403404"/>
    <w:rsid w:val="00403529"/>
    <w:rsid w:val="00403B9D"/>
    <w:rsid w:val="00404C9A"/>
    <w:rsid w:val="00406DBF"/>
    <w:rsid w:val="004071CA"/>
    <w:rsid w:val="00407A86"/>
    <w:rsid w:val="00407D6D"/>
    <w:rsid w:val="00412743"/>
    <w:rsid w:val="004128AB"/>
    <w:rsid w:val="0041296F"/>
    <w:rsid w:val="0041326D"/>
    <w:rsid w:val="00413F72"/>
    <w:rsid w:val="004169FC"/>
    <w:rsid w:val="00417728"/>
    <w:rsid w:val="00417DC7"/>
    <w:rsid w:val="00421455"/>
    <w:rsid w:val="00423658"/>
    <w:rsid w:val="00426D60"/>
    <w:rsid w:val="00430090"/>
    <w:rsid w:val="00430191"/>
    <w:rsid w:val="00431D6A"/>
    <w:rsid w:val="00431FA4"/>
    <w:rsid w:val="00432A15"/>
    <w:rsid w:val="00433603"/>
    <w:rsid w:val="0043361B"/>
    <w:rsid w:val="0043501B"/>
    <w:rsid w:val="004350E0"/>
    <w:rsid w:val="00435A29"/>
    <w:rsid w:val="00435C6A"/>
    <w:rsid w:val="00436178"/>
    <w:rsid w:val="004365A2"/>
    <w:rsid w:val="0043744B"/>
    <w:rsid w:val="0043781E"/>
    <w:rsid w:val="004378F2"/>
    <w:rsid w:val="00437B81"/>
    <w:rsid w:val="00437CDB"/>
    <w:rsid w:val="00437EBC"/>
    <w:rsid w:val="004402D7"/>
    <w:rsid w:val="004408BC"/>
    <w:rsid w:val="00442BD5"/>
    <w:rsid w:val="00443C7B"/>
    <w:rsid w:val="004442A1"/>
    <w:rsid w:val="004442F8"/>
    <w:rsid w:val="00444E07"/>
    <w:rsid w:val="004465FA"/>
    <w:rsid w:val="004475A0"/>
    <w:rsid w:val="004514D6"/>
    <w:rsid w:val="00452398"/>
    <w:rsid w:val="00453DB3"/>
    <w:rsid w:val="004542D8"/>
    <w:rsid w:val="004603B8"/>
    <w:rsid w:val="00460634"/>
    <w:rsid w:val="00460E7B"/>
    <w:rsid w:val="00461FC5"/>
    <w:rsid w:val="0046386E"/>
    <w:rsid w:val="004641BB"/>
    <w:rsid w:val="004676C8"/>
    <w:rsid w:val="0047034D"/>
    <w:rsid w:val="004703D5"/>
    <w:rsid w:val="0047109B"/>
    <w:rsid w:val="00473A49"/>
    <w:rsid w:val="00473BDD"/>
    <w:rsid w:val="00474C46"/>
    <w:rsid w:val="0047582D"/>
    <w:rsid w:val="00476115"/>
    <w:rsid w:val="004761F6"/>
    <w:rsid w:val="00477350"/>
    <w:rsid w:val="00477CFE"/>
    <w:rsid w:val="004805E5"/>
    <w:rsid w:val="00480649"/>
    <w:rsid w:val="00482253"/>
    <w:rsid w:val="00482EBA"/>
    <w:rsid w:val="004836C6"/>
    <w:rsid w:val="00484612"/>
    <w:rsid w:val="0048494C"/>
    <w:rsid w:val="00484D82"/>
    <w:rsid w:val="0048509A"/>
    <w:rsid w:val="00485E49"/>
    <w:rsid w:val="00487503"/>
    <w:rsid w:val="0048761C"/>
    <w:rsid w:val="00487CE0"/>
    <w:rsid w:val="00490826"/>
    <w:rsid w:val="0049140A"/>
    <w:rsid w:val="0049199B"/>
    <w:rsid w:val="004A0144"/>
    <w:rsid w:val="004A0823"/>
    <w:rsid w:val="004A1DAB"/>
    <w:rsid w:val="004A23B2"/>
    <w:rsid w:val="004A2537"/>
    <w:rsid w:val="004A2A32"/>
    <w:rsid w:val="004A2C1B"/>
    <w:rsid w:val="004A3C2F"/>
    <w:rsid w:val="004A3E33"/>
    <w:rsid w:val="004A3F2E"/>
    <w:rsid w:val="004A4A21"/>
    <w:rsid w:val="004A5DA9"/>
    <w:rsid w:val="004A6285"/>
    <w:rsid w:val="004A74E6"/>
    <w:rsid w:val="004A7ABE"/>
    <w:rsid w:val="004B0399"/>
    <w:rsid w:val="004B092A"/>
    <w:rsid w:val="004B195E"/>
    <w:rsid w:val="004B4868"/>
    <w:rsid w:val="004B49B9"/>
    <w:rsid w:val="004B67C7"/>
    <w:rsid w:val="004B6F78"/>
    <w:rsid w:val="004B77A0"/>
    <w:rsid w:val="004C1E9A"/>
    <w:rsid w:val="004C279A"/>
    <w:rsid w:val="004C2F97"/>
    <w:rsid w:val="004C33FF"/>
    <w:rsid w:val="004C3B4D"/>
    <w:rsid w:val="004C4A70"/>
    <w:rsid w:val="004C56EC"/>
    <w:rsid w:val="004C6DEF"/>
    <w:rsid w:val="004C714F"/>
    <w:rsid w:val="004C734F"/>
    <w:rsid w:val="004D1020"/>
    <w:rsid w:val="004D193E"/>
    <w:rsid w:val="004D1F4C"/>
    <w:rsid w:val="004D3BB8"/>
    <w:rsid w:val="004D4471"/>
    <w:rsid w:val="004D5438"/>
    <w:rsid w:val="004D5B60"/>
    <w:rsid w:val="004D6F68"/>
    <w:rsid w:val="004D7E80"/>
    <w:rsid w:val="004E004B"/>
    <w:rsid w:val="004E04CE"/>
    <w:rsid w:val="004E1FBD"/>
    <w:rsid w:val="004E25D2"/>
    <w:rsid w:val="004E4163"/>
    <w:rsid w:val="004E490D"/>
    <w:rsid w:val="004E500A"/>
    <w:rsid w:val="004E53F6"/>
    <w:rsid w:val="004E67A6"/>
    <w:rsid w:val="004F0644"/>
    <w:rsid w:val="004F09A3"/>
    <w:rsid w:val="004F11B0"/>
    <w:rsid w:val="004F132E"/>
    <w:rsid w:val="004F27E9"/>
    <w:rsid w:val="004F3644"/>
    <w:rsid w:val="004F3A35"/>
    <w:rsid w:val="004F4190"/>
    <w:rsid w:val="004F4277"/>
    <w:rsid w:val="004F748A"/>
    <w:rsid w:val="004F7D07"/>
    <w:rsid w:val="00500414"/>
    <w:rsid w:val="00500551"/>
    <w:rsid w:val="00501E6B"/>
    <w:rsid w:val="00503C7D"/>
    <w:rsid w:val="00503FF0"/>
    <w:rsid w:val="00504403"/>
    <w:rsid w:val="00504A7C"/>
    <w:rsid w:val="005068EC"/>
    <w:rsid w:val="005076FB"/>
    <w:rsid w:val="00507D93"/>
    <w:rsid w:val="00510974"/>
    <w:rsid w:val="00511ACD"/>
    <w:rsid w:val="00511E1E"/>
    <w:rsid w:val="00512A4A"/>
    <w:rsid w:val="00513406"/>
    <w:rsid w:val="00513944"/>
    <w:rsid w:val="005141FF"/>
    <w:rsid w:val="00514275"/>
    <w:rsid w:val="00514360"/>
    <w:rsid w:val="0051449C"/>
    <w:rsid w:val="005158EA"/>
    <w:rsid w:val="00515CEB"/>
    <w:rsid w:val="0051662B"/>
    <w:rsid w:val="0051666B"/>
    <w:rsid w:val="0051713F"/>
    <w:rsid w:val="0051731E"/>
    <w:rsid w:val="00520AB1"/>
    <w:rsid w:val="00520C97"/>
    <w:rsid w:val="00522276"/>
    <w:rsid w:val="005222F4"/>
    <w:rsid w:val="00522912"/>
    <w:rsid w:val="00523D75"/>
    <w:rsid w:val="00524276"/>
    <w:rsid w:val="00524650"/>
    <w:rsid w:val="005250B7"/>
    <w:rsid w:val="00525826"/>
    <w:rsid w:val="00525DAD"/>
    <w:rsid w:val="00527C84"/>
    <w:rsid w:val="00531E73"/>
    <w:rsid w:val="00532904"/>
    <w:rsid w:val="005329E6"/>
    <w:rsid w:val="00532CDE"/>
    <w:rsid w:val="00532D1D"/>
    <w:rsid w:val="00533A68"/>
    <w:rsid w:val="00533DB1"/>
    <w:rsid w:val="005349BA"/>
    <w:rsid w:val="00534C50"/>
    <w:rsid w:val="00535301"/>
    <w:rsid w:val="005362E6"/>
    <w:rsid w:val="00537392"/>
    <w:rsid w:val="00537844"/>
    <w:rsid w:val="00537950"/>
    <w:rsid w:val="00537FB5"/>
    <w:rsid w:val="00540E12"/>
    <w:rsid w:val="00540EF3"/>
    <w:rsid w:val="00541BFC"/>
    <w:rsid w:val="00542031"/>
    <w:rsid w:val="00542646"/>
    <w:rsid w:val="00544BCC"/>
    <w:rsid w:val="0055074A"/>
    <w:rsid w:val="00552F36"/>
    <w:rsid w:val="0055380B"/>
    <w:rsid w:val="00553DFA"/>
    <w:rsid w:val="005542D8"/>
    <w:rsid w:val="005556B0"/>
    <w:rsid w:val="0055646D"/>
    <w:rsid w:val="005570EB"/>
    <w:rsid w:val="00557A6C"/>
    <w:rsid w:val="005634D3"/>
    <w:rsid w:val="00563FC2"/>
    <w:rsid w:val="005640F5"/>
    <w:rsid w:val="00565AAC"/>
    <w:rsid w:val="0056687E"/>
    <w:rsid w:val="00567AD5"/>
    <w:rsid w:val="00567E9D"/>
    <w:rsid w:val="00571255"/>
    <w:rsid w:val="0057139A"/>
    <w:rsid w:val="00571986"/>
    <w:rsid w:val="00573CE0"/>
    <w:rsid w:val="00575E5B"/>
    <w:rsid w:val="00580A32"/>
    <w:rsid w:val="00581861"/>
    <w:rsid w:val="00581B08"/>
    <w:rsid w:val="00582ADA"/>
    <w:rsid w:val="005831C7"/>
    <w:rsid w:val="00583864"/>
    <w:rsid w:val="00583CB3"/>
    <w:rsid w:val="00584463"/>
    <w:rsid w:val="00585618"/>
    <w:rsid w:val="00585FD5"/>
    <w:rsid w:val="00587337"/>
    <w:rsid w:val="00587A51"/>
    <w:rsid w:val="00590A88"/>
    <w:rsid w:val="00590BF1"/>
    <w:rsid w:val="00591BD0"/>
    <w:rsid w:val="00592425"/>
    <w:rsid w:val="005926A8"/>
    <w:rsid w:val="00595206"/>
    <w:rsid w:val="00595C06"/>
    <w:rsid w:val="00596717"/>
    <w:rsid w:val="00596BD2"/>
    <w:rsid w:val="005A0CE2"/>
    <w:rsid w:val="005A15F1"/>
    <w:rsid w:val="005A24CC"/>
    <w:rsid w:val="005A5411"/>
    <w:rsid w:val="005A6845"/>
    <w:rsid w:val="005A6CD7"/>
    <w:rsid w:val="005A79A8"/>
    <w:rsid w:val="005A7A1F"/>
    <w:rsid w:val="005A7E14"/>
    <w:rsid w:val="005B1132"/>
    <w:rsid w:val="005B2115"/>
    <w:rsid w:val="005B2D1E"/>
    <w:rsid w:val="005B39E2"/>
    <w:rsid w:val="005B416F"/>
    <w:rsid w:val="005B50C9"/>
    <w:rsid w:val="005B5256"/>
    <w:rsid w:val="005B54D8"/>
    <w:rsid w:val="005B6112"/>
    <w:rsid w:val="005B7020"/>
    <w:rsid w:val="005B7E0B"/>
    <w:rsid w:val="005C1ABC"/>
    <w:rsid w:val="005C1CCA"/>
    <w:rsid w:val="005C247A"/>
    <w:rsid w:val="005C2A18"/>
    <w:rsid w:val="005C40D7"/>
    <w:rsid w:val="005C41C6"/>
    <w:rsid w:val="005C5039"/>
    <w:rsid w:val="005C5172"/>
    <w:rsid w:val="005C6C6D"/>
    <w:rsid w:val="005C706A"/>
    <w:rsid w:val="005D013D"/>
    <w:rsid w:val="005D0C98"/>
    <w:rsid w:val="005D3FDA"/>
    <w:rsid w:val="005D7534"/>
    <w:rsid w:val="005E0809"/>
    <w:rsid w:val="005E0F84"/>
    <w:rsid w:val="005E0FBC"/>
    <w:rsid w:val="005E1F79"/>
    <w:rsid w:val="005E278C"/>
    <w:rsid w:val="005E2FE2"/>
    <w:rsid w:val="005E30A4"/>
    <w:rsid w:val="005E34ED"/>
    <w:rsid w:val="005E3854"/>
    <w:rsid w:val="005E4505"/>
    <w:rsid w:val="005E4DE1"/>
    <w:rsid w:val="005E584F"/>
    <w:rsid w:val="005E7010"/>
    <w:rsid w:val="005F01DD"/>
    <w:rsid w:val="005F0545"/>
    <w:rsid w:val="005F183E"/>
    <w:rsid w:val="005F1D80"/>
    <w:rsid w:val="005F34C9"/>
    <w:rsid w:val="005F3D7F"/>
    <w:rsid w:val="005F4BB6"/>
    <w:rsid w:val="005F5B2F"/>
    <w:rsid w:val="005F6AAF"/>
    <w:rsid w:val="005F718F"/>
    <w:rsid w:val="005F7833"/>
    <w:rsid w:val="005F7C00"/>
    <w:rsid w:val="00601603"/>
    <w:rsid w:val="00603563"/>
    <w:rsid w:val="0060439B"/>
    <w:rsid w:val="0060478A"/>
    <w:rsid w:val="0060540E"/>
    <w:rsid w:val="0060546A"/>
    <w:rsid w:val="00607CBF"/>
    <w:rsid w:val="0061036C"/>
    <w:rsid w:val="00613690"/>
    <w:rsid w:val="0061373F"/>
    <w:rsid w:val="0061479F"/>
    <w:rsid w:val="00615395"/>
    <w:rsid w:val="00615455"/>
    <w:rsid w:val="006165B0"/>
    <w:rsid w:val="0061786D"/>
    <w:rsid w:val="0062095C"/>
    <w:rsid w:val="006210F7"/>
    <w:rsid w:val="00621365"/>
    <w:rsid w:val="00622FB1"/>
    <w:rsid w:val="00623B61"/>
    <w:rsid w:val="00625137"/>
    <w:rsid w:val="006260C4"/>
    <w:rsid w:val="00626207"/>
    <w:rsid w:val="00626F78"/>
    <w:rsid w:val="00630B61"/>
    <w:rsid w:val="00631736"/>
    <w:rsid w:val="00634FC8"/>
    <w:rsid w:val="00640029"/>
    <w:rsid w:val="00640394"/>
    <w:rsid w:val="006403EB"/>
    <w:rsid w:val="006403EC"/>
    <w:rsid w:val="00641F32"/>
    <w:rsid w:val="006432C8"/>
    <w:rsid w:val="00643955"/>
    <w:rsid w:val="00643F7E"/>
    <w:rsid w:val="00646615"/>
    <w:rsid w:val="006507BC"/>
    <w:rsid w:val="00650D92"/>
    <w:rsid w:val="00652D14"/>
    <w:rsid w:val="006534EB"/>
    <w:rsid w:val="00653DA2"/>
    <w:rsid w:val="00653F96"/>
    <w:rsid w:val="00657F30"/>
    <w:rsid w:val="0066364F"/>
    <w:rsid w:val="00666166"/>
    <w:rsid w:val="0066665A"/>
    <w:rsid w:val="006669B1"/>
    <w:rsid w:val="006676E8"/>
    <w:rsid w:val="0067037C"/>
    <w:rsid w:val="00670734"/>
    <w:rsid w:val="006713EC"/>
    <w:rsid w:val="00671EA9"/>
    <w:rsid w:val="00671F16"/>
    <w:rsid w:val="00672402"/>
    <w:rsid w:val="00672564"/>
    <w:rsid w:val="0067289D"/>
    <w:rsid w:val="00674079"/>
    <w:rsid w:val="006746E1"/>
    <w:rsid w:val="00674ACB"/>
    <w:rsid w:val="006755CD"/>
    <w:rsid w:val="00675994"/>
    <w:rsid w:val="006761E1"/>
    <w:rsid w:val="00677436"/>
    <w:rsid w:val="00680C7B"/>
    <w:rsid w:val="0068119C"/>
    <w:rsid w:val="0068194F"/>
    <w:rsid w:val="00683E95"/>
    <w:rsid w:val="0068436F"/>
    <w:rsid w:val="00685D17"/>
    <w:rsid w:val="0068616D"/>
    <w:rsid w:val="006865FD"/>
    <w:rsid w:val="00686A01"/>
    <w:rsid w:val="00686E41"/>
    <w:rsid w:val="006873BF"/>
    <w:rsid w:val="006909AD"/>
    <w:rsid w:val="006909CD"/>
    <w:rsid w:val="00690FDB"/>
    <w:rsid w:val="006923CE"/>
    <w:rsid w:val="006932DD"/>
    <w:rsid w:val="0069350A"/>
    <w:rsid w:val="00694D56"/>
    <w:rsid w:val="00697741"/>
    <w:rsid w:val="006A1394"/>
    <w:rsid w:val="006A1C73"/>
    <w:rsid w:val="006A26F0"/>
    <w:rsid w:val="006A4197"/>
    <w:rsid w:val="006A4D2A"/>
    <w:rsid w:val="006A4EF0"/>
    <w:rsid w:val="006A65FC"/>
    <w:rsid w:val="006A7211"/>
    <w:rsid w:val="006A7284"/>
    <w:rsid w:val="006A72E5"/>
    <w:rsid w:val="006A7F4F"/>
    <w:rsid w:val="006B0025"/>
    <w:rsid w:val="006B0C85"/>
    <w:rsid w:val="006B1596"/>
    <w:rsid w:val="006B1C9E"/>
    <w:rsid w:val="006B22FE"/>
    <w:rsid w:val="006B3478"/>
    <w:rsid w:val="006B4F37"/>
    <w:rsid w:val="006B5460"/>
    <w:rsid w:val="006C00F9"/>
    <w:rsid w:val="006C06FA"/>
    <w:rsid w:val="006C2E2D"/>
    <w:rsid w:val="006C389C"/>
    <w:rsid w:val="006C52FE"/>
    <w:rsid w:val="006D0475"/>
    <w:rsid w:val="006D0E9B"/>
    <w:rsid w:val="006D1DB4"/>
    <w:rsid w:val="006D3872"/>
    <w:rsid w:val="006D6AD6"/>
    <w:rsid w:val="006D7976"/>
    <w:rsid w:val="006D7AE2"/>
    <w:rsid w:val="006D7D1C"/>
    <w:rsid w:val="006E06F0"/>
    <w:rsid w:val="006E1419"/>
    <w:rsid w:val="006E2022"/>
    <w:rsid w:val="006E3A35"/>
    <w:rsid w:val="006E3C31"/>
    <w:rsid w:val="006E3C57"/>
    <w:rsid w:val="006E3E0D"/>
    <w:rsid w:val="006E4283"/>
    <w:rsid w:val="006E52C4"/>
    <w:rsid w:val="006E69FE"/>
    <w:rsid w:val="006E6B8A"/>
    <w:rsid w:val="006E758E"/>
    <w:rsid w:val="006F0883"/>
    <w:rsid w:val="006F0AB8"/>
    <w:rsid w:val="006F0BC6"/>
    <w:rsid w:val="006F1516"/>
    <w:rsid w:val="006F198D"/>
    <w:rsid w:val="006F1C6F"/>
    <w:rsid w:val="006F1F34"/>
    <w:rsid w:val="006F2AFC"/>
    <w:rsid w:val="006F37FB"/>
    <w:rsid w:val="006F4203"/>
    <w:rsid w:val="006F438D"/>
    <w:rsid w:val="006F4672"/>
    <w:rsid w:val="006F4AD5"/>
    <w:rsid w:val="006F4D91"/>
    <w:rsid w:val="006F4EBC"/>
    <w:rsid w:val="006F63E9"/>
    <w:rsid w:val="006F69B6"/>
    <w:rsid w:val="006F7223"/>
    <w:rsid w:val="006F7689"/>
    <w:rsid w:val="00700C88"/>
    <w:rsid w:val="007026F5"/>
    <w:rsid w:val="007027AB"/>
    <w:rsid w:val="007035DF"/>
    <w:rsid w:val="007035ED"/>
    <w:rsid w:val="00703D08"/>
    <w:rsid w:val="00704ADE"/>
    <w:rsid w:val="00704D62"/>
    <w:rsid w:val="00706149"/>
    <w:rsid w:val="007066E0"/>
    <w:rsid w:val="00706774"/>
    <w:rsid w:val="007074DD"/>
    <w:rsid w:val="007074E3"/>
    <w:rsid w:val="00707BAC"/>
    <w:rsid w:val="00707E48"/>
    <w:rsid w:val="007102CB"/>
    <w:rsid w:val="00711FE9"/>
    <w:rsid w:val="007128A4"/>
    <w:rsid w:val="00713EE7"/>
    <w:rsid w:val="007146CF"/>
    <w:rsid w:val="007147AB"/>
    <w:rsid w:val="007157C5"/>
    <w:rsid w:val="0071710E"/>
    <w:rsid w:val="007171ED"/>
    <w:rsid w:val="00717D59"/>
    <w:rsid w:val="00720683"/>
    <w:rsid w:val="007225C5"/>
    <w:rsid w:val="0072298E"/>
    <w:rsid w:val="00722A25"/>
    <w:rsid w:val="0072327D"/>
    <w:rsid w:val="007239BA"/>
    <w:rsid w:val="00723C67"/>
    <w:rsid w:val="0072408E"/>
    <w:rsid w:val="007251A4"/>
    <w:rsid w:val="00725E60"/>
    <w:rsid w:val="00727F0A"/>
    <w:rsid w:val="00730E3C"/>
    <w:rsid w:val="00731780"/>
    <w:rsid w:val="0073235D"/>
    <w:rsid w:val="00732A09"/>
    <w:rsid w:val="00732C63"/>
    <w:rsid w:val="00733391"/>
    <w:rsid w:val="0073351C"/>
    <w:rsid w:val="00733C90"/>
    <w:rsid w:val="00734092"/>
    <w:rsid w:val="00735B5C"/>
    <w:rsid w:val="00736493"/>
    <w:rsid w:val="0074024D"/>
    <w:rsid w:val="00740F47"/>
    <w:rsid w:val="00741739"/>
    <w:rsid w:val="007427D5"/>
    <w:rsid w:val="00744B11"/>
    <w:rsid w:val="0074511F"/>
    <w:rsid w:val="00745A91"/>
    <w:rsid w:val="00745D16"/>
    <w:rsid w:val="0074709E"/>
    <w:rsid w:val="0074722A"/>
    <w:rsid w:val="00747C80"/>
    <w:rsid w:val="007515A2"/>
    <w:rsid w:val="007523A9"/>
    <w:rsid w:val="00752A5B"/>
    <w:rsid w:val="00752F4D"/>
    <w:rsid w:val="0075347B"/>
    <w:rsid w:val="00753DB7"/>
    <w:rsid w:val="00754542"/>
    <w:rsid w:val="00756AC2"/>
    <w:rsid w:val="007603C8"/>
    <w:rsid w:val="00760845"/>
    <w:rsid w:val="00761589"/>
    <w:rsid w:val="007615E3"/>
    <w:rsid w:val="00761E55"/>
    <w:rsid w:val="00761F52"/>
    <w:rsid w:val="007622D4"/>
    <w:rsid w:val="007626EF"/>
    <w:rsid w:val="007629B1"/>
    <w:rsid w:val="007632F5"/>
    <w:rsid w:val="00763342"/>
    <w:rsid w:val="00763488"/>
    <w:rsid w:val="00763B26"/>
    <w:rsid w:val="007665E9"/>
    <w:rsid w:val="007668AF"/>
    <w:rsid w:val="00766F5E"/>
    <w:rsid w:val="0077039F"/>
    <w:rsid w:val="00771513"/>
    <w:rsid w:val="00771658"/>
    <w:rsid w:val="00771A81"/>
    <w:rsid w:val="00772523"/>
    <w:rsid w:val="00772D54"/>
    <w:rsid w:val="00773618"/>
    <w:rsid w:val="007738C5"/>
    <w:rsid w:val="00773DCD"/>
    <w:rsid w:val="00776F3C"/>
    <w:rsid w:val="0077704F"/>
    <w:rsid w:val="007777DF"/>
    <w:rsid w:val="0077793B"/>
    <w:rsid w:val="00781492"/>
    <w:rsid w:val="00781707"/>
    <w:rsid w:val="00781FFC"/>
    <w:rsid w:val="00783DC3"/>
    <w:rsid w:val="007857A9"/>
    <w:rsid w:val="00785CAD"/>
    <w:rsid w:val="00785D6E"/>
    <w:rsid w:val="00786AE7"/>
    <w:rsid w:val="00786B45"/>
    <w:rsid w:val="00786FEA"/>
    <w:rsid w:val="00787B27"/>
    <w:rsid w:val="007912F0"/>
    <w:rsid w:val="0079184D"/>
    <w:rsid w:val="00792E8B"/>
    <w:rsid w:val="00793568"/>
    <w:rsid w:val="00793C3C"/>
    <w:rsid w:val="00794CF4"/>
    <w:rsid w:val="00796845"/>
    <w:rsid w:val="00796ADA"/>
    <w:rsid w:val="00797031"/>
    <w:rsid w:val="007A23EA"/>
    <w:rsid w:val="007A4805"/>
    <w:rsid w:val="007A5206"/>
    <w:rsid w:val="007A5A9B"/>
    <w:rsid w:val="007A667C"/>
    <w:rsid w:val="007A6BF8"/>
    <w:rsid w:val="007A6C6A"/>
    <w:rsid w:val="007A6E6C"/>
    <w:rsid w:val="007A7182"/>
    <w:rsid w:val="007A7FE8"/>
    <w:rsid w:val="007B1884"/>
    <w:rsid w:val="007B2121"/>
    <w:rsid w:val="007B234B"/>
    <w:rsid w:val="007B2D10"/>
    <w:rsid w:val="007B2D6C"/>
    <w:rsid w:val="007B41B5"/>
    <w:rsid w:val="007B49C6"/>
    <w:rsid w:val="007B4D9F"/>
    <w:rsid w:val="007B4E20"/>
    <w:rsid w:val="007B6999"/>
    <w:rsid w:val="007B6C38"/>
    <w:rsid w:val="007B70E4"/>
    <w:rsid w:val="007C0ECA"/>
    <w:rsid w:val="007C114D"/>
    <w:rsid w:val="007C1428"/>
    <w:rsid w:val="007C1F7F"/>
    <w:rsid w:val="007C2E41"/>
    <w:rsid w:val="007C5D19"/>
    <w:rsid w:val="007C79EB"/>
    <w:rsid w:val="007C7A98"/>
    <w:rsid w:val="007D0030"/>
    <w:rsid w:val="007D003E"/>
    <w:rsid w:val="007D04E7"/>
    <w:rsid w:val="007D0F2D"/>
    <w:rsid w:val="007D242D"/>
    <w:rsid w:val="007D2AF0"/>
    <w:rsid w:val="007D2EE3"/>
    <w:rsid w:val="007D3890"/>
    <w:rsid w:val="007D4964"/>
    <w:rsid w:val="007D5A9F"/>
    <w:rsid w:val="007D6FAB"/>
    <w:rsid w:val="007E2726"/>
    <w:rsid w:val="007E2F7F"/>
    <w:rsid w:val="007E304A"/>
    <w:rsid w:val="007E31F0"/>
    <w:rsid w:val="007E39EF"/>
    <w:rsid w:val="007E4C99"/>
    <w:rsid w:val="007E4EB0"/>
    <w:rsid w:val="007E56BD"/>
    <w:rsid w:val="007E5D0C"/>
    <w:rsid w:val="007E6240"/>
    <w:rsid w:val="007E693D"/>
    <w:rsid w:val="007E6BBB"/>
    <w:rsid w:val="007E6EEF"/>
    <w:rsid w:val="007E754C"/>
    <w:rsid w:val="007E7C69"/>
    <w:rsid w:val="007F0A90"/>
    <w:rsid w:val="007F0EF1"/>
    <w:rsid w:val="007F0F9D"/>
    <w:rsid w:val="007F138D"/>
    <w:rsid w:val="007F314C"/>
    <w:rsid w:val="007F32D6"/>
    <w:rsid w:val="007F436F"/>
    <w:rsid w:val="007F5261"/>
    <w:rsid w:val="007F7604"/>
    <w:rsid w:val="008001ED"/>
    <w:rsid w:val="00800697"/>
    <w:rsid w:val="008008EE"/>
    <w:rsid w:val="008020E4"/>
    <w:rsid w:val="00802B1F"/>
    <w:rsid w:val="00802D73"/>
    <w:rsid w:val="00803A82"/>
    <w:rsid w:val="00803AD1"/>
    <w:rsid w:val="00804950"/>
    <w:rsid w:val="008058DF"/>
    <w:rsid w:val="008073D6"/>
    <w:rsid w:val="0081074F"/>
    <w:rsid w:val="00812192"/>
    <w:rsid w:val="008146BD"/>
    <w:rsid w:val="0081489D"/>
    <w:rsid w:val="00814B9C"/>
    <w:rsid w:val="00814E36"/>
    <w:rsid w:val="00815E33"/>
    <w:rsid w:val="00816890"/>
    <w:rsid w:val="008173F0"/>
    <w:rsid w:val="008203E4"/>
    <w:rsid w:val="0082052F"/>
    <w:rsid w:val="00821911"/>
    <w:rsid w:val="00822637"/>
    <w:rsid w:val="00822796"/>
    <w:rsid w:val="0082284B"/>
    <w:rsid w:val="00822EF8"/>
    <w:rsid w:val="00825FDD"/>
    <w:rsid w:val="00826661"/>
    <w:rsid w:val="00826C02"/>
    <w:rsid w:val="00827AB5"/>
    <w:rsid w:val="00827C71"/>
    <w:rsid w:val="0083111F"/>
    <w:rsid w:val="00832734"/>
    <w:rsid w:val="00833262"/>
    <w:rsid w:val="00833C48"/>
    <w:rsid w:val="008361A6"/>
    <w:rsid w:val="00836D91"/>
    <w:rsid w:val="008371B9"/>
    <w:rsid w:val="00841E0C"/>
    <w:rsid w:val="008436B4"/>
    <w:rsid w:val="0084415C"/>
    <w:rsid w:val="00844AA7"/>
    <w:rsid w:val="008478AE"/>
    <w:rsid w:val="00850F5E"/>
    <w:rsid w:val="00851659"/>
    <w:rsid w:val="008549C5"/>
    <w:rsid w:val="00856F0D"/>
    <w:rsid w:val="00857362"/>
    <w:rsid w:val="0085793A"/>
    <w:rsid w:val="0085797E"/>
    <w:rsid w:val="00860002"/>
    <w:rsid w:val="0086016C"/>
    <w:rsid w:val="008609F6"/>
    <w:rsid w:val="008617DD"/>
    <w:rsid w:val="00862017"/>
    <w:rsid w:val="008626F0"/>
    <w:rsid w:val="008638BB"/>
    <w:rsid w:val="00863A8A"/>
    <w:rsid w:val="00864613"/>
    <w:rsid w:val="0086549F"/>
    <w:rsid w:val="00865787"/>
    <w:rsid w:val="00866E95"/>
    <w:rsid w:val="0086724D"/>
    <w:rsid w:val="00867F6E"/>
    <w:rsid w:val="00870B6F"/>
    <w:rsid w:val="00870DC1"/>
    <w:rsid w:val="00871838"/>
    <w:rsid w:val="00872452"/>
    <w:rsid w:val="0087287F"/>
    <w:rsid w:val="00873FA2"/>
    <w:rsid w:val="00875949"/>
    <w:rsid w:val="00876638"/>
    <w:rsid w:val="00877837"/>
    <w:rsid w:val="00880011"/>
    <w:rsid w:val="00881416"/>
    <w:rsid w:val="0088351C"/>
    <w:rsid w:val="00883789"/>
    <w:rsid w:val="00883EF6"/>
    <w:rsid w:val="00885058"/>
    <w:rsid w:val="008857BD"/>
    <w:rsid w:val="00886EF0"/>
    <w:rsid w:val="0089042C"/>
    <w:rsid w:val="008907F4"/>
    <w:rsid w:val="00890AD5"/>
    <w:rsid w:val="00890BFC"/>
    <w:rsid w:val="00890C12"/>
    <w:rsid w:val="00890E5E"/>
    <w:rsid w:val="00891161"/>
    <w:rsid w:val="00891212"/>
    <w:rsid w:val="00892890"/>
    <w:rsid w:val="0089366B"/>
    <w:rsid w:val="00893C1E"/>
    <w:rsid w:val="00894336"/>
    <w:rsid w:val="00894541"/>
    <w:rsid w:val="0089468C"/>
    <w:rsid w:val="00895787"/>
    <w:rsid w:val="008957AB"/>
    <w:rsid w:val="00896059"/>
    <w:rsid w:val="00896A3F"/>
    <w:rsid w:val="0089702F"/>
    <w:rsid w:val="00897606"/>
    <w:rsid w:val="008A06C1"/>
    <w:rsid w:val="008A0AA8"/>
    <w:rsid w:val="008A1F12"/>
    <w:rsid w:val="008A39D4"/>
    <w:rsid w:val="008A3C50"/>
    <w:rsid w:val="008A3C97"/>
    <w:rsid w:val="008A607E"/>
    <w:rsid w:val="008A6F16"/>
    <w:rsid w:val="008A6F43"/>
    <w:rsid w:val="008A70E6"/>
    <w:rsid w:val="008B0CA1"/>
    <w:rsid w:val="008B42D1"/>
    <w:rsid w:val="008B4596"/>
    <w:rsid w:val="008B6499"/>
    <w:rsid w:val="008B7609"/>
    <w:rsid w:val="008C097D"/>
    <w:rsid w:val="008C1041"/>
    <w:rsid w:val="008C1CEF"/>
    <w:rsid w:val="008C30D3"/>
    <w:rsid w:val="008C3CDC"/>
    <w:rsid w:val="008C3D5A"/>
    <w:rsid w:val="008C492B"/>
    <w:rsid w:val="008C5801"/>
    <w:rsid w:val="008C5909"/>
    <w:rsid w:val="008C5B51"/>
    <w:rsid w:val="008C7217"/>
    <w:rsid w:val="008D043A"/>
    <w:rsid w:val="008D2363"/>
    <w:rsid w:val="008D290B"/>
    <w:rsid w:val="008D5696"/>
    <w:rsid w:val="008D5EBB"/>
    <w:rsid w:val="008D66EF"/>
    <w:rsid w:val="008E0F06"/>
    <w:rsid w:val="008E259A"/>
    <w:rsid w:val="008E288A"/>
    <w:rsid w:val="008E2BEF"/>
    <w:rsid w:val="008E3443"/>
    <w:rsid w:val="008E4903"/>
    <w:rsid w:val="008E7986"/>
    <w:rsid w:val="008F01B7"/>
    <w:rsid w:val="008F03CA"/>
    <w:rsid w:val="008F0402"/>
    <w:rsid w:val="008F3532"/>
    <w:rsid w:val="008F45E4"/>
    <w:rsid w:val="008F57D3"/>
    <w:rsid w:val="008F5A0D"/>
    <w:rsid w:val="008F7F38"/>
    <w:rsid w:val="00900175"/>
    <w:rsid w:val="009002D5"/>
    <w:rsid w:val="009008A7"/>
    <w:rsid w:val="0090382D"/>
    <w:rsid w:val="009041F9"/>
    <w:rsid w:val="0090495C"/>
    <w:rsid w:val="00904C47"/>
    <w:rsid w:val="00904F0F"/>
    <w:rsid w:val="00905517"/>
    <w:rsid w:val="00905A89"/>
    <w:rsid w:val="009069CF"/>
    <w:rsid w:val="0090742E"/>
    <w:rsid w:val="009076BD"/>
    <w:rsid w:val="00910909"/>
    <w:rsid w:val="00914013"/>
    <w:rsid w:val="009141D5"/>
    <w:rsid w:val="00915564"/>
    <w:rsid w:val="009164CD"/>
    <w:rsid w:val="00916DAF"/>
    <w:rsid w:val="00920391"/>
    <w:rsid w:val="00921437"/>
    <w:rsid w:val="00921D43"/>
    <w:rsid w:val="0092214E"/>
    <w:rsid w:val="009240C2"/>
    <w:rsid w:val="00924C04"/>
    <w:rsid w:val="009256E1"/>
    <w:rsid w:val="0092620D"/>
    <w:rsid w:val="009266E7"/>
    <w:rsid w:val="00926935"/>
    <w:rsid w:val="0092712A"/>
    <w:rsid w:val="00927CBF"/>
    <w:rsid w:val="009301BD"/>
    <w:rsid w:val="00932EBC"/>
    <w:rsid w:val="00933705"/>
    <w:rsid w:val="009344C3"/>
    <w:rsid w:val="00934972"/>
    <w:rsid w:val="00934CCB"/>
    <w:rsid w:val="00934CDD"/>
    <w:rsid w:val="009362C1"/>
    <w:rsid w:val="0093699F"/>
    <w:rsid w:val="00937733"/>
    <w:rsid w:val="00942988"/>
    <w:rsid w:val="009429D7"/>
    <w:rsid w:val="00943AC8"/>
    <w:rsid w:val="0094460C"/>
    <w:rsid w:val="00945DED"/>
    <w:rsid w:val="00946D55"/>
    <w:rsid w:val="009512DF"/>
    <w:rsid w:val="00951335"/>
    <w:rsid w:val="009526A0"/>
    <w:rsid w:val="00953CBF"/>
    <w:rsid w:val="00953F23"/>
    <w:rsid w:val="00954F86"/>
    <w:rsid w:val="00955708"/>
    <w:rsid w:val="00955B64"/>
    <w:rsid w:val="00955DD4"/>
    <w:rsid w:val="009563D9"/>
    <w:rsid w:val="00956432"/>
    <w:rsid w:val="0095646F"/>
    <w:rsid w:val="00956582"/>
    <w:rsid w:val="00960825"/>
    <w:rsid w:val="0096228A"/>
    <w:rsid w:val="009624A8"/>
    <w:rsid w:val="00963B15"/>
    <w:rsid w:val="00964657"/>
    <w:rsid w:val="00964D91"/>
    <w:rsid w:val="009653A0"/>
    <w:rsid w:val="009655D6"/>
    <w:rsid w:val="0096576A"/>
    <w:rsid w:val="00966703"/>
    <w:rsid w:val="00966C8C"/>
    <w:rsid w:val="00967E5D"/>
    <w:rsid w:val="009710CA"/>
    <w:rsid w:val="00972E1D"/>
    <w:rsid w:val="0097379C"/>
    <w:rsid w:val="00973F3D"/>
    <w:rsid w:val="00974298"/>
    <w:rsid w:val="0097456B"/>
    <w:rsid w:val="00975209"/>
    <w:rsid w:val="009773BF"/>
    <w:rsid w:val="00977574"/>
    <w:rsid w:val="00980315"/>
    <w:rsid w:val="00980967"/>
    <w:rsid w:val="009824EC"/>
    <w:rsid w:val="0098377D"/>
    <w:rsid w:val="00984C0C"/>
    <w:rsid w:val="009870F4"/>
    <w:rsid w:val="009902CA"/>
    <w:rsid w:val="00990FC3"/>
    <w:rsid w:val="00991787"/>
    <w:rsid w:val="009923F8"/>
    <w:rsid w:val="00992810"/>
    <w:rsid w:val="00992F9E"/>
    <w:rsid w:val="009954E4"/>
    <w:rsid w:val="009957B8"/>
    <w:rsid w:val="00996144"/>
    <w:rsid w:val="00996BDA"/>
    <w:rsid w:val="00996F14"/>
    <w:rsid w:val="00996F9A"/>
    <w:rsid w:val="009A092F"/>
    <w:rsid w:val="009A0EE6"/>
    <w:rsid w:val="009A16BF"/>
    <w:rsid w:val="009A1810"/>
    <w:rsid w:val="009A2A23"/>
    <w:rsid w:val="009A3ED4"/>
    <w:rsid w:val="009A59B2"/>
    <w:rsid w:val="009A5C01"/>
    <w:rsid w:val="009A793E"/>
    <w:rsid w:val="009A7C40"/>
    <w:rsid w:val="009B08EF"/>
    <w:rsid w:val="009B097B"/>
    <w:rsid w:val="009B0B33"/>
    <w:rsid w:val="009B15BF"/>
    <w:rsid w:val="009B17F9"/>
    <w:rsid w:val="009B2E2E"/>
    <w:rsid w:val="009B4C26"/>
    <w:rsid w:val="009B4D8D"/>
    <w:rsid w:val="009B59F8"/>
    <w:rsid w:val="009B5A05"/>
    <w:rsid w:val="009B5EAD"/>
    <w:rsid w:val="009B640C"/>
    <w:rsid w:val="009B6794"/>
    <w:rsid w:val="009C01C1"/>
    <w:rsid w:val="009C0BD5"/>
    <w:rsid w:val="009C103E"/>
    <w:rsid w:val="009C122A"/>
    <w:rsid w:val="009C3406"/>
    <w:rsid w:val="009C3E76"/>
    <w:rsid w:val="009C4F99"/>
    <w:rsid w:val="009C5245"/>
    <w:rsid w:val="009C52C0"/>
    <w:rsid w:val="009C5636"/>
    <w:rsid w:val="009C57B0"/>
    <w:rsid w:val="009C59ED"/>
    <w:rsid w:val="009C7FD9"/>
    <w:rsid w:val="009D08DA"/>
    <w:rsid w:val="009D1775"/>
    <w:rsid w:val="009D1AF8"/>
    <w:rsid w:val="009D2822"/>
    <w:rsid w:val="009D2F2B"/>
    <w:rsid w:val="009D60E2"/>
    <w:rsid w:val="009D65EB"/>
    <w:rsid w:val="009D6EB3"/>
    <w:rsid w:val="009D729A"/>
    <w:rsid w:val="009D7D30"/>
    <w:rsid w:val="009D7E2B"/>
    <w:rsid w:val="009E0049"/>
    <w:rsid w:val="009E0921"/>
    <w:rsid w:val="009E0D21"/>
    <w:rsid w:val="009E1C6E"/>
    <w:rsid w:val="009E2574"/>
    <w:rsid w:val="009E2725"/>
    <w:rsid w:val="009E3374"/>
    <w:rsid w:val="009E3642"/>
    <w:rsid w:val="009E387C"/>
    <w:rsid w:val="009E3CC7"/>
    <w:rsid w:val="009E40F7"/>
    <w:rsid w:val="009E4438"/>
    <w:rsid w:val="009E4DDD"/>
    <w:rsid w:val="009E6B23"/>
    <w:rsid w:val="009E78CF"/>
    <w:rsid w:val="009F1222"/>
    <w:rsid w:val="009F221C"/>
    <w:rsid w:val="009F289E"/>
    <w:rsid w:val="009F2F3E"/>
    <w:rsid w:val="009F4554"/>
    <w:rsid w:val="009F55ED"/>
    <w:rsid w:val="009F5D69"/>
    <w:rsid w:val="009F6C4C"/>
    <w:rsid w:val="009F7226"/>
    <w:rsid w:val="009F792C"/>
    <w:rsid w:val="009F7FF8"/>
    <w:rsid w:val="00A01950"/>
    <w:rsid w:val="00A02291"/>
    <w:rsid w:val="00A02869"/>
    <w:rsid w:val="00A04EA5"/>
    <w:rsid w:val="00A05A64"/>
    <w:rsid w:val="00A1022F"/>
    <w:rsid w:val="00A123E9"/>
    <w:rsid w:val="00A128E8"/>
    <w:rsid w:val="00A130B3"/>
    <w:rsid w:val="00A130C1"/>
    <w:rsid w:val="00A13753"/>
    <w:rsid w:val="00A148EA"/>
    <w:rsid w:val="00A14FAC"/>
    <w:rsid w:val="00A151E3"/>
    <w:rsid w:val="00A151EC"/>
    <w:rsid w:val="00A15AAF"/>
    <w:rsid w:val="00A15CAF"/>
    <w:rsid w:val="00A15DE1"/>
    <w:rsid w:val="00A173FB"/>
    <w:rsid w:val="00A1760C"/>
    <w:rsid w:val="00A22147"/>
    <w:rsid w:val="00A22678"/>
    <w:rsid w:val="00A23407"/>
    <w:rsid w:val="00A245C8"/>
    <w:rsid w:val="00A2551A"/>
    <w:rsid w:val="00A25D09"/>
    <w:rsid w:val="00A25DCA"/>
    <w:rsid w:val="00A2652E"/>
    <w:rsid w:val="00A27DCA"/>
    <w:rsid w:val="00A32AE1"/>
    <w:rsid w:val="00A342E7"/>
    <w:rsid w:val="00A34937"/>
    <w:rsid w:val="00A34A4E"/>
    <w:rsid w:val="00A35849"/>
    <w:rsid w:val="00A3588B"/>
    <w:rsid w:val="00A361D9"/>
    <w:rsid w:val="00A3745D"/>
    <w:rsid w:val="00A374A8"/>
    <w:rsid w:val="00A40DB7"/>
    <w:rsid w:val="00A41ED5"/>
    <w:rsid w:val="00A4301B"/>
    <w:rsid w:val="00A43BB0"/>
    <w:rsid w:val="00A43E42"/>
    <w:rsid w:val="00A46883"/>
    <w:rsid w:val="00A47532"/>
    <w:rsid w:val="00A47D27"/>
    <w:rsid w:val="00A520B9"/>
    <w:rsid w:val="00A528C2"/>
    <w:rsid w:val="00A53AA2"/>
    <w:rsid w:val="00A544D4"/>
    <w:rsid w:val="00A5517C"/>
    <w:rsid w:val="00A5659E"/>
    <w:rsid w:val="00A57512"/>
    <w:rsid w:val="00A60665"/>
    <w:rsid w:val="00A62073"/>
    <w:rsid w:val="00A6221A"/>
    <w:rsid w:val="00A625E9"/>
    <w:rsid w:val="00A636D6"/>
    <w:rsid w:val="00A63A6A"/>
    <w:rsid w:val="00A63AE3"/>
    <w:rsid w:val="00A63EE8"/>
    <w:rsid w:val="00A649A1"/>
    <w:rsid w:val="00A64E78"/>
    <w:rsid w:val="00A65783"/>
    <w:rsid w:val="00A6615C"/>
    <w:rsid w:val="00A66805"/>
    <w:rsid w:val="00A66F29"/>
    <w:rsid w:val="00A678DA"/>
    <w:rsid w:val="00A67B5D"/>
    <w:rsid w:val="00A738FE"/>
    <w:rsid w:val="00A73F32"/>
    <w:rsid w:val="00A749D2"/>
    <w:rsid w:val="00A74AA5"/>
    <w:rsid w:val="00A74F98"/>
    <w:rsid w:val="00A7522C"/>
    <w:rsid w:val="00A757BE"/>
    <w:rsid w:val="00A75928"/>
    <w:rsid w:val="00A75CAA"/>
    <w:rsid w:val="00A76E61"/>
    <w:rsid w:val="00A770F8"/>
    <w:rsid w:val="00A77F72"/>
    <w:rsid w:val="00A80BFB"/>
    <w:rsid w:val="00A825FF"/>
    <w:rsid w:val="00A82B87"/>
    <w:rsid w:val="00A8344C"/>
    <w:rsid w:val="00A85D8B"/>
    <w:rsid w:val="00A86902"/>
    <w:rsid w:val="00A911A3"/>
    <w:rsid w:val="00A92C48"/>
    <w:rsid w:val="00A93036"/>
    <w:rsid w:val="00A94546"/>
    <w:rsid w:val="00A967EF"/>
    <w:rsid w:val="00AA00E6"/>
    <w:rsid w:val="00AA03BA"/>
    <w:rsid w:val="00AA08AF"/>
    <w:rsid w:val="00AA09FA"/>
    <w:rsid w:val="00AA0BEA"/>
    <w:rsid w:val="00AA0EC7"/>
    <w:rsid w:val="00AA1AD4"/>
    <w:rsid w:val="00AA23B3"/>
    <w:rsid w:val="00AA3AE8"/>
    <w:rsid w:val="00AA3C8A"/>
    <w:rsid w:val="00AA3C97"/>
    <w:rsid w:val="00AA3CF7"/>
    <w:rsid w:val="00AA5483"/>
    <w:rsid w:val="00AA650F"/>
    <w:rsid w:val="00AB0922"/>
    <w:rsid w:val="00AB0B7E"/>
    <w:rsid w:val="00AB1C80"/>
    <w:rsid w:val="00AB1F09"/>
    <w:rsid w:val="00AB26BA"/>
    <w:rsid w:val="00AB2823"/>
    <w:rsid w:val="00AB36F9"/>
    <w:rsid w:val="00AB3728"/>
    <w:rsid w:val="00AB3D56"/>
    <w:rsid w:val="00AB66BE"/>
    <w:rsid w:val="00AB6B87"/>
    <w:rsid w:val="00AB747D"/>
    <w:rsid w:val="00AB7CB0"/>
    <w:rsid w:val="00AC0161"/>
    <w:rsid w:val="00AC0FF1"/>
    <w:rsid w:val="00AC2F52"/>
    <w:rsid w:val="00AC48EA"/>
    <w:rsid w:val="00AC4CA9"/>
    <w:rsid w:val="00AC582E"/>
    <w:rsid w:val="00AC6AAD"/>
    <w:rsid w:val="00AC6ACE"/>
    <w:rsid w:val="00AC7260"/>
    <w:rsid w:val="00AD049D"/>
    <w:rsid w:val="00AD0601"/>
    <w:rsid w:val="00AD0E81"/>
    <w:rsid w:val="00AD154E"/>
    <w:rsid w:val="00AD2960"/>
    <w:rsid w:val="00AD3D49"/>
    <w:rsid w:val="00AD3F46"/>
    <w:rsid w:val="00AD3FC3"/>
    <w:rsid w:val="00AD5E35"/>
    <w:rsid w:val="00AD6027"/>
    <w:rsid w:val="00AD7295"/>
    <w:rsid w:val="00AD73BC"/>
    <w:rsid w:val="00AD7781"/>
    <w:rsid w:val="00AD7C65"/>
    <w:rsid w:val="00AE075B"/>
    <w:rsid w:val="00AE1BAB"/>
    <w:rsid w:val="00AE1F9A"/>
    <w:rsid w:val="00AE558B"/>
    <w:rsid w:val="00AE6C27"/>
    <w:rsid w:val="00AE799F"/>
    <w:rsid w:val="00AE7C1F"/>
    <w:rsid w:val="00AF0231"/>
    <w:rsid w:val="00AF089B"/>
    <w:rsid w:val="00AF0ADB"/>
    <w:rsid w:val="00AF1355"/>
    <w:rsid w:val="00AF33E5"/>
    <w:rsid w:val="00AF3590"/>
    <w:rsid w:val="00AF55B2"/>
    <w:rsid w:val="00AF5806"/>
    <w:rsid w:val="00AF611F"/>
    <w:rsid w:val="00AF68EA"/>
    <w:rsid w:val="00AF690A"/>
    <w:rsid w:val="00AF7F16"/>
    <w:rsid w:val="00B0013A"/>
    <w:rsid w:val="00B0029A"/>
    <w:rsid w:val="00B00E49"/>
    <w:rsid w:val="00B02132"/>
    <w:rsid w:val="00B02148"/>
    <w:rsid w:val="00B0380E"/>
    <w:rsid w:val="00B05316"/>
    <w:rsid w:val="00B057AF"/>
    <w:rsid w:val="00B06369"/>
    <w:rsid w:val="00B06A3A"/>
    <w:rsid w:val="00B07881"/>
    <w:rsid w:val="00B07F29"/>
    <w:rsid w:val="00B10EBA"/>
    <w:rsid w:val="00B11B26"/>
    <w:rsid w:val="00B13184"/>
    <w:rsid w:val="00B134B3"/>
    <w:rsid w:val="00B14839"/>
    <w:rsid w:val="00B14851"/>
    <w:rsid w:val="00B14F5F"/>
    <w:rsid w:val="00B15741"/>
    <w:rsid w:val="00B16F56"/>
    <w:rsid w:val="00B171C5"/>
    <w:rsid w:val="00B17267"/>
    <w:rsid w:val="00B17699"/>
    <w:rsid w:val="00B17E03"/>
    <w:rsid w:val="00B20E79"/>
    <w:rsid w:val="00B21781"/>
    <w:rsid w:val="00B21C90"/>
    <w:rsid w:val="00B22F90"/>
    <w:rsid w:val="00B2394A"/>
    <w:rsid w:val="00B2436F"/>
    <w:rsid w:val="00B26834"/>
    <w:rsid w:val="00B278A4"/>
    <w:rsid w:val="00B27B22"/>
    <w:rsid w:val="00B27D75"/>
    <w:rsid w:val="00B3002C"/>
    <w:rsid w:val="00B30BE7"/>
    <w:rsid w:val="00B30D0A"/>
    <w:rsid w:val="00B336E5"/>
    <w:rsid w:val="00B338C9"/>
    <w:rsid w:val="00B341A8"/>
    <w:rsid w:val="00B347FA"/>
    <w:rsid w:val="00B35B7D"/>
    <w:rsid w:val="00B35DE1"/>
    <w:rsid w:val="00B3612D"/>
    <w:rsid w:val="00B361B4"/>
    <w:rsid w:val="00B36B97"/>
    <w:rsid w:val="00B37941"/>
    <w:rsid w:val="00B37CCB"/>
    <w:rsid w:val="00B403B3"/>
    <w:rsid w:val="00B4180A"/>
    <w:rsid w:val="00B42024"/>
    <w:rsid w:val="00B42497"/>
    <w:rsid w:val="00B429B9"/>
    <w:rsid w:val="00B42DA3"/>
    <w:rsid w:val="00B44CD1"/>
    <w:rsid w:val="00B44D44"/>
    <w:rsid w:val="00B4592B"/>
    <w:rsid w:val="00B45C03"/>
    <w:rsid w:val="00B46AF4"/>
    <w:rsid w:val="00B47511"/>
    <w:rsid w:val="00B47FC8"/>
    <w:rsid w:val="00B5094C"/>
    <w:rsid w:val="00B52413"/>
    <w:rsid w:val="00B55561"/>
    <w:rsid w:val="00B55BAF"/>
    <w:rsid w:val="00B567BC"/>
    <w:rsid w:val="00B56D92"/>
    <w:rsid w:val="00B57DA7"/>
    <w:rsid w:val="00B61111"/>
    <w:rsid w:val="00B641DA"/>
    <w:rsid w:val="00B649CD"/>
    <w:rsid w:val="00B65AA8"/>
    <w:rsid w:val="00B7177E"/>
    <w:rsid w:val="00B72DB2"/>
    <w:rsid w:val="00B72E4B"/>
    <w:rsid w:val="00B7346F"/>
    <w:rsid w:val="00B74360"/>
    <w:rsid w:val="00B751BA"/>
    <w:rsid w:val="00B75C8F"/>
    <w:rsid w:val="00B75CC2"/>
    <w:rsid w:val="00B75E8F"/>
    <w:rsid w:val="00B80320"/>
    <w:rsid w:val="00B80C47"/>
    <w:rsid w:val="00B811AB"/>
    <w:rsid w:val="00B8124F"/>
    <w:rsid w:val="00B818D6"/>
    <w:rsid w:val="00B8278A"/>
    <w:rsid w:val="00B82F90"/>
    <w:rsid w:val="00B84859"/>
    <w:rsid w:val="00B8655F"/>
    <w:rsid w:val="00B86743"/>
    <w:rsid w:val="00B90A29"/>
    <w:rsid w:val="00B919A3"/>
    <w:rsid w:val="00B927DF"/>
    <w:rsid w:val="00B928D0"/>
    <w:rsid w:val="00B92C42"/>
    <w:rsid w:val="00B93B36"/>
    <w:rsid w:val="00B95BE3"/>
    <w:rsid w:val="00B95D8E"/>
    <w:rsid w:val="00B960F0"/>
    <w:rsid w:val="00B97D7B"/>
    <w:rsid w:val="00BA0C5F"/>
    <w:rsid w:val="00BA2D12"/>
    <w:rsid w:val="00BA304A"/>
    <w:rsid w:val="00BA5126"/>
    <w:rsid w:val="00BA6605"/>
    <w:rsid w:val="00BA6EA9"/>
    <w:rsid w:val="00BA78BC"/>
    <w:rsid w:val="00BB1EA1"/>
    <w:rsid w:val="00BB5A57"/>
    <w:rsid w:val="00BB7C35"/>
    <w:rsid w:val="00BB7FC5"/>
    <w:rsid w:val="00BC093B"/>
    <w:rsid w:val="00BC12E1"/>
    <w:rsid w:val="00BC1800"/>
    <w:rsid w:val="00BC1A1D"/>
    <w:rsid w:val="00BC1F43"/>
    <w:rsid w:val="00BC2346"/>
    <w:rsid w:val="00BC36D9"/>
    <w:rsid w:val="00BC3C49"/>
    <w:rsid w:val="00BC4177"/>
    <w:rsid w:val="00BC59B0"/>
    <w:rsid w:val="00BC66BA"/>
    <w:rsid w:val="00BC725D"/>
    <w:rsid w:val="00BC7BD9"/>
    <w:rsid w:val="00BD03E2"/>
    <w:rsid w:val="00BD12F8"/>
    <w:rsid w:val="00BD1721"/>
    <w:rsid w:val="00BD1F1C"/>
    <w:rsid w:val="00BD2E2F"/>
    <w:rsid w:val="00BD3C9F"/>
    <w:rsid w:val="00BD43DE"/>
    <w:rsid w:val="00BD53BF"/>
    <w:rsid w:val="00BD5E51"/>
    <w:rsid w:val="00BD746D"/>
    <w:rsid w:val="00BD7AD7"/>
    <w:rsid w:val="00BE11AD"/>
    <w:rsid w:val="00BE226E"/>
    <w:rsid w:val="00BE3D0D"/>
    <w:rsid w:val="00BE4209"/>
    <w:rsid w:val="00BE4BC2"/>
    <w:rsid w:val="00BE54FD"/>
    <w:rsid w:val="00BE5542"/>
    <w:rsid w:val="00BE59A2"/>
    <w:rsid w:val="00BE5A03"/>
    <w:rsid w:val="00BE6087"/>
    <w:rsid w:val="00BE7127"/>
    <w:rsid w:val="00BE712E"/>
    <w:rsid w:val="00BF0B5A"/>
    <w:rsid w:val="00BF35E8"/>
    <w:rsid w:val="00BF3AF5"/>
    <w:rsid w:val="00BF5D74"/>
    <w:rsid w:val="00BF60CE"/>
    <w:rsid w:val="00BF62F0"/>
    <w:rsid w:val="00BF694E"/>
    <w:rsid w:val="00BF6A5C"/>
    <w:rsid w:val="00BF6B7F"/>
    <w:rsid w:val="00BF7179"/>
    <w:rsid w:val="00BF772C"/>
    <w:rsid w:val="00BF7F43"/>
    <w:rsid w:val="00C00095"/>
    <w:rsid w:val="00C014E8"/>
    <w:rsid w:val="00C01EEF"/>
    <w:rsid w:val="00C01FC7"/>
    <w:rsid w:val="00C02D6D"/>
    <w:rsid w:val="00C03674"/>
    <w:rsid w:val="00C0589A"/>
    <w:rsid w:val="00C0693D"/>
    <w:rsid w:val="00C07159"/>
    <w:rsid w:val="00C0797B"/>
    <w:rsid w:val="00C1068F"/>
    <w:rsid w:val="00C10AE1"/>
    <w:rsid w:val="00C10D7C"/>
    <w:rsid w:val="00C113AB"/>
    <w:rsid w:val="00C13C1C"/>
    <w:rsid w:val="00C13EFD"/>
    <w:rsid w:val="00C143A9"/>
    <w:rsid w:val="00C14694"/>
    <w:rsid w:val="00C1519A"/>
    <w:rsid w:val="00C15562"/>
    <w:rsid w:val="00C15C81"/>
    <w:rsid w:val="00C1681E"/>
    <w:rsid w:val="00C168A6"/>
    <w:rsid w:val="00C17567"/>
    <w:rsid w:val="00C17583"/>
    <w:rsid w:val="00C17979"/>
    <w:rsid w:val="00C17E22"/>
    <w:rsid w:val="00C208AA"/>
    <w:rsid w:val="00C21A43"/>
    <w:rsid w:val="00C22967"/>
    <w:rsid w:val="00C22DC8"/>
    <w:rsid w:val="00C2615A"/>
    <w:rsid w:val="00C26D1C"/>
    <w:rsid w:val="00C27580"/>
    <w:rsid w:val="00C27BAB"/>
    <w:rsid w:val="00C30034"/>
    <w:rsid w:val="00C301B8"/>
    <w:rsid w:val="00C30C27"/>
    <w:rsid w:val="00C30D38"/>
    <w:rsid w:val="00C31AD1"/>
    <w:rsid w:val="00C344C3"/>
    <w:rsid w:val="00C349E7"/>
    <w:rsid w:val="00C35285"/>
    <w:rsid w:val="00C35D1C"/>
    <w:rsid w:val="00C3620A"/>
    <w:rsid w:val="00C3629B"/>
    <w:rsid w:val="00C37655"/>
    <w:rsid w:val="00C40482"/>
    <w:rsid w:val="00C407F1"/>
    <w:rsid w:val="00C41112"/>
    <w:rsid w:val="00C42260"/>
    <w:rsid w:val="00C45AE3"/>
    <w:rsid w:val="00C46F77"/>
    <w:rsid w:val="00C47110"/>
    <w:rsid w:val="00C47A7F"/>
    <w:rsid w:val="00C505CA"/>
    <w:rsid w:val="00C50D85"/>
    <w:rsid w:val="00C51B6E"/>
    <w:rsid w:val="00C51D4A"/>
    <w:rsid w:val="00C53862"/>
    <w:rsid w:val="00C546C3"/>
    <w:rsid w:val="00C55355"/>
    <w:rsid w:val="00C56260"/>
    <w:rsid w:val="00C565E4"/>
    <w:rsid w:val="00C56E17"/>
    <w:rsid w:val="00C576E2"/>
    <w:rsid w:val="00C57911"/>
    <w:rsid w:val="00C603D5"/>
    <w:rsid w:val="00C60D61"/>
    <w:rsid w:val="00C6181B"/>
    <w:rsid w:val="00C62705"/>
    <w:rsid w:val="00C628DA"/>
    <w:rsid w:val="00C62C44"/>
    <w:rsid w:val="00C63C23"/>
    <w:rsid w:val="00C64B1B"/>
    <w:rsid w:val="00C64E1E"/>
    <w:rsid w:val="00C650DF"/>
    <w:rsid w:val="00C6522C"/>
    <w:rsid w:val="00C65BF3"/>
    <w:rsid w:val="00C667AC"/>
    <w:rsid w:val="00C66837"/>
    <w:rsid w:val="00C67117"/>
    <w:rsid w:val="00C677A6"/>
    <w:rsid w:val="00C67FF0"/>
    <w:rsid w:val="00C705CB"/>
    <w:rsid w:val="00C70C43"/>
    <w:rsid w:val="00C72AC6"/>
    <w:rsid w:val="00C7391F"/>
    <w:rsid w:val="00C73A80"/>
    <w:rsid w:val="00C747D5"/>
    <w:rsid w:val="00C75049"/>
    <w:rsid w:val="00C7522A"/>
    <w:rsid w:val="00C75783"/>
    <w:rsid w:val="00C7672A"/>
    <w:rsid w:val="00C814F1"/>
    <w:rsid w:val="00C81E6E"/>
    <w:rsid w:val="00C81EA2"/>
    <w:rsid w:val="00C82D5E"/>
    <w:rsid w:val="00C83C61"/>
    <w:rsid w:val="00C86A68"/>
    <w:rsid w:val="00C86CA8"/>
    <w:rsid w:val="00C86F1A"/>
    <w:rsid w:val="00C87CB8"/>
    <w:rsid w:val="00C87D33"/>
    <w:rsid w:val="00C908E1"/>
    <w:rsid w:val="00C917EE"/>
    <w:rsid w:val="00C91918"/>
    <w:rsid w:val="00C946DF"/>
    <w:rsid w:val="00C96C00"/>
    <w:rsid w:val="00C9798B"/>
    <w:rsid w:val="00C97B0D"/>
    <w:rsid w:val="00CA06F5"/>
    <w:rsid w:val="00CA1695"/>
    <w:rsid w:val="00CA20ED"/>
    <w:rsid w:val="00CA22D6"/>
    <w:rsid w:val="00CA289F"/>
    <w:rsid w:val="00CA30AF"/>
    <w:rsid w:val="00CA4048"/>
    <w:rsid w:val="00CA4FE3"/>
    <w:rsid w:val="00CA5C03"/>
    <w:rsid w:val="00CA6425"/>
    <w:rsid w:val="00CA731B"/>
    <w:rsid w:val="00CB14A6"/>
    <w:rsid w:val="00CB1560"/>
    <w:rsid w:val="00CB17DD"/>
    <w:rsid w:val="00CB1F60"/>
    <w:rsid w:val="00CB36DE"/>
    <w:rsid w:val="00CB42B0"/>
    <w:rsid w:val="00CB5A49"/>
    <w:rsid w:val="00CB5AAC"/>
    <w:rsid w:val="00CB6059"/>
    <w:rsid w:val="00CB6370"/>
    <w:rsid w:val="00CB6A04"/>
    <w:rsid w:val="00CB6C21"/>
    <w:rsid w:val="00CC014F"/>
    <w:rsid w:val="00CC1166"/>
    <w:rsid w:val="00CC19C4"/>
    <w:rsid w:val="00CC29CE"/>
    <w:rsid w:val="00CC3717"/>
    <w:rsid w:val="00CC43D6"/>
    <w:rsid w:val="00CC44A7"/>
    <w:rsid w:val="00CC497F"/>
    <w:rsid w:val="00CC49EC"/>
    <w:rsid w:val="00CC4FC5"/>
    <w:rsid w:val="00CC647E"/>
    <w:rsid w:val="00CC6F48"/>
    <w:rsid w:val="00CC75E1"/>
    <w:rsid w:val="00CC7A4D"/>
    <w:rsid w:val="00CC7B76"/>
    <w:rsid w:val="00CD0957"/>
    <w:rsid w:val="00CD0C4E"/>
    <w:rsid w:val="00CD0EDC"/>
    <w:rsid w:val="00CD1B89"/>
    <w:rsid w:val="00CD286D"/>
    <w:rsid w:val="00CD3077"/>
    <w:rsid w:val="00CD58B2"/>
    <w:rsid w:val="00CD6613"/>
    <w:rsid w:val="00CD76D5"/>
    <w:rsid w:val="00CE0245"/>
    <w:rsid w:val="00CE0296"/>
    <w:rsid w:val="00CE0E18"/>
    <w:rsid w:val="00CE129C"/>
    <w:rsid w:val="00CE1538"/>
    <w:rsid w:val="00CE3308"/>
    <w:rsid w:val="00CE3CF1"/>
    <w:rsid w:val="00CE4D8D"/>
    <w:rsid w:val="00CE4FF9"/>
    <w:rsid w:val="00CE61B5"/>
    <w:rsid w:val="00CE6CF5"/>
    <w:rsid w:val="00CE7D62"/>
    <w:rsid w:val="00CE7EED"/>
    <w:rsid w:val="00CF140B"/>
    <w:rsid w:val="00CF1CBE"/>
    <w:rsid w:val="00CF1F0E"/>
    <w:rsid w:val="00CF38C6"/>
    <w:rsid w:val="00CF4924"/>
    <w:rsid w:val="00CF5F5E"/>
    <w:rsid w:val="00CF6722"/>
    <w:rsid w:val="00CF6C58"/>
    <w:rsid w:val="00D00550"/>
    <w:rsid w:val="00D00705"/>
    <w:rsid w:val="00D01600"/>
    <w:rsid w:val="00D01CE6"/>
    <w:rsid w:val="00D02C9C"/>
    <w:rsid w:val="00D0380B"/>
    <w:rsid w:val="00D03BA2"/>
    <w:rsid w:val="00D04554"/>
    <w:rsid w:val="00D05744"/>
    <w:rsid w:val="00D05D6E"/>
    <w:rsid w:val="00D100A9"/>
    <w:rsid w:val="00D10954"/>
    <w:rsid w:val="00D115F7"/>
    <w:rsid w:val="00D12EEB"/>
    <w:rsid w:val="00D1623F"/>
    <w:rsid w:val="00D16AF1"/>
    <w:rsid w:val="00D17242"/>
    <w:rsid w:val="00D21B74"/>
    <w:rsid w:val="00D21CE0"/>
    <w:rsid w:val="00D2394F"/>
    <w:rsid w:val="00D249F4"/>
    <w:rsid w:val="00D2564F"/>
    <w:rsid w:val="00D25DD9"/>
    <w:rsid w:val="00D268AF"/>
    <w:rsid w:val="00D26BF0"/>
    <w:rsid w:val="00D279D8"/>
    <w:rsid w:val="00D301EC"/>
    <w:rsid w:val="00D33573"/>
    <w:rsid w:val="00D35FF5"/>
    <w:rsid w:val="00D360F0"/>
    <w:rsid w:val="00D36103"/>
    <w:rsid w:val="00D36819"/>
    <w:rsid w:val="00D36D1D"/>
    <w:rsid w:val="00D374ED"/>
    <w:rsid w:val="00D37739"/>
    <w:rsid w:val="00D37D1E"/>
    <w:rsid w:val="00D37F30"/>
    <w:rsid w:val="00D40937"/>
    <w:rsid w:val="00D429DE"/>
    <w:rsid w:val="00D43140"/>
    <w:rsid w:val="00D431EE"/>
    <w:rsid w:val="00D443AB"/>
    <w:rsid w:val="00D448E4"/>
    <w:rsid w:val="00D45381"/>
    <w:rsid w:val="00D45452"/>
    <w:rsid w:val="00D46544"/>
    <w:rsid w:val="00D50184"/>
    <w:rsid w:val="00D50437"/>
    <w:rsid w:val="00D51419"/>
    <w:rsid w:val="00D51DD1"/>
    <w:rsid w:val="00D52989"/>
    <w:rsid w:val="00D52F5C"/>
    <w:rsid w:val="00D53A7A"/>
    <w:rsid w:val="00D53DF5"/>
    <w:rsid w:val="00D5753F"/>
    <w:rsid w:val="00D601F2"/>
    <w:rsid w:val="00D61A85"/>
    <w:rsid w:val="00D62C6D"/>
    <w:rsid w:val="00D631DE"/>
    <w:rsid w:val="00D6437D"/>
    <w:rsid w:val="00D64BF3"/>
    <w:rsid w:val="00D67CBC"/>
    <w:rsid w:val="00D700E4"/>
    <w:rsid w:val="00D701B8"/>
    <w:rsid w:val="00D7251F"/>
    <w:rsid w:val="00D72B6D"/>
    <w:rsid w:val="00D73140"/>
    <w:rsid w:val="00D74601"/>
    <w:rsid w:val="00D7702B"/>
    <w:rsid w:val="00D80DEC"/>
    <w:rsid w:val="00D82004"/>
    <w:rsid w:val="00D82DD2"/>
    <w:rsid w:val="00D8347A"/>
    <w:rsid w:val="00D84446"/>
    <w:rsid w:val="00D84D8A"/>
    <w:rsid w:val="00D85A92"/>
    <w:rsid w:val="00D85CB7"/>
    <w:rsid w:val="00D85F03"/>
    <w:rsid w:val="00D86693"/>
    <w:rsid w:val="00D86BD8"/>
    <w:rsid w:val="00D86CD2"/>
    <w:rsid w:val="00D87867"/>
    <w:rsid w:val="00D87D6B"/>
    <w:rsid w:val="00D90054"/>
    <w:rsid w:val="00D90979"/>
    <w:rsid w:val="00D90A4B"/>
    <w:rsid w:val="00D91E0A"/>
    <w:rsid w:val="00D92C46"/>
    <w:rsid w:val="00D92F2F"/>
    <w:rsid w:val="00D934EF"/>
    <w:rsid w:val="00D95373"/>
    <w:rsid w:val="00D95C87"/>
    <w:rsid w:val="00DA05AF"/>
    <w:rsid w:val="00DA0FD4"/>
    <w:rsid w:val="00DA1452"/>
    <w:rsid w:val="00DA2AA7"/>
    <w:rsid w:val="00DA37E1"/>
    <w:rsid w:val="00DA45B4"/>
    <w:rsid w:val="00DA4BCD"/>
    <w:rsid w:val="00DA4D33"/>
    <w:rsid w:val="00DA5CA8"/>
    <w:rsid w:val="00DA5FD3"/>
    <w:rsid w:val="00DA63DD"/>
    <w:rsid w:val="00DA6CB4"/>
    <w:rsid w:val="00DA70C2"/>
    <w:rsid w:val="00DB0862"/>
    <w:rsid w:val="00DB2C05"/>
    <w:rsid w:val="00DB30DE"/>
    <w:rsid w:val="00DB38CA"/>
    <w:rsid w:val="00DB3927"/>
    <w:rsid w:val="00DB39F7"/>
    <w:rsid w:val="00DB6314"/>
    <w:rsid w:val="00DB7632"/>
    <w:rsid w:val="00DC01FF"/>
    <w:rsid w:val="00DC0C47"/>
    <w:rsid w:val="00DC1535"/>
    <w:rsid w:val="00DC315E"/>
    <w:rsid w:val="00DC3934"/>
    <w:rsid w:val="00DC4BB2"/>
    <w:rsid w:val="00DC53B6"/>
    <w:rsid w:val="00DC582E"/>
    <w:rsid w:val="00DC64B5"/>
    <w:rsid w:val="00DC72C5"/>
    <w:rsid w:val="00DC7C89"/>
    <w:rsid w:val="00DD0460"/>
    <w:rsid w:val="00DD0712"/>
    <w:rsid w:val="00DD1ADA"/>
    <w:rsid w:val="00DD297F"/>
    <w:rsid w:val="00DD4186"/>
    <w:rsid w:val="00DD45B8"/>
    <w:rsid w:val="00DD53F7"/>
    <w:rsid w:val="00DD6519"/>
    <w:rsid w:val="00DD7907"/>
    <w:rsid w:val="00DD7F5D"/>
    <w:rsid w:val="00DE00B9"/>
    <w:rsid w:val="00DE0ADD"/>
    <w:rsid w:val="00DE11EA"/>
    <w:rsid w:val="00DE1E17"/>
    <w:rsid w:val="00DE261C"/>
    <w:rsid w:val="00DE3A2C"/>
    <w:rsid w:val="00DE4498"/>
    <w:rsid w:val="00DE52C8"/>
    <w:rsid w:val="00DE57AD"/>
    <w:rsid w:val="00DE5B98"/>
    <w:rsid w:val="00DE6036"/>
    <w:rsid w:val="00DE634E"/>
    <w:rsid w:val="00DE65AF"/>
    <w:rsid w:val="00DE6909"/>
    <w:rsid w:val="00DE6991"/>
    <w:rsid w:val="00DE721C"/>
    <w:rsid w:val="00DE7385"/>
    <w:rsid w:val="00DE7546"/>
    <w:rsid w:val="00DF04BD"/>
    <w:rsid w:val="00DF18CC"/>
    <w:rsid w:val="00DF2A61"/>
    <w:rsid w:val="00DF2B28"/>
    <w:rsid w:val="00DF5F2D"/>
    <w:rsid w:val="00E008C0"/>
    <w:rsid w:val="00E008DE"/>
    <w:rsid w:val="00E01A3B"/>
    <w:rsid w:val="00E023A7"/>
    <w:rsid w:val="00E03204"/>
    <w:rsid w:val="00E0342C"/>
    <w:rsid w:val="00E03E8A"/>
    <w:rsid w:val="00E064B4"/>
    <w:rsid w:val="00E0657A"/>
    <w:rsid w:val="00E06D7E"/>
    <w:rsid w:val="00E11AED"/>
    <w:rsid w:val="00E1393F"/>
    <w:rsid w:val="00E14ADE"/>
    <w:rsid w:val="00E14FF4"/>
    <w:rsid w:val="00E175DA"/>
    <w:rsid w:val="00E17B4A"/>
    <w:rsid w:val="00E17C01"/>
    <w:rsid w:val="00E20DAE"/>
    <w:rsid w:val="00E21F96"/>
    <w:rsid w:val="00E2217A"/>
    <w:rsid w:val="00E22CC8"/>
    <w:rsid w:val="00E23FD4"/>
    <w:rsid w:val="00E243A1"/>
    <w:rsid w:val="00E24D28"/>
    <w:rsid w:val="00E26A36"/>
    <w:rsid w:val="00E27106"/>
    <w:rsid w:val="00E30DB5"/>
    <w:rsid w:val="00E31D0B"/>
    <w:rsid w:val="00E32569"/>
    <w:rsid w:val="00E33870"/>
    <w:rsid w:val="00E35200"/>
    <w:rsid w:val="00E362AA"/>
    <w:rsid w:val="00E36CE7"/>
    <w:rsid w:val="00E37238"/>
    <w:rsid w:val="00E37748"/>
    <w:rsid w:val="00E404B9"/>
    <w:rsid w:val="00E40604"/>
    <w:rsid w:val="00E416A0"/>
    <w:rsid w:val="00E45271"/>
    <w:rsid w:val="00E45C1D"/>
    <w:rsid w:val="00E467C9"/>
    <w:rsid w:val="00E511C2"/>
    <w:rsid w:val="00E53E5B"/>
    <w:rsid w:val="00E56408"/>
    <w:rsid w:val="00E56440"/>
    <w:rsid w:val="00E6010B"/>
    <w:rsid w:val="00E60186"/>
    <w:rsid w:val="00E6021C"/>
    <w:rsid w:val="00E602B4"/>
    <w:rsid w:val="00E62D68"/>
    <w:rsid w:val="00E64A3C"/>
    <w:rsid w:val="00E65E9B"/>
    <w:rsid w:val="00E67E6B"/>
    <w:rsid w:val="00E7027F"/>
    <w:rsid w:val="00E7070E"/>
    <w:rsid w:val="00E70E4D"/>
    <w:rsid w:val="00E7227C"/>
    <w:rsid w:val="00E735F1"/>
    <w:rsid w:val="00E74977"/>
    <w:rsid w:val="00E74C51"/>
    <w:rsid w:val="00E754D4"/>
    <w:rsid w:val="00E759F7"/>
    <w:rsid w:val="00E76B8B"/>
    <w:rsid w:val="00E77C2C"/>
    <w:rsid w:val="00E806F8"/>
    <w:rsid w:val="00E807E6"/>
    <w:rsid w:val="00E82B6C"/>
    <w:rsid w:val="00E83022"/>
    <w:rsid w:val="00E83FC2"/>
    <w:rsid w:val="00E85057"/>
    <w:rsid w:val="00E861E9"/>
    <w:rsid w:val="00E87B21"/>
    <w:rsid w:val="00E87BAB"/>
    <w:rsid w:val="00E87F2C"/>
    <w:rsid w:val="00E904DC"/>
    <w:rsid w:val="00E90DAD"/>
    <w:rsid w:val="00E91586"/>
    <w:rsid w:val="00E94353"/>
    <w:rsid w:val="00E94428"/>
    <w:rsid w:val="00E9482C"/>
    <w:rsid w:val="00E94A9C"/>
    <w:rsid w:val="00E94AC6"/>
    <w:rsid w:val="00E95434"/>
    <w:rsid w:val="00E95649"/>
    <w:rsid w:val="00E96B16"/>
    <w:rsid w:val="00E97366"/>
    <w:rsid w:val="00E9787C"/>
    <w:rsid w:val="00E97FFB"/>
    <w:rsid w:val="00EA0B67"/>
    <w:rsid w:val="00EA2951"/>
    <w:rsid w:val="00EA3BEB"/>
    <w:rsid w:val="00EA4F3E"/>
    <w:rsid w:val="00EA61C8"/>
    <w:rsid w:val="00EA673C"/>
    <w:rsid w:val="00EA7D8D"/>
    <w:rsid w:val="00EA7F2E"/>
    <w:rsid w:val="00EB102B"/>
    <w:rsid w:val="00EB1162"/>
    <w:rsid w:val="00EB1253"/>
    <w:rsid w:val="00EB219F"/>
    <w:rsid w:val="00EB28B4"/>
    <w:rsid w:val="00EB2DAD"/>
    <w:rsid w:val="00EB34C8"/>
    <w:rsid w:val="00EB5074"/>
    <w:rsid w:val="00EB5A96"/>
    <w:rsid w:val="00EB5B50"/>
    <w:rsid w:val="00EB7206"/>
    <w:rsid w:val="00EB73C3"/>
    <w:rsid w:val="00EC0432"/>
    <w:rsid w:val="00EC1600"/>
    <w:rsid w:val="00EC16BD"/>
    <w:rsid w:val="00EC18D5"/>
    <w:rsid w:val="00EC1CDA"/>
    <w:rsid w:val="00EC1D3D"/>
    <w:rsid w:val="00EC3D9B"/>
    <w:rsid w:val="00EC4F05"/>
    <w:rsid w:val="00EC62CA"/>
    <w:rsid w:val="00EC62D6"/>
    <w:rsid w:val="00EC7B5D"/>
    <w:rsid w:val="00ED02F7"/>
    <w:rsid w:val="00ED0363"/>
    <w:rsid w:val="00ED1CE3"/>
    <w:rsid w:val="00ED267D"/>
    <w:rsid w:val="00ED5225"/>
    <w:rsid w:val="00ED5B2E"/>
    <w:rsid w:val="00ED5F04"/>
    <w:rsid w:val="00ED6B35"/>
    <w:rsid w:val="00ED74CA"/>
    <w:rsid w:val="00ED7504"/>
    <w:rsid w:val="00ED766B"/>
    <w:rsid w:val="00EE0BB2"/>
    <w:rsid w:val="00EE1CE9"/>
    <w:rsid w:val="00EE2360"/>
    <w:rsid w:val="00EE2DE2"/>
    <w:rsid w:val="00EE2DF6"/>
    <w:rsid w:val="00EE4716"/>
    <w:rsid w:val="00EE4733"/>
    <w:rsid w:val="00EE56EF"/>
    <w:rsid w:val="00EE5CE4"/>
    <w:rsid w:val="00EE6D97"/>
    <w:rsid w:val="00EE6E55"/>
    <w:rsid w:val="00EF02A7"/>
    <w:rsid w:val="00EF1E40"/>
    <w:rsid w:val="00EF3BC8"/>
    <w:rsid w:val="00EF45FF"/>
    <w:rsid w:val="00EF4659"/>
    <w:rsid w:val="00EF495A"/>
    <w:rsid w:val="00EF4B49"/>
    <w:rsid w:val="00EF5C62"/>
    <w:rsid w:val="00F0077E"/>
    <w:rsid w:val="00F00A09"/>
    <w:rsid w:val="00F00BD5"/>
    <w:rsid w:val="00F01809"/>
    <w:rsid w:val="00F01827"/>
    <w:rsid w:val="00F02840"/>
    <w:rsid w:val="00F02935"/>
    <w:rsid w:val="00F0355E"/>
    <w:rsid w:val="00F036E8"/>
    <w:rsid w:val="00F044C4"/>
    <w:rsid w:val="00F0494B"/>
    <w:rsid w:val="00F053DF"/>
    <w:rsid w:val="00F05A9C"/>
    <w:rsid w:val="00F0701E"/>
    <w:rsid w:val="00F07544"/>
    <w:rsid w:val="00F10193"/>
    <w:rsid w:val="00F10A51"/>
    <w:rsid w:val="00F10E16"/>
    <w:rsid w:val="00F110B8"/>
    <w:rsid w:val="00F12807"/>
    <w:rsid w:val="00F12ED5"/>
    <w:rsid w:val="00F1328E"/>
    <w:rsid w:val="00F14E42"/>
    <w:rsid w:val="00F16978"/>
    <w:rsid w:val="00F16B05"/>
    <w:rsid w:val="00F16B77"/>
    <w:rsid w:val="00F174B8"/>
    <w:rsid w:val="00F2163E"/>
    <w:rsid w:val="00F21DCD"/>
    <w:rsid w:val="00F22385"/>
    <w:rsid w:val="00F22698"/>
    <w:rsid w:val="00F234EF"/>
    <w:rsid w:val="00F235C9"/>
    <w:rsid w:val="00F238F5"/>
    <w:rsid w:val="00F23AC9"/>
    <w:rsid w:val="00F23B0D"/>
    <w:rsid w:val="00F24292"/>
    <w:rsid w:val="00F244FB"/>
    <w:rsid w:val="00F26C46"/>
    <w:rsid w:val="00F27B94"/>
    <w:rsid w:val="00F301F5"/>
    <w:rsid w:val="00F3165D"/>
    <w:rsid w:val="00F31791"/>
    <w:rsid w:val="00F319D9"/>
    <w:rsid w:val="00F31DB9"/>
    <w:rsid w:val="00F321C6"/>
    <w:rsid w:val="00F32C15"/>
    <w:rsid w:val="00F3460B"/>
    <w:rsid w:val="00F3492E"/>
    <w:rsid w:val="00F35110"/>
    <w:rsid w:val="00F37186"/>
    <w:rsid w:val="00F37B80"/>
    <w:rsid w:val="00F40640"/>
    <w:rsid w:val="00F41B4B"/>
    <w:rsid w:val="00F42DE4"/>
    <w:rsid w:val="00F43970"/>
    <w:rsid w:val="00F46478"/>
    <w:rsid w:val="00F4655E"/>
    <w:rsid w:val="00F50AC5"/>
    <w:rsid w:val="00F50F4E"/>
    <w:rsid w:val="00F512D3"/>
    <w:rsid w:val="00F5161A"/>
    <w:rsid w:val="00F53778"/>
    <w:rsid w:val="00F53ED8"/>
    <w:rsid w:val="00F54CCF"/>
    <w:rsid w:val="00F54F5D"/>
    <w:rsid w:val="00F55FF3"/>
    <w:rsid w:val="00F5698C"/>
    <w:rsid w:val="00F5723D"/>
    <w:rsid w:val="00F57785"/>
    <w:rsid w:val="00F61D39"/>
    <w:rsid w:val="00F648E5"/>
    <w:rsid w:val="00F65764"/>
    <w:rsid w:val="00F659C7"/>
    <w:rsid w:val="00F65BFC"/>
    <w:rsid w:val="00F66A29"/>
    <w:rsid w:val="00F67ABC"/>
    <w:rsid w:val="00F7191F"/>
    <w:rsid w:val="00F72228"/>
    <w:rsid w:val="00F7234D"/>
    <w:rsid w:val="00F75B0F"/>
    <w:rsid w:val="00F7634E"/>
    <w:rsid w:val="00F77C1F"/>
    <w:rsid w:val="00F77E32"/>
    <w:rsid w:val="00F800BA"/>
    <w:rsid w:val="00F8056D"/>
    <w:rsid w:val="00F80932"/>
    <w:rsid w:val="00F80A0C"/>
    <w:rsid w:val="00F80D5B"/>
    <w:rsid w:val="00F80D97"/>
    <w:rsid w:val="00F81510"/>
    <w:rsid w:val="00F816C9"/>
    <w:rsid w:val="00F821A5"/>
    <w:rsid w:val="00F83120"/>
    <w:rsid w:val="00F83246"/>
    <w:rsid w:val="00F834F1"/>
    <w:rsid w:val="00F8518F"/>
    <w:rsid w:val="00F853F4"/>
    <w:rsid w:val="00F85F99"/>
    <w:rsid w:val="00F85FF7"/>
    <w:rsid w:val="00F8751E"/>
    <w:rsid w:val="00F87B62"/>
    <w:rsid w:val="00F87E0D"/>
    <w:rsid w:val="00F901A9"/>
    <w:rsid w:val="00F91FA3"/>
    <w:rsid w:val="00F92248"/>
    <w:rsid w:val="00F928AD"/>
    <w:rsid w:val="00F92AAC"/>
    <w:rsid w:val="00F92AEA"/>
    <w:rsid w:val="00F937EB"/>
    <w:rsid w:val="00F93FE3"/>
    <w:rsid w:val="00F950F2"/>
    <w:rsid w:val="00F95A79"/>
    <w:rsid w:val="00F967C0"/>
    <w:rsid w:val="00F97D8A"/>
    <w:rsid w:val="00F97EF9"/>
    <w:rsid w:val="00FA0036"/>
    <w:rsid w:val="00FA0777"/>
    <w:rsid w:val="00FA3B46"/>
    <w:rsid w:val="00FA45F9"/>
    <w:rsid w:val="00FA4742"/>
    <w:rsid w:val="00FA6372"/>
    <w:rsid w:val="00FA6D6E"/>
    <w:rsid w:val="00FA7C7C"/>
    <w:rsid w:val="00FA7DEE"/>
    <w:rsid w:val="00FA7EDA"/>
    <w:rsid w:val="00FB0A54"/>
    <w:rsid w:val="00FB2719"/>
    <w:rsid w:val="00FB27C3"/>
    <w:rsid w:val="00FB5738"/>
    <w:rsid w:val="00FB5CDA"/>
    <w:rsid w:val="00FB6679"/>
    <w:rsid w:val="00FB7CB8"/>
    <w:rsid w:val="00FC106D"/>
    <w:rsid w:val="00FC2C1B"/>
    <w:rsid w:val="00FC60AA"/>
    <w:rsid w:val="00FC613F"/>
    <w:rsid w:val="00FC782F"/>
    <w:rsid w:val="00FD01C1"/>
    <w:rsid w:val="00FD131F"/>
    <w:rsid w:val="00FD13CF"/>
    <w:rsid w:val="00FD158D"/>
    <w:rsid w:val="00FD1ACA"/>
    <w:rsid w:val="00FD308C"/>
    <w:rsid w:val="00FD3289"/>
    <w:rsid w:val="00FD4457"/>
    <w:rsid w:val="00FD68F5"/>
    <w:rsid w:val="00FD6C90"/>
    <w:rsid w:val="00FD7E74"/>
    <w:rsid w:val="00FE04C9"/>
    <w:rsid w:val="00FE0529"/>
    <w:rsid w:val="00FE0634"/>
    <w:rsid w:val="00FE3D73"/>
    <w:rsid w:val="00FE4343"/>
    <w:rsid w:val="00FE4391"/>
    <w:rsid w:val="00FE4795"/>
    <w:rsid w:val="00FE78D1"/>
    <w:rsid w:val="00FF195C"/>
    <w:rsid w:val="00FF1A93"/>
    <w:rsid w:val="00FF1BCE"/>
    <w:rsid w:val="00FF2426"/>
    <w:rsid w:val="00FF3CFE"/>
    <w:rsid w:val="00FF606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9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70835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0835"/>
    <w:pPr>
      <w:keepNext/>
      <w:keepLines/>
      <w:spacing w:before="4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19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191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83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083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19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nespaciado">
    <w:name w:val="No Spacing"/>
    <w:uiPriority w:val="1"/>
    <w:qFormat/>
    <w:rsid w:val="00430191"/>
    <w:pPr>
      <w:spacing w:after="0" w:line="240" w:lineRule="auto"/>
    </w:pPr>
  </w:style>
  <w:style w:type="paragraph" w:customStyle="1" w:styleId="Default">
    <w:name w:val="Default"/>
    <w:qFormat/>
    <w:rsid w:val="00430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600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0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0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0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00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3A6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E51"/>
  </w:style>
  <w:style w:type="paragraph" w:styleId="Piedepgina">
    <w:name w:val="footer"/>
    <w:basedOn w:val="Normal"/>
    <w:link w:val="PiedepginaCar"/>
    <w:uiPriority w:val="99"/>
    <w:unhideWhenUsed/>
    <w:rsid w:val="00BD5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E51"/>
  </w:style>
  <w:style w:type="paragraph" w:styleId="Prrafodelista">
    <w:name w:val="List Paragraph"/>
    <w:basedOn w:val="Normal"/>
    <w:uiPriority w:val="34"/>
    <w:qFormat/>
    <w:rsid w:val="001823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6E06F0"/>
  </w:style>
  <w:style w:type="paragraph" w:styleId="TtulodeTDC">
    <w:name w:val="TOC Heading"/>
    <w:basedOn w:val="Ttulo1"/>
    <w:next w:val="Normal"/>
    <w:uiPriority w:val="39"/>
    <w:unhideWhenUsed/>
    <w:qFormat/>
    <w:rsid w:val="00B341A8"/>
    <w:pPr>
      <w:spacing w:before="480" w:after="0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341A8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B341A8"/>
    <w:pPr>
      <w:spacing w:after="100"/>
    </w:pPr>
  </w:style>
  <w:style w:type="character" w:customStyle="1" w:styleId="tlid-translation">
    <w:name w:val="tlid-translation"/>
    <w:basedOn w:val="Fuentedeprrafopredeter"/>
    <w:rsid w:val="000A7FBB"/>
  </w:style>
  <w:style w:type="paragraph" w:styleId="TDC3">
    <w:name w:val="toc 3"/>
    <w:basedOn w:val="Normal"/>
    <w:next w:val="Normal"/>
    <w:autoRedefine/>
    <w:uiPriority w:val="39"/>
    <w:unhideWhenUsed/>
    <w:rsid w:val="0035157F"/>
    <w:pPr>
      <w:spacing w:after="100"/>
      <w:ind w:left="440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F1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10B8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C0797B"/>
    <w:pPr>
      <w:spacing w:after="0" w:line="240" w:lineRule="auto"/>
    </w:pPr>
  </w:style>
  <w:style w:type="character" w:customStyle="1" w:styleId="A3">
    <w:name w:val="A3"/>
    <w:uiPriority w:val="99"/>
    <w:qFormat/>
    <w:rsid w:val="00F950F2"/>
    <w:rPr>
      <w:b/>
      <w:bCs/>
      <w:color w:val="000000"/>
      <w:sz w:val="11"/>
      <w:szCs w:val="11"/>
    </w:rPr>
  </w:style>
  <w:style w:type="character" w:customStyle="1" w:styleId="A6">
    <w:name w:val="A6"/>
    <w:uiPriority w:val="99"/>
    <w:rsid w:val="00F950F2"/>
    <w:rPr>
      <w:color w:val="000000"/>
      <w:sz w:val="19"/>
      <w:szCs w:val="19"/>
    </w:rPr>
  </w:style>
  <w:style w:type="character" w:customStyle="1" w:styleId="A8">
    <w:name w:val="A8"/>
    <w:uiPriority w:val="99"/>
    <w:rsid w:val="00F950F2"/>
    <w:rPr>
      <w:color w:val="000000"/>
      <w:sz w:val="21"/>
      <w:szCs w:val="21"/>
    </w:rPr>
  </w:style>
  <w:style w:type="character" w:customStyle="1" w:styleId="A9">
    <w:name w:val="A9"/>
    <w:uiPriority w:val="99"/>
    <w:rsid w:val="00381170"/>
    <w:rPr>
      <w:rFonts w:cs="Garamond"/>
      <w:color w:val="000000"/>
      <w:sz w:val="12"/>
      <w:szCs w:val="12"/>
    </w:rPr>
  </w:style>
  <w:style w:type="character" w:customStyle="1" w:styleId="A2">
    <w:name w:val="A2"/>
    <w:uiPriority w:val="99"/>
    <w:qFormat/>
    <w:rsid w:val="002D3D3A"/>
    <w:rPr>
      <w:rFonts w:cs="Helvetica Condensed"/>
      <w:b/>
      <w:bCs/>
      <w:color w:val="000000"/>
      <w:sz w:val="44"/>
      <w:szCs w:val="44"/>
    </w:rPr>
  </w:style>
  <w:style w:type="paragraph" w:customStyle="1" w:styleId="Pa19">
    <w:name w:val="Pa19"/>
    <w:basedOn w:val="Default"/>
    <w:next w:val="Default"/>
    <w:uiPriority w:val="99"/>
    <w:qFormat/>
    <w:rsid w:val="002D3D3A"/>
    <w:pPr>
      <w:spacing w:line="161" w:lineRule="atLeast"/>
    </w:pPr>
    <w:rPr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391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rsid w:val="00165F2D"/>
    <w:rPr>
      <w:color w:val="0000FF"/>
      <w:u w:val="single"/>
    </w:rPr>
  </w:style>
  <w:style w:type="character" w:customStyle="1" w:styleId="doilabel">
    <w:name w:val="doi__label"/>
    <w:basedOn w:val="Fuentedeprrafopredeter"/>
    <w:qFormat/>
    <w:rsid w:val="0016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9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70835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0835"/>
    <w:pPr>
      <w:keepNext/>
      <w:keepLines/>
      <w:spacing w:before="4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19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191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83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083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19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1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nespaciado">
    <w:name w:val="No Spacing"/>
    <w:uiPriority w:val="1"/>
    <w:qFormat/>
    <w:rsid w:val="00430191"/>
    <w:pPr>
      <w:spacing w:after="0" w:line="240" w:lineRule="auto"/>
    </w:pPr>
  </w:style>
  <w:style w:type="paragraph" w:customStyle="1" w:styleId="Default">
    <w:name w:val="Default"/>
    <w:qFormat/>
    <w:rsid w:val="00430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600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0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0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0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0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00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3A6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E51"/>
  </w:style>
  <w:style w:type="paragraph" w:styleId="Piedepgina">
    <w:name w:val="footer"/>
    <w:basedOn w:val="Normal"/>
    <w:link w:val="PiedepginaCar"/>
    <w:uiPriority w:val="99"/>
    <w:unhideWhenUsed/>
    <w:rsid w:val="00BD5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E51"/>
  </w:style>
  <w:style w:type="paragraph" w:styleId="Prrafodelista">
    <w:name w:val="List Paragraph"/>
    <w:basedOn w:val="Normal"/>
    <w:uiPriority w:val="34"/>
    <w:qFormat/>
    <w:rsid w:val="001823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6E06F0"/>
  </w:style>
  <w:style w:type="paragraph" w:styleId="TtulodeTDC">
    <w:name w:val="TOC Heading"/>
    <w:basedOn w:val="Ttulo1"/>
    <w:next w:val="Normal"/>
    <w:uiPriority w:val="39"/>
    <w:unhideWhenUsed/>
    <w:qFormat/>
    <w:rsid w:val="00B341A8"/>
    <w:pPr>
      <w:spacing w:before="480" w:after="0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341A8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B341A8"/>
    <w:pPr>
      <w:spacing w:after="100"/>
    </w:pPr>
  </w:style>
  <w:style w:type="character" w:customStyle="1" w:styleId="tlid-translation">
    <w:name w:val="tlid-translation"/>
    <w:basedOn w:val="Fuentedeprrafopredeter"/>
    <w:rsid w:val="000A7FBB"/>
  </w:style>
  <w:style w:type="paragraph" w:styleId="TDC3">
    <w:name w:val="toc 3"/>
    <w:basedOn w:val="Normal"/>
    <w:next w:val="Normal"/>
    <w:autoRedefine/>
    <w:uiPriority w:val="39"/>
    <w:unhideWhenUsed/>
    <w:rsid w:val="0035157F"/>
    <w:pPr>
      <w:spacing w:after="100"/>
      <w:ind w:left="440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F1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10B8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C0797B"/>
    <w:pPr>
      <w:spacing w:after="0" w:line="240" w:lineRule="auto"/>
    </w:pPr>
  </w:style>
  <w:style w:type="character" w:customStyle="1" w:styleId="A3">
    <w:name w:val="A3"/>
    <w:uiPriority w:val="99"/>
    <w:qFormat/>
    <w:rsid w:val="00F950F2"/>
    <w:rPr>
      <w:b/>
      <w:bCs/>
      <w:color w:val="000000"/>
      <w:sz w:val="11"/>
      <w:szCs w:val="11"/>
    </w:rPr>
  </w:style>
  <w:style w:type="character" w:customStyle="1" w:styleId="A6">
    <w:name w:val="A6"/>
    <w:uiPriority w:val="99"/>
    <w:rsid w:val="00F950F2"/>
    <w:rPr>
      <w:color w:val="000000"/>
      <w:sz w:val="19"/>
      <w:szCs w:val="19"/>
    </w:rPr>
  </w:style>
  <w:style w:type="character" w:customStyle="1" w:styleId="A8">
    <w:name w:val="A8"/>
    <w:uiPriority w:val="99"/>
    <w:rsid w:val="00F950F2"/>
    <w:rPr>
      <w:color w:val="000000"/>
      <w:sz w:val="21"/>
      <w:szCs w:val="21"/>
    </w:rPr>
  </w:style>
  <w:style w:type="character" w:customStyle="1" w:styleId="A9">
    <w:name w:val="A9"/>
    <w:uiPriority w:val="99"/>
    <w:rsid w:val="00381170"/>
    <w:rPr>
      <w:rFonts w:cs="Garamond"/>
      <w:color w:val="000000"/>
      <w:sz w:val="12"/>
      <w:szCs w:val="12"/>
    </w:rPr>
  </w:style>
  <w:style w:type="character" w:customStyle="1" w:styleId="A2">
    <w:name w:val="A2"/>
    <w:uiPriority w:val="99"/>
    <w:qFormat/>
    <w:rsid w:val="002D3D3A"/>
    <w:rPr>
      <w:rFonts w:cs="Helvetica Condensed"/>
      <w:b/>
      <w:bCs/>
      <w:color w:val="000000"/>
      <w:sz w:val="44"/>
      <w:szCs w:val="44"/>
    </w:rPr>
  </w:style>
  <w:style w:type="paragraph" w:customStyle="1" w:styleId="Pa19">
    <w:name w:val="Pa19"/>
    <w:basedOn w:val="Default"/>
    <w:next w:val="Default"/>
    <w:uiPriority w:val="99"/>
    <w:qFormat/>
    <w:rsid w:val="002D3D3A"/>
    <w:pPr>
      <w:spacing w:line="161" w:lineRule="atLeast"/>
    </w:pPr>
    <w:rPr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0391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rsid w:val="00165F2D"/>
    <w:rPr>
      <w:color w:val="0000FF"/>
      <w:u w:val="single"/>
    </w:rPr>
  </w:style>
  <w:style w:type="character" w:customStyle="1" w:styleId="doilabel">
    <w:name w:val="doi__label"/>
    <w:basedOn w:val="Fuentedeprrafopredeter"/>
    <w:qFormat/>
    <w:rsid w:val="0016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0041-0101(89)90068-8" TargetMode="External"/><Relationship Id="rId18" Type="http://schemas.openxmlformats.org/officeDocument/2006/relationships/hyperlink" Target="https://doi.org/10.1111/j.1095-8649.2007.01575.x" TargetMode="External"/><Relationship Id="rId26" Type="http://schemas.openxmlformats.org/officeDocument/2006/relationships/hyperlink" Target="https://doi.org/10.1016/j.jembe.2020.1513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S1055-7903(02)00444-X" TargetMode="External"/><Relationship Id="rId34" Type="http://schemas.openxmlformats.org/officeDocument/2006/relationships/hyperlink" Target="https://doi.org/10.1080/24701394.2018.14822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x.doi.org/10.15517/rbt.v66i1.28197" TargetMode="External"/><Relationship Id="rId17" Type="http://schemas.openxmlformats.org/officeDocument/2006/relationships/hyperlink" Target="https://doi.org/10.3389/fmars.2019.00258" TargetMode="External"/><Relationship Id="rId25" Type="http://schemas.openxmlformats.org/officeDocument/2006/relationships/hyperlink" Target="https://doi.org/10.25268/bimc.invemar.2017.46.2.732" TargetMode="External"/><Relationship Id="rId33" Type="http://schemas.openxmlformats.org/officeDocument/2006/relationships/hyperlink" Target="https://doi.org/10.1007/s12011-019-01918-w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mars.2015.00007" TargetMode="External"/><Relationship Id="rId20" Type="http://schemas.openxmlformats.org/officeDocument/2006/relationships/hyperlink" Target="https://doi.org/10.1371/journal.pone.0236200" TargetMode="External"/><Relationship Id="rId29" Type="http://schemas.openxmlformats.org/officeDocument/2006/relationships/hyperlink" Target="https://doi.org/10.7717/peerj.99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rsma.2020.101362" TargetMode="External"/><Relationship Id="rId24" Type="http://schemas.openxmlformats.org/officeDocument/2006/relationships/hyperlink" Target="https://doi.org/10.1590/1676-0611-BN-2019-0909" TargetMode="External"/><Relationship Id="rId32" Type="http://schemas.openxmlformats.org/officeDocument/2006/relationships/hyperlink" Target="https://doi.org/10.1086/710254" TargetMode="Externa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doi.org/10.1371/journal.pone.0123002" TargetMode="External"/><Relationship Id="rId23" Type="http://schemas.openxmlformats.org/officeDocument/2006/relationships/hyperlink" Target="https://doi.org/10.1371/journal.pone.0222997" TargetMode="External"/><Relationship Id="rId28" Type="http://schemas.openxmlformats.org/officeDocument/2006/relationships/hyperlink" Target="https://doi.org/10.1007/s10530-018-1705-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07/s10530-019-01992-0" TargetMode="External"/><Relationship Id="rId19" Type="http://schemas.openxmlformats.org/officeDocument/2006/relationships/hyperlink" Target="https://doi.org/10.1016/j.fishres.2019.01.002" TargetMode="External"/><Relationship Id="rId31" Type="http://schemas.openxmlformats.org/officeDocument/2006/relationships/hyperlink" Target="https://doi.org/10.3391/AI.2010.5.S1.02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oi.org/10.1007/s10530-019-02078-7" TargetMode="External"/><Relationship Id="rId22" Type="http://schemas.openxmlformats.org/officeDocument/2006/relationships/hyperlink" Target="https://doi.org/10.3856/vol43-issue5-fulltext-21" TargetMode="External"/><Relationship Id="rId27" Type="http://schemas.openxmlformats.org/officeDocument/2006/relationships/hyperlink" Target="https://doi.org/10.5343/bms.2011.1108" TargetMode="External"/><Relationship Id="rId30" Type="http://schemas.openxmlformats.org/officeDocument/2006/relationships/hyperlink" Target="https://doi.org/10.1152/ajplegacy.1959.197.2.43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D360-3EBC-462A-9AF7-1F0B9D89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5098</Words>
  <Characters>28039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del Rio</cp:lastModifiedBy>
  <cp:revision>8</cp:revision>
  <cp:lastPrinted>2020-07-20T14:00:00Z</cp:lastPrinted>
  <dcterms:created xsi:type="dcterms:W3CDTF">2023-01-17T20:50:00Z</dcterms:created>
  <dcterms:modified xsi:type="dcterms:W3CDTF">2023-01-25T07:34:00Z</dcterms:modified>
</cp:coreProperties>
</file>