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Times New Roman"/>
          <w:b/>
          <w:sz w:val="20"/>
          <w:szCs w:val="20"/>
          <w:lang w:eastAsia="en-GB"/>
        </w:rPr>
      </w:pPr>
      <w:r>
        <w:rPr>
          <w:rFonts w:eastAsia="Times New Roman"/>
          <w:b/>
          <w:sz w:val="20"/>
          <w:szCs w:val="20"/>
          <w:lang w:eastAsia="en-GB"/>
        </w:rPr>
        <w:t>STROBE-MR checklist of recommended items to address in reports of Mendelian randomization studies</w:t>
      </w:r>
      <w:r>
        <w:rPr>
          <w:rFonts w:eastAsia="Times New Roman"/>
          <w:b/>
          <w:sz w:val="20"/>
          <w:szCs w:val="20"/>
          <w:lang w:eastAsia="en-GB"/>
        </w:rPr>
        <w:fldChar w:fldCharType="begin" w:fldLock="1"/>
      </w:r>
      <w:r>
        <w:rPr>
          <w:rFonts w:eastAsia="Times New Roman"/>
          <w:b/>
          <w:sz w:val="20"/>
          <w:szCs w:val="20"/>
          <w:lang w:eastAsia="en-GB"/>
        </w:rPr>
        <w:instrText xml:space="preserve">ADDIN CSL_CITATION {"citationItems":[{"id":"ITEM-1","itemData":{"author":[{"dropping-particle":"","family":"Skrivankova","given":"V W","non-dropping-particle":"","parse-names":false,"suffix":""},{"dropping-particle":"","family":"Richmond","given":"R C","non-dropping-particle":"","parse-names":false,"suffix":""},{"dropping-particle":"","family":"Woolf","given":"B A R","non-dropping-particle":"","parse-names":false,"suffix":""},{"dropping-particle":"","family":"Yarmolinsky","given":"J","non-dropping-particle":"","parse-names":false,"suffix":""},{"dropping-particle":"","family":"Davies","given":"N M","non-dropping-particle":"","parse-names":false,"suffix":""},{"dropping-particle":"","family":"Swanson","given":"S A","non-dropping-particle":"","parse-names":false,"suffix":""},{"dropping-particle":"","family":"VanderWeele","given":"T J","non-dropping-particle":"","parse-names":false,"suffix":""},{"dropping-particle":"","family":"Higgins","given":"J P H","non-dropping-particle":"","parse-names":false,"suffix":""},{"dropping-particle":"","family":"Timpson","given":"N J","non-dropping-particle":"","parse-names":false,"suffix":""},{"dropping-particle":"","family":"Dimou","given":"N","non-dropping-particle":"","parse-names":false,"suffix":""},{"dropping-particle":"","family":"Langenberg","given":"C","non-dropping-particle":"","parse-names":false,"suffix":""},{"dropping-particle":"","family":"Loder","given":"E W","non-dropping-particle":"","parse-names":false,"suffix":""},{"dropping-particle":"","family":"Golub","given":"R","non-dropping-particle":"","parse-names":false,"suffix":""},{"dropping-particle":"","family":"Gallo","given":"V","non-dropping-particle":"","parse-names":false,"suffix":""},{"dropping-particle":"","family":"Tybjaerg-Hansen","given":"A","non-dropping-particle":"","parse-names":false,"suffix":""},{"dropping-particle":"","family":"Davey Smith","given":"G","non-dropping-particle":"","parse-names":false,"suffix":""},{"dropping-particle":"","family":"Egger","given":"M","non-dropping-particle":"","parse-names":false,"suffix":""},{"dropping-particle":"","family":"Richards","given":"J B","non-dropping-particle":"","parse-names":false,"suffix":""}],"container-title":"JAMA","id":"ITEM-1","issued":{"date-parts":[["2021"]]},"page":"under review","title":"Strengthening the Reporting of Observational Studies in Epidemiology using Mendelian Randomization (STROBE-MR) Statement","type":"article-journal"},"uris":["http://www.mendeley.com/documents/?uuid=29dd9aa2-14fd-450b-83fb-4c6b74b75061"]}],"mendeley":{"formattedCitation":"&lt;sup&gt;1&lt;/sup&gt;","plainTextFormattedCitation":"1"},"properties":{"noteIndex":0},"schema":"https://github.com/citation-style-language/schema/raw/master/csl-citation.json"}</w:instrText>
      </w:r>
      <w:r>
        <w:rPr>
          <w:rFonts w:eastAsia="Times New Roman"/>
          <w:b/>
          <w:sz w:val="20"/>
          <w:szCs w:val="20"/>
          <w:lang w:eastAsia="en-GB"/>
        </w:rPr>
        <w:fldChar w:fldCharType="separate"/>
      </w:r>
      <w:r>
        <w:rPr>
          <w:rFonts w:eastAsia="Times New Roman"/>
          <w:sz w:val="20"/>
          <w:szCs w:val="20"/>
          <w:vertAlign w:val="superscript"/>
          <w:lang w:eastAsia="en-GB"/>
        </w:rPr>
        <w:t>1</w:t>
      </w:r>
      <w:r>
        <w:rPr>
          <w:rFonts w:eastAsia="Times New Roman"/>
          <w:b/>
          <w:sz w:val="20"/>
          <w:szCs w:val="20"/>
          <w:lang w:eastAsia="en-GB"/>
        </w:rPr>
        <w:fldChar w:fldCharType="end"/>
      </w:r>
      <w:r>
        <w:rPr>
          <w:rFonts w:eastAsia="Times New Roman"/>
          <w:b/>
          <w:sz w:val="20"/>
          <w:szCs w:val="20"/>
          <w:lang w:eastAsia="en-GB"/>
        </w:rPr>
        <w:t xml:space="preserve"> </w:t>
      </w:r>
      <w:r>
        <w:rPr>
          <w:rFonts w:eastAsia="Times New Roman"/>
          <w:b/>
          <w:sz w:val="20"/>
          <w:szCs w:val="20"/>
          <w:lang w:eastAsia="en-GB"/>
        </w:rPr>
        <w:fldChar w:fldCharType="begin" w:fldLock="1"/>
      </w:r>
      <w:r>
        <w:rPr>
          <w:rFonts w:eastAsia="Times New Roman"/>
          <w:b/>
          <w:sz w:val="20"/>
          <w:szCs w:val="20"/>
          <w:lang w:eastAsia="en-GB"/>
        </w:rPr>
        <w:instrText xml:space="preserve">ADDIN CSL_CITATION {"citationItems":[{"id":"ITEM-1","itemData":{"author":[{"dropping-particle":"","family":"Skrivankova","given":"Veronika W","non-dropping-particle":"","parse-names":false,"suffix":""},{"dropping-particle":"","family":"Richmond","given":"Rebecca C","non-dropping-particle":"","parse-names":false,"suffix":""},{"dropping-particle":"","family":"Woolf","given":"Benjamin A R","non-dropping-particle":"","parse-names":false,"suffix":""},{"dropping-particle":"","family":"Davies","given":"Neil M","non-dropping-particle":"","parse-names":false,"suffix":""},{"dropping-particle":"","family":"Swanson","given":"Sonja A","non-dropping-particle":"","parse-names":false,"suffix":""},{"dropping-particle":"","family":"VanderWeele","given":"Tyler J","non-dropping-particle":"","parse-names":false,"suffix":""},{"dropping-particle":"","family":"Timpson","given":"Nicholas J","non-dropping-particle":"","parse-names":false,"suffix":""},{"dropping-particle":"","family":"Higgins","given":"Julian P T","non-dropping-particle":"","parse-names":false,"suffix":""},{"dropping-particle":"","family":"Dimou","given":"Niki","non-dropping-particle":"","parse-names":false,"suffix":""},{"dropping-particle":"","family":"Langenberg","given":"Claudia","non-dropping-particle":"","parse-names":false,"suffix":""},{"dropping-particle":"","family":"Loder","given":"Elizabeth W","non-dropping-particle":"","parse-names":false,"suffix":""},{"dropping-particle":"","family":"Golub","given":"Robert M","non-dropping-particle":"","parse-names":false,"suffix":""},{"dropping-particle":"","family":"Egger","given":"Mathias","non-dropping-particle":"","parse-names":false,"suffix":""},{"dropping-particle":"","family":"Davey Smith","given":"George","non-dropping-particle":"","parse-names":false,"suffix":""},{"dropping-particle":"","family":"Richards","given":"J Brent","non-dropping-particle":"","parse-names":false,"suffix":""}],"container-title":"BMJ","id":"ITEM-1","issued":{"date-parts":[["2021"]]},"title":"Strengthening the Reporting of Observational Studies in Epidemiology using Mendelian Randomisation (STROBE-MR): Explanation and Elaboration","type":"article-journal","volume":"375:n2233"},"uris":["http://www.mendeley.com/documents/?uuid=af64eb33-5308-4d72-bd7e-6fe0d8fe3570"]}],"mendeley":{"formattedCitation":"&lt;sup&gt;2&lt;/sup&gt;","plainTextFormattedCitation":"2","previouslyFormattedCitation":"&lt;sup&gt;1&lt;/sup&gt;"},"properties":{"noteIndex":0},"schema":"https://github.com/citation-style-language/schema/raw/master/csl-citation.json"}</w:instrText>
      </w:r>
      <w:r>
        <w:rPr>
          <w:rFonts w:eastAsia="Times New Roman"/>
          <w:b/>
          <w:sz w:val="20"/>
          <w:szCs w:val="20"/>
          <w:lang w:eastAsia="en-GB"/>
        </w:rPr>
        <w:fldChar w:fldCharType="separate"/>
      </w:r>
      <w:r>
        <w:rPr>
          <w:rFonts w:eastAsia="Times New Roman"/>
          <w:sz w:val="20"/>
          <w:szCs w:val="20"/>
          <w:vertAlign w:val="superscript"/>
          <w:lang w:eastAsia="en-GB"/>
        </w:rPr>
        <w:t>2</w:t>
      </w:r>
      <w:r>
        <w:rPr>
          <w:rFonts w:eastAsia="Times New Roman"/>
          <w:b/>
          <w:sz w:val="20"/>
          <w:szCs w:val="20"/>
          <w:lang w:eastAsia="en-GB"/>
        </w:rPr>
        <w:fldChar w:fldCharType="end"/>
      </w:r>
      <w:r>
        <w:rPr>
          <w:rFonts w:eastAsia="Times New Roman"/>
          <w:b/>
          <w:sz w:val="20"/>
          <w:szCs w:val="20"/>
          <w:lang w:eastAsia="en-GB"/>
        </w:rPr>
        <w:t> </w:t>
      </w:r>
    </w:p>
    <w:p>
      <w:pPr>
        <w:rPr>
          <w:rFonts w:eastAsia="Times New Roman"/>
          <w:b/>
          <w:sz w:val="20"/>
          <w:szCs w:val="20"/>
          <w:lang w:eastAsia="en-GB"/>
        </w:rPr>
      </w:pPr>
    </w:p>
    <w:tbl>
      <w:tblPr>
        <w:tblStyle w:val="3"/>
        <w:tblW w:w="14490" w:type="dxa"/>
        <w:tblInd w:w="0" w:type="dxa"/>
        <w:tblLayout w:type="autofit"/>
        <w:tblCellMar>
          <w:top w:w="0" w:type="dxa"/>
          <w:left w:w="108" w:type="dxa"/>
          <w:bottom w:w="0" w:type="dxa"/>
          <w:right w:w="108" w:type="dxa"/>
        </w:tblCellMar>
      </w:tblPr>
      <w:tblGrid>
        <w:gridCol w:w="587"/>
        <w:gridCol w:w="1822"/>
        <w:gridCol w:w="7041"/>
        <w:gridCol w:w="720"/>
        <w:gridCol w:w="4320"/>
      </w:tblGrid>
      <w:tr>
        <w:tblPrEx>
          <w:tblCellMar>
            <w:top w:w="0" w:type="dxa"/>
            <w:left w:w="108" w:type="dxa"/>
            <w:bottom w:w="0" w:type="dxa"/>
            <w:right w:w="108" w:type="dxa"/>
          </w:tblCellMar>
        </w:tblPrEx>
        <w:tc>
          <w:tcPr>
            <w:tcW w:w="587" w:type="dxa"/>
            <w:tcBorders>
              <w:top w:val="single" w:color="auto" w:sz="4" w:space="0"/>
              <w:bottom w:val="single" w:color="7F7F7F" w:sz="6" w:space="0"/>
            </w:tcBorders>
            <w:shd w:val="clear" w:color="auto" w:fill="auto"/>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Item No.</w:t>
            </w:r>
          </w:p>
        </w:tc>
        <w:tc>
          <w:tcPr>
            <w:tcW w:w="1822" w:type="dxa"/>
            <w:tcBorders>
              <w:top w:val="single" w:color="auto" w:sz="4" w:space="0"/>
              <w:bottom w:val="single" w:color="7F7F7F" w:sz="6" w:space="0"/>
            </w:tcBorders>
            <w:shd w:val="clear" w:color="auto" w:fill="auto"/>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Section</w:t>
            </w:r>
          </w:p>
        </w:tc>
        <w:tc>
          <w:tcPr>
            <w:tcW w:w="7041" w:type="dxa"/>
            <w:tcBorders>
              <w:top w:val="single" w:color="auto" w:sz="4" w:space="0"/>
              <w:bottom w:val="single" w:color="7F7F7F" w:sz="6" w:space="0"/>
            </w:tcBorders>
            <w:shd w:val="clear" w:color="auto" w:fill="auto"/>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 xml:space="preserve">Checklist item </w:t>
            </w:r>
          </w:p>
        </w:tc>
        <w:tc>
          <w:tcPr>
            <w:tcW w:w="720" w:type="dxa"/>
            <w:tcBorders>
              <w:top w:val="single" w:color="auto" w:sz="4" w:space="0"/>
              <w:bottom w:val="single" w:color="7F7F7F" w:sz="6" w:space="0"/>
            </w:tcBorders>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Page No.</w:t>
            </w:r>
          </w:p>
        </w:tc>
        <w:tc>
          <w:tcPr>
            <w:tcW w:w="4320" w:type="dxa"/>
            <w:tcBorders>
              <w:top w:val="single" w:color="auto" w:sz="4" w:space="0"/>
              <w:bottom w:val="single" w:color="7F7F7F" w:sz="6" w:space="0"/>
            </w:tcBorders>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Relevant text from manuscript</w:t>
            </w:r>
          </w:p>
        </w:tc>
      </w:tr>
      <w:tr>
        <w:tblPrEx>
          <w:tblCellMar>
            <w:top w:w="0" w:type="dxa"/>
            <w:left w:w="108" w:type="dxa"/>
            <w:bottom w:w="0" w:type="dxa"/>
            <w:right w:w="108" w:type="dxa"/>
          </w:tblCellMar>
        </w:tblPrEx>
        <w:tc>
          <w:tcPr>
            <w:tcW w:w="587" w:type="dxa"/>
            <w:tcBorders>
              <w:top w:val="single" w:color="7F7F7F" w:sz="6" w:space="0"/>
              <w:bottom w:val="single" w:color="7F7F7F" w:sz="6" w:space="0"/>
            </w:tcBorders>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w:t>
            </w:r>
          </w:p>
        </w:tc>
        <w:tc>
          <w:tcPr>
            <w:tcW w:w="1822" w:type="dxa"/>
            <w:tcBorders>
              <w:top w:val="single" w:color="7F7F7F" w:sz="6" w:space="0"/>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TITLE and ABSTRACT</w:t>
            </w:r>
          </w:p>
        </w:tc>
        <w:tc>
          <w:tcPr>
            <w:tcW w:w="7041" w:type="dxa"/>
            <w:tcBorders>
              <w:top w:val="single" w:color="7F7F7F" w:sz="6" w:space="0"/>
              <w:bottom w:val="single" w:color="7F7F7F" w:sz="6" w:space="0"/>
            </w:tcBorders>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Indicate Mendelian randomization (MR) as the study’s design in the title and/or the abstract if that is a main purpose of the study</w:t>
            </w:r>
          </w:p>
        </w:tc>
        <w:tc>
          <w:tcPr>
            <w:tcW w:w="720" w:type="dxa"/>
            <w:tcBorders>
              <w:top w:val="single" w:color="7F7F7F" w:sz="6" w:space="0"/>
              <w:bottom w:val="single" w:color="7F7F7F" w:sz="6" w:space="0"/>
            </w:tcBorders>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1-2</w:t>
            </w:r>
          </w:p>
        </w:tc>
        <w:tc>
          <w:tcPr>
            <w:tcW w:w="4320" w:type="dxa"/>
            <w:tcBorders>
              <w:top w:val="single" w:color="7F7F7F" w:sz="6" w:space="0"/>
              <w:bottom w:val="single" w:color="7F7F7F" w:sz="6" w:space="0"/>
            </w:tcBorders>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Lines 1-41</w:t>
            </w:r>
          </w:p>
        </w:tc>
      </w:tr>
      <w:tr>
        <w:tblPrEx>
          <w:tblCellMar>
            <w:top w:w="0" w:type="dxa"/>
            <w:left w:w="108" w:type="dxa"/>
            <w:bottom w:w="0" w:type="dxa"/>
            <w:right w:w="108" w:type="dxa"/>
          </w:tblCellMar>
        </w:tblPrEx>
        <w:tc>
          <w:tcPr>
            <w:tcW w:w="587" w:type="dxa"/>
            <w:tcBorders>
              <w:top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INTRODUCTION</w:t>
            </w:r>
          </w:p>
        </w:tc>
        <w:tc>
          <w:tcPr>
            <w:tcW w:w="7041"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2</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Background</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Explain the scientific background and rationale for the reported study. What is the exposure? Is a potential causal relationship between exposure and outcome plausible? Justify why MR is a helpful method to address the study question</w:t>
            </w:r>
          </w:p>
        </w:tc>
        <w:tc>
          <w:tcPr>
            <w:tcW w:w="7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4-6</w:t>
            </w:r>
          </w:p>
        </w:tc>
        <w:tc>
          <w:tcPr>
            <w:tcW w:w="43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Lines 46-93</w:t>
            </w:r>
          </w:p>
        </w:tc>
      </w:tr>
      <w:tr>
        <w:tblPrEx>
          <w:tblCellMar>
            <w:top w:w="0" w:type="dxa"/>
            <w:left w:w="108" w:type="dxa"/>
            <w:bottom w:w="0" w:type="dxa"/>
            <w:right w:w="108" w:type="dxa"/>
          </w:tblCellMar>
        </w:tblPrEx>
        <w:tc>
          <w:tcPr>
            <w:tcW w:w="587" w:type="dxa"/>
            <w:tcBorders>
              <w:bottom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3</w:t>
            </w:r>
          </w:p>
        </w:tc>
        <w:tc>
          <w:tcPr>
            <w:tcW w:w="1822" w:type="dxa"/>
            <w:tcBorders>
              <w:bottom w:val="single" w:color="7F7F7F" w:sz="6" w:space="0"/>
            </w:tcBorders>
            <w:shd w:val="clear" w:color="auto" w:fill="auto"/>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Objectives</w:t>
            </w:r>
          </w:p>
        </w:tc>
        <w:tc>
          <w:tcPr>
            <w:tcW w:w="7041" w:type="dxa"/>
            <w:tcBorders>
              <w:bottom w:val="single" w:color="7F7F7F" w:sz="6" w:space="0"/>
            </w:tcBorders>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State specific objectives clearly, including pre-specified causal hypotheses (if any). State that MR is a method that, under specific assumptions, intends to estimate causal effects</w:t>
            </w:r>
          </w:p>
        </w:tc>
        <w:tc>
          <w:tcPr>
            <w:tcW w:w="720" w:type="dxa"/>
            <w:tcBorders>
              <w:bottom w:val="single" w:color="7F7F7F" w:sz="6" w:space="0"/>
            </w:tcBorders>
            <w:vAlign w:val="top"/>
          </w:tcPr>
          <w:p>
            <w:pPr>
              <w:spacing w:before="96" w:beforeLines="40" w:after="96" w:afterLines="40" w:line="24" w:lineRule="atLeast"/>
              <w:rPr>
                <w:rFonts w:hint="default" w:ascii="Arial" w:hAnsi="Arial" w:eastAsia="宋体" w:cs="Arial"/>
                <w:sz w:val="18"/>
                <w:szCs w:val="18"/>
                <w:lang w:val="en-US" w:eastAsia="zh-CN" w:bidi="ar-SA"/>
              </w:rPr>
            </w:pPr>
            <w:r>
              <w:rPr>
                <w:rFonts w:hint="eastAsia" w:eastAsia="宋体"/>
                <w:sz w:val="18"/>
                <w:szCs w:val="18"/>
                <w:lang w:val="en-US" w:eastAsia="zh-CN"/>
              </w:rPr>
              <w:t>4-6</w:t>
            </w:r>
          </w:p>
        </w:tc>
        <w:tc>
          <w:tcPr>
            <w:tcW w:w="4320" w:type="dxa"/>
            <w:tcBorders>
              <w:bottom w:val="single" w:color="7F7F7F" w:sz="6" w:space="0"/>
            </w:tcBorders>
            <w:vAlign w:val="top"/>
          </w:tcPr>
          <w:p>
            <w:pPr>
              <w:spacing w:before="96" w:beforeLines="40" w:after="96" w:afterLines="40" w:line="24" w:lineRule="atLeast"/>
              <w:rPr>
                <w:rFonts w:hint="default" w:ascii="Arial" w:hAnsi="Arial" w:eastAsia="宋体" w:cs="Arial"/>
                <w:sz w:val="18"/>
                <w:szCs w:val="18"/>
                <w:lang w:val="en-US" w:eastAsia="zh-CN" w:bidi="ar-SA"/>
              </w:rPr>
            </w:pPr>
            <w:r>
              <w:rPr>
                <w:rFonts w:hint="eastAsia" w:eastAsia="宋体"/>
                <w:sz w:val="18"/>
                <w:szCs w:val="18"/>
                <w:lang w:val="en-US" w:eastAsia="zh-CN"/>
              </w:rPr>
              <w:t>Lines 46-93</w:t>
            </w:r>
          </w:p>
        </w:tc>
      </w:tr>
      <w:tr>
        <w:tblPrEx>
          <w:tblCellMar>
            <w:top w:w="0" w:type="dxa"/>
            <w:left w:w="108" w:type="dxa"/>
            <w:bottom w:w="0" w:type="dxa"/>
            <w:right w:w="108" w:type="dxa"/>
          </w:tblCellMar>
        </w:tblPrEx>
        <w:tc>
          <w:tcPr>
            <w:tcW w:w="587" w:type="dxa"/>
            <w:tcBorders>
              <w:top w:val="single" w:color="7F7F7F" w:sz="6" w:space="0"/>
            </w:tcBorders>
            <w:shd w:val="clear" w:color="auto" w:fill="EEEEEE"/>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METHODS</w:t>
            </w:r>
          </w:p>
        </w:tc>
        <w:tc>
          <w:tcPr>
            <w:tcW w:w="7041" w:type="dxa"/>
            <w:tcBorders>
              <w:top w:val="single" w:color="7F7F7F" w:sz="6" w:space="0"/>
            </w:tcBorders>
            <w:shd w:val="clear" w:color="auto" w:fill="EEEEEE"/>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6-9</w:t>
            </w:r>
          </w:p>
        </w:tc>
        <w:tc>
          <w:tcPr>
            <w:tcW w:w="4320" w:type="dxa"/>
            <w:tcBorders>
              <w:top w:val="single" w:color="7F7F7F" w:sz="6" w:space="0"/>
            </w:tcBorders>
            <w:shd w:val="clear" w:color="auto" w:fill="EEEEEE"/>
          </w:tcPr>
          <w:p>
            <w:pPr>
              <w:spacing w:before="96" w:beforeLines="40" w:after="96" w:afterLines="40" w:line="24" w:lineRule="atLeast"/>
              <w:rPr>
                <w:rFonts w:hint="default" w:eastAsia="Cambria"/>
                <w:sz w:val="18"/>
                <w:szCs w:val="18"/>
                <w:lang w:val="en-US" w:eastAsia="en-US"/>
              </w:rPr>
            </w:pPr>
            <w:r>
              <w:rPr>
                <w:rFonts w:hint="eastAsia" w:eastAsia="宋体"/>
                <w:sz w:val="18"/>
                <w:szCs w:val="18"/>
                <w:lang w:val="en-US" w:eastAsia="zh-CN"/>
              </w:rPr>
              <w:t>Lines 95-158</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4</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Study design and data sources</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Present key elements of the study design early in the article. Consider including a table listing sources of data for all phases of the study. For each data source contributing to the analysis, describe the following: </w:t>
            </w:r>
          </w:p>
        </w:tc>
        <w:tc>
          <w:tcPr>
            <w:tcW w:w="720" w:type="dxa"/>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6-7</w:t>
            </w: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Times New Roman"/>
                <w:sz w:val="18"/>
                <w:szCs w:val="18"/>
                <w:lang w:val="en-GB" w:eastAsia="en-GB"/>
              </w:rPr>
              <w:t>Line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96</w:t>
            </w:r>
            <w:r>
              <w:rPr>
                <w:rFonts w:hint="eastAsia" w:eastAsia="Times New Roman"/>
                <w:sz w:val="18"/>
                <w:szCs w:val="18"/>
                <w:lang w:val="en-GB" w:eastAsia="en-GB"/>
              </w:rPr>
              <w:t>-</w:t>
            </w:r>
            <w:r>
              <w:rPr>
                <w:rFonts w:hint="eastAsia" w:eastAsia="宋体"/>
                <w:sz w:val="18"/>
                <w:szCs w:val="18"/>
                <w:lang w:val="en-US" w:eastAsia="zh-CN"/>
              </w:rPr>
              <w:t>103; l</w:t>
            </w:r>
            <w:r>
              <w:rPr>
                <w:rFonts w:hint="eastAsia" w:eastAsia="Times New Roman"/>
                <w:sz w:val="18"/>
                <w:szCs w:val="18"/>
                <w:lang w:val="en-GB" w:eastAsia="en-GB"/>
              </w:rPr>
              <w:t>ine</w:t>
            </w:r>
            <w:r>
              <w:rPr>
                <w:rFonts w:hint="eastAsia" w:eastAsia="宋体"/>
                <w:sz w:val="18"/>
                <w:szCs w:val="18"/>
                <w:lang w:val="en-US" w:eastAsia="zh-CN"/>
              </w:rPr>
              <w:t>s105-113</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shd w:val="clear" w:color="auto" w:fill="FFFFFF"/>
                <w:lang w:val="en-GB" w:eastAsia="en-GB"/>
              </w:rPr>
              <w:t xml:space="preserve">Setting: </w:t>
            </w:r>
            <w:r>
              <w:rPr>
                <w:rFonts w:eastAsia="Times New Roman"/>
                <w:sz w:val="18"/>
                <w:szCs w:val="18"/>
                <w:lang w:val="en-GB" w:eastAsia="en-GB"/>
              </w:rPr>
              <w:t xml:space="preserve">Describe the study design and the underlying population, if possible. </w:t>
            </w:r>
            <w:r>
              <w:rPr>
                <w:rFonts w:eastAsia="Times New Roman"/>
                <w:sz w:val="18"/>
                <w:szCs w:val="18"/>
                <w:shd w:val="clear" w:color="auto" w:fill="FFFFFF"/>
                <w:lang w:val="en-GB" w:eastAsia="en-GB"/>
              </w:rPr>
              <w:t xml:space="preserve">Describe the setting, locations, and relevant dates, including periods </w:t>
            </w:r>
            <w:r>
              <w:rPr>
                <w:rFonts w:eastAsia="Times New Roman"/>
                <w:color w:val="000000"/>
                <w:sz w:val="18"/>
                <w:szCs w:val="18"/>
                <w:shd w:val="clear" w:color="auto" w:fill="FFFFFF"/>
                <w:lang w:val="en-GB" w:eastAsia="en-GB"/>
              </w:rPr>
              <w:t>of recruitment, exposure, follow-up, and data collection, when available.</w:t>
            </w:r>
          </w:p>
        </w:tc>
        <w:tc>
          <w:tcPr>
            <w:tcW w:w="720" w:type="dxa"/>
            <w:shd w:val="clear" w:color="auto" w:fill="EEEEEE"/>
            <w:vAlign w:val="top"/>
          </w:tcPr>
          <w:p>
            <w:pPr>
              <w:spacing w:before="96" w:beforeLines="40" w:after="96" w:afterLines="40" w:line="24" w:lineRule="atLeast"/>
              <w:rPr>
                <w:rFonts w:eastAsia="Times New Roman"/>
                <w:sz w:val="18"/>
                <w:szCs w:val="18"/>
                <w:shd w:val="clear" w:color="auto" w:fill="FFFFFF"/>
                <w:lang w:val="en-GB" w:eastAsia="en-GB"/>
              </w:rPr>
            </w:pPr>
            <w:r>
              <w:rPr>
                <w:rFonts w:hint="eastAsia" w:eastAsia="宋体"/>
                <w:sz w:val="18"/>
                <w:szCs w:val="18"/>
                <w:lang w:val="en-US" w:eastAsia="zh-CN"/>
              </w:rPr>
              <w:t>6</w:t>
            </w:r>
          </w:p>
        </w:tc>
        <w:tc>
          <w:tcPr>
            <w:tcW w:w="4320" w:type="dxa"/>
            <w:shd w:val="clear" w:color="auto" w:fill="EEEEEE"/>
            <w:vAlign w:val="top"/>
          </w:tcPr>
          <w:p>
            <w:pPr>
              <w:spacing w:before="96" w:beforeLines="40" w:after="96" w:afterLines="40" w:line="24" w:lineRule="atLeast"/>
              <w:rPr>
                <w:rFonts w:hint="default" w:eastAsia="宋体"/>
                <w:sz w:val="18"/>
                <w:szCs w:val="18"/>
                <w:shd w:val="clear" w:color="auto" w:fill="FFFFFF"/>
                <w:lang w:val="en-US" w:eastAsia="zh-CN"/>
              </w:rPr>
            </w:pPr>
            <w:r>
              <w:rPr>
                <w:rFonts w:hint="eastAsia" w:eastAsia="Times New Roman"/>
                <w:sz w:val="18"/>
                <w:szCs w:val="18"/>
                <w:lang w:val="en-GB" w:eastAsia="en-GB"/>
              </w:rPr>
              <w:t>Line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96</w:t>
            </w:r>
            <w:r>
              <w:rPr>
                <w:rFonts w:hint="eastAsia" w:eastAsia="Times New Roman"/>
                <w:sz w:val="18"/>
                <w:szCs w:val="18"/>
                <w:lang w:val="en-GB" w:eastAsia="en-GB"/>
              </w:rPr>
              <w:t>-</w:t>
            </w:r>
            <w:r>
              <w:rPr>
                <w:rFonts w:hint="eastAsia" w:eastAsia="宋体"/>
                <w:sz w:val="18"/>
                <w:szCs w:val="18"/>
                <w:lang w:val="en-US" w:eastAsia="zh-CN"/>
              </w:rPr>
              <w:t>103</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auto"/>
          </w:tcPr>
          <w:p>
            <w:pPr>
              <w:spacing w:before="96" w:beforeLines="40" w:after="96" w:afterLines="40"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 xml:space="preserve">Participants: Give the eligibility criteria, and the sources and methods of selection of participants. </w:t>
            </w:r>
            <w:r>
              <w:rPr>
                <w:rFonts w:eastAsia="Times New Roman"/>
                <w:color w:val="000000"/>
                <w:sz w:val="18"/>
                <w:szCs w:val="18"/>
              </w:rPr>
              <w:t>Report the sample size, and whether any power or sample size calculations were carried out prior to the main analysis</w:t>
            </w:r>
            <w:r>
              <w:rPr>
                <w:rFonts w:eastAsia="Times New Roman"/>
                <w:sz w:val="18"/>
                <w:szCs w:val="18"/>
                <w:lang w:val="en-GB" w:eastAsia="en-GB"/>
              </w:rPr>
              <w:t> </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6-7</w:t>
            </w:r>
          </w:p>
        </w:tc>
        <w:tc>
          <w:tcPr>
            <w:tcW w:w="4320" w:type="dxa"/>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Times New Roman"/>
                <w:sz w:val="18"/>
                <w:szCs w:val="18"/>
                <w:lang w:val="en-GB" w:eastAsia="en-GB"/>
              </w:rPr>
              <w:t>Line</w:t>
            </w:r>
            <w:r>
              <w:rPr>
                <w:rFonts w:hint="eastAsia" w:eastAsia="宋体"/>
                <w:sz w:val="18"/>
                <w:szCs w:val="18"/>
                <w:lang w:val="en-US" w:eastAsia="zh-CN"/>
              </w:rPr>
              <w:t>s105-113</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measurement, quality control and selection of genetic variants</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US" w:eastAsia="zh-CN" w:bidi="ar-SA"/>
              </w:rPr>
            </w:pPr>
            <w:r>
              <w:rPr>
                <w:rFonts w:hint="eastAsia" w:eastAsia="宋体" w:cs="Arial"/>
                <w:sz w:val="18"/>
                <w:szCs w:val="18"/>
                <w:lang w:val="en-US" w:eastAsia="zh-CN" w:bidi="ar-SA"/>
              </w:rPr>
              <w:t>7</w:t>
            </w:r>
          </w:p>
        </w:tc>
        <w:tc>
          <w:tcPr>
            <w:tcW w:w="4320" w:type="dxa"/>
            <w:shd w:val="clear" w:color="auto" w:fill="EEEEEE"/>
            <w:vAlign w:val="top"/>
          </w:tcPr>
          <w:p>
            <w:pPr>
              <w:spacing w:before="96" w:beforeLines="40" w:after="96" w:afterLines="40" w:line="24" w:lineRule="atLeast"/>
              <w:rPr>
                <w:rFonts w:hint="default" w:ascii="Arial" w:hAnsi="Arial" w:eastAsia="Cambria" w:cs="Arial"/>
                <w:sz w:val="18"/>
                <w:szCs w:val="18"/>
                <w:lang w:val="en-US" w:eastAsia="en-GB" w:bidi="ar-SA"/>
              </w:rPr>
            </w:pPr>
            <w:r>
              <w:rPr>
                <w:rFonts w:hint="eastAsia" w:eastAsia="Times New Roman"/>
                <w:sz w:val="18"/>
                <w:szCs w:val="18"/>
                <w:lang w:val="en-GB" w:eastAsia="en-GB"/>
              </w:rPr>
              <w:t xml:space="preserve">Line </w:t>
            </w:r>
            <w:r>
              <w:rPr>
                <w:rFonts w:hint="eastAsia" w:eastAsia="宋体"/>
                <w:sz w:val="18"/>
                <w:szCs w:val="18"/>
                <w:lang w:val="en-US" w:eastAsia="zh-CN"/>
              </w:rPr>
              <w:t>115</w:t>
            </w:r>
            <w:r>
              <w:rPr>
                <w:rFonts w:hint="eastAsia" w:eastAsia="Times New Roman"/>
                <w:sz w:val="18"/>
                <w:szCs w:val="18"/>
                <w:lang w:val="en-GB" w:eastAsia="en-GB"/>
              </w:rPr>
              <w:t>-</w:t>
            </w:r>
            <w:r>
              <w:rPr>
                <w:rFonts w:hint="eastAsia" w:eastAsia="宋体"/>
                <w:sz w:val="18"/>
                <w:szCs w:val="18"/>
                <w:lang w:val="en-US" w:eastAsia="zh-CN"/>
              </w:rPr>
              <w:t>126</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auto"/>
          </w:tcPr>
          <w:p>
            <w:pPr>
              <w:spacing w:before="96" w:beforeLines="40" w:after="96" w:afterLines="40"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For each exposure, outcome, and other relevant variables, describe methods of assessment and diagnostic criteria for diseases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6-7</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w:t>
            </w:r>
            <w:r>
              <w:rPr>
                <w:rFonts w:hint="eastAsia" w:eastAsia="宋体"/>
                <w:sz w:val="18"/>
                <w:szCs w:val="18"/>
                <w:lang w:val="en-US" w:eastAsia="zh-CN"/>
              </w:rPr>
              <w:t>s105-113</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e)</w:t>
            </w:r>
          </w:p>
        </w:tc>
        <w:tc>
          <w:tcPr>
            <w:tcW w:w="7041" w:type="dxa"/>
            <w:shd w:val="clear" w:color="auto" w:fill="EEEEEE"/>
          </w:tcPr>
          <w:p>
            <w:pPr>
              <w:spacing w:before="96" w:beforeLines="40" w:after="96" w:afterLines="40"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Provide details of ethics committee approval and participant informed consent, if relevant</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6-7</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w:t>
            </w:r>
            <w:r>
              <w:rPr>
                <w:rFonts w:hint="eastAsia" w:eastAsia="宋体"/>
                <w:sz w:val="18"/>
                <w:szCs w:val="18"/>
                <w:lang w:val="en-US" w:eastAsia="zh-CN"/>
              </w:rPr>
              <w:t>s105-113</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5</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Assumptions</w:t>
            </w:r>
          </w:p>
          <w:p>
            <w:pPr>
              <w:spacing w:before="96" w:beforeLines="40" w:after="96" w:afterLines="40" w:line="24" w:lineRule="atLeast"/>
              <w:jc w:val="center"/>
              <w:rPr>
                <w:rFonts w:eastAsia="Cambria"/>
                <w:sz w:val="18"/>
                <w:szCs w:val="18"/>
                <w:lang w:val="en-GB" w:eastAsia="en-US"/>
              </w:rPr>
            </w:pPr>
          </w:p>
        </w:tc>
        <w:tc>
          <w:tcPr>
            <w:tcW w:w="7041"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Explicitly state the three core IV assumptions for the main analysis (relevance, independence and exclusion restriction) as well assumptions for any additional or sensitivity analysis</w:t>
            </w:r>
          </w:p>
        </w:tc>
        <w:tc>
          <w:tcPr>
            <w:tcW w:w="720" w:type="dxa"/>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7-9</w:t>
            </w: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Figure1, l</w:t>
            </w:r>
            <w:r>
              <w:rPr>
                <w:rFonts w:hint="eastAsia" w:eastAsia="Times New Roman"/>
                <w:sz w:val="18"/>
                <w:szCs w:val="18"/>
                <w:lang w:val="en-GB" w:eastAsia="en-GB"/>
              </w:rPr>
              <w:t>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115</w:t>
            </w:r>
            <w:r>
              <w:rPr>
                <w:rFonts w:hint="eastAsia" w:eastAsia="Times New Roman"/>
                <w:sz w:val="18"/>
                <w:szCs w:val="18"/>
                <w:lang w:val="en-GB" w:eastAsia="en-GB"/>
              </w:rPr>
              <w:t>-</w:t>
            </w:r>
            <w:r>
              <w:rPr>
                <w:rFonts w:hint="eastAsia" w:eastAsia="宋体"/>
                <w:sz w:val="18"/>
                <w:szCs w:val="18"/>
                <w:lang w:val="en-US" w:eastAsia="zh-CN"/>
              </w:rPr>
              <w:t>158</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6</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Statistical methods: main analysis</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statistical methods and statistics used</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US" w:eastAsia="zh-CN" w:bidi="ar-SA"/>
              </w:rPr>
            </w:pPr>
            <w:r>
              <w:rPr>
                <w:rFonts w:hint="eastAsia" w:eastAsia="宋体" w:cs="Arial"/>
                <w:sz w:val="18"/>
                <w:szCs w:val="18"/>
                <w:lang w:val="en-US" w:eastAsia="zh-CN" w:bidi="ar-SA"/>
              </w:rPr>
              <w:t>6-8</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US" w:eastAsia="en-GB" w:bidi="ar-SA"/>
              </w:rPr>
            </w:pPr>
            <w:r>
              <w:rPr>
                <w:rFonts w:hint="eastAsia" w:eastAsia="宋体"/>
                <w:sz w:val="18"/>
                <w:szCs w:val="18"/>
                <w:lang w:val="en-US" w:eastAsia="zh-CN"/>
              </w:rPr>
              <w:t>Lines 135-186</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how quantitative variables were handled in the analyses (i.e., scale, units, model)</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115</w:t>
            </w:r>
            <w:r>
              <w:rPr>
                <w:rFonts w:hint="eastAsia" w:eastAsia="Times New Roman"/>
                <w:sz w:val="18"/>
                <w:szCs w:val="18"/>
                <w:lang w:val="en-GB" w:eastAsia="en-GB"/>
              </w:rPr>
              <w:t>-</w:t>
            </w:r>
            <w:r>
              <w:rPr>
                <w:rFonts w:hint="eastAsia" w:eastAsia="宋体"/>
                <w:sz w:val="18"/>
                <w:szCs w:val="18"/>
                <w:lang w:val="en-US" w:eastAsia="zh-CN"/>
              </w:rPr>
              <w:t>158</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how genetic variants were handled in the analyses and, if applicable, how their weights were selected</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115</w:t>
            </w:r>
            <w:r>
              <w:rPr>
                <w:rFonts w:hint="eastAsia" w:eastAsia="Times New Roman"/>
                <w:sz w:val="18"/>
                <w:szCs w:val="18"/>
                <w:lang w:val="en-GB" w:eastAsia="en-GB"/>
              </w:rPr>
              <w:t>-</w:t>
            </w:r>
            <w:r>
              <w:rPr>
                <w:rFonts w:hint="eastAsia" w:eastAsia="宋体"/>
                <w:sz w:val="18"/>
                <w:szCs w:val="18"/>
                <w:lang w:val="en-US" w:eastAsia="zh-CN"/>
              </w:rPr>
              <w:t>158</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the MR estimator (e.g. two-stage least squares, Wald ratio) and related statistics. Detail the included covariates and, in case of two-sample MR, whether the same covariate set was used for adjustment in the two samples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115</w:t>
            </w:r>
            <w:r>
              <w:rPr>
                <w:rFonts w:hint="eastAsia" w:eastAsia="Times New Roman"/>
                <w:sz w:val="18"/>
                <w:szCs w:val="18"/>
                <w:lang w:val="en-GB" w:eastAsia="en-GB"/>
              </w:rPr>
              <w:t>-</w:t>
            </w:r>
            <w:r>
              <w:rPr>
                <w:rFonts w:hint="eastAsia" w:eastAsia="宋体"/>
                <w:sz w:val="18"/>
                <w:szCs w:val="18"/>
                <w:lang w:val="en-US" w:eastAsia="zh-CN"/>
              </w:rPr>
              <w:t>158</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Explain how missing data were addressed</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115</w:t>
            </w:r>
            <w:r>
              <w:rPr>
                <w:rFonts w:hint="eastAsia" w:eastAsia="Times New Roman"/>
                <w:sz w:val="18"/>
                <w:szCs w:val="18"/>
                <w:lang w:val="en-GB" w:eastAsia="en-GB"/>
              </w:rPr>
              <w:t>-</w:t>
            </w:r>
            <w:r>
              <w:rPr>
                <w:rFonts w:hint="eastAsia" w:eastAsia="宋体"/>
                <w:sz w:val="18"/>
                <w:szCs w:val="18"/>
                <w:lang w:val="en-US" w:eastAsia="zh-CN"/>
              </w:rPr>
              <w:t>158</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e)</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If applicable, indicate how multiple testing was addressed</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115</w:t>
            </w:r>
            <w:r>
              <w:rPr>
                <w:rFonts w:hint="eastAsia" w:eastAsia="Times New Roman"/>
                <w:sz w:val="18"/>
                <w:szCs w:val="18"/>
                <w:lang w:val="en-GB" w:eastAsia="en-GB"/>
              </w:rPr>
              <w:t>-</w:t>
            </w:r>
            <w:r>
              <w:rPr>
                <w:rFonts w:hint="eastAsia" w:eastAsia="宋体"/>
                <w:sz w:val="18"/>
                <w:szCs w:val="18"/>
                <w:lang w:val="en-US" w:eastAsia="zh-CN"/>
              </w:rPr>
              <w:t>158</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7</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Assessment of assumptions</w:t>
            </w:r>
          </w:p>
        </w:tc>
        <w:tc>
          <w:tcPr>
            <w:tcW w:w="7041" w:type="dxa"/>
            <w:shd w:val="clear" w:color="auto" w:fill="EEEEEE"/>
          </w:tcPr>
          <w:p>
            <w:pPr>
              <w:tabs>
                <w:tab w:val="left" w:pos="1620"/>
              </w:tabs>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any methods or prior knowledge used to assess the assumptions or justify their validity</w:t>
            </w:r>
            <w:r>
              <w:rPr>
                <w:rFonts w:eastAsia="Cambria"/>
                <w:sz w:val="18"/>
                <w:szCs w:val="18"/>
                <w:lang w:val="en-GB" w:eastAsia="en-US"/>
              </w:rPr>
              <w:tab/>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115</w:t>
            </w:r>
            <w:r>
              <w:rPr>
                <w:rFonts w:hint="eastAsia" w:eastAsia="Times New Roman"/>
                <w:sz w:val="18"/>
                <w:szCs w:val="18"/>
                <w:lang w:val="en-GB" w:eastAsia="en-GB"/>
              </w:rPr>
              <w:t>-</w:t>
            </w:r>
            <w:r>
              <w:rPr>
                <w:rFonts w:hint="eastAsia" w:eastAsia="宋体"/>
                <w:sz w:val="18"/>
                <w:szCs w:val="18"/>
                <w:lang w:val="en-US" w:eastAsia="zh-CN"/>
              </w:rPr>
              <w:t>158</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8</w:t>
            </w:r>
          </w:p>
        </w:tc>
        <w:tc>
          <w:tcPr>
            <w:tcW w:w="1822" w:type="dxa"/>
            <w:shd w:val="clear" w:color="auto" w:fill="auto"/>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Sensitivity analyses and additional analyses</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any sensitivity analyses or additional analyses performed (e.g. comparison of effect estimates from different approaches, independent replication, bias analytic techniques, validation of instruments, simulations)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115</w:t>
            </w:r>
            <w:r>
              <w:rPr>
                <w:rFonts w:hint="eastAsia" w:eastAsia="Times New Roman"/>
                <w:sz w:val="18"/>
                <w:szCs w:val="18"/>
                <w:lang w:val="en-GB" w:eastAsia="en-GB"/>
              </w:rPr>
              <w:t>-</w:t>
            </w:r>
            <w:r>
              <w:rPr>
                <w:rFonts w:hint="eastAsia" w:eastAsia="宋体"/>
                <w:sz w:val="18"/>
                <w:szCs w:val="18"/>
                <w:lang w:val="en-US" w:eastAsia="zh-CN"/>
              </w:rPr>
              <w:t>158</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9</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Software and pre-registration</w:t>
            </w:r>
          </w:p>
        </w:tc>
        <w:tc>
          <w:tcPr>
            <w:tcW w:w="7041" w:type="dxa"/>
            <w:shd w:val="clear" w:color="auto" w:fill="EEEEEE"/>
          </w:tcPr>
          <w:p>
            <w:pPr>
              <w:spacing w:before="96" w:beforeLines="40" w:after="96" w:afterLines="40" w:line="24" w:lineRule="atLeast"/>
              <w:rPr>
                <w:rFonts w:eastAsia="Cambria"/>
                <w:sz w:val="18"/>
                <w:szCs w:val="18"/>
                <w:lang w:val="en-GB" w:eastAsia="en-US"/>
              </w:rPr>
            </w:pP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US" w:bidi="ar-SA"/>
              </w:rPr>
            </w:pPr>
            <w:r>
              <w:rPr>
                <w:rFonts w:hint="eastAsia" w:eastAsia="宋体"/>
                <w:sz w:val="18"/>
                <w:szCs w:val="18"/>
                <w:lang w:val="en-US" w:eastAsia="zh-CN"/>
              </w:rPr>
              <w:t>7-9</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US" w:bidi="ar-SA"/>
              </w:rPr>
            </w:pPr>
            <w:r>
              <w:rPr>
                <w:rFonts w:hint="eastAsia" w:eastAsia="Times New Roman"/>
                <w:sz w:val="18"/>
                <w:szCs w:val="18"/>
                <w:lang w:val="en-GB" w:eastAsia="en-GB"/>
              </w:rPr>
              <w:t>Line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115</w:t>
            </w:r>
            <w:r>
              <w:rPr>
                <w:rFonts w:hint="eastAsia" w:eastAsia="Times New Roman"/>
                <w:sz w:val="18"/>
                <w:szCs w:val="18"/>
                <w:lang w:val="en-GB" w:eastAsia="en-GB"/>
              </w:rPr>
              <w:t>-</w:t>
            </w:r>
            <w:r>
              <w:rPr>
                <w:rFonts w:hint="eastAsia" w:eastAsia="宋体"/>
                <w:sz w:val="18"/>
                <w:szCs w:val="18"/>
                <w:lang w:val="en-US" w:eastAsia="zh-CN"/>
              </w:rPr>
              <w:t>158</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Name statistical software and package(s), including version and settings used </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115</w:t>
            </w:r>
            <w:r>
              <w:rPr>
                <w:rFonts w:hint="eastAsia" w:eastAsia="Times New Roman"/>
                <w:sz w:val="18"/>
                <w:szCs w:val="18"/>
                <w:lang w:val="en-GB" w:eastAsia="en-GB"/>
              </w:rPr>
              <w:t>-</w:t>
            </w:r>
            <w:r>
              <w:rPr>
                <w:rFonts w:hint="eastAsia" w:eastAsia="宋体"/>
                <w:sz w:val="18"/>
                <w:szCs w:val="18"/>
                <w:lang w:val="en-US" w:eastAsia="zh-CN"/>
              </w:rPr>
              <w:t>158</w:t>
            </w:r>
          </w:p>
        </w:tc>
      </w:tr>
      <w:tr>
        <w:tblPrEx>
          <w:tblCellMar>
            <w:top w:w="0" w:type="dxa"/>
            <w:left w:w="108" w:type="dxa"/>
            <w:bottom w:w="0" w:type="dxa"/>
            <w:right w:w="108" w:type="dxa"/>
          </w:tblCellMar>
        </w:tblPrEx>
        <w:tc>
          <w:tcPr>
            <w:tcW w:w="587" w:type="dxa"/>
            <w:tcBorders>
              <w:bottom w:val="single" w:color="7F7F7F" w:sz="6" w:space="0"/>
            </w:tcBorders>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tcBorders>
              <w:bottom w:val="single" w:color="7F7F7F" w:sz="6" w:space="0"/>
            </w:tcBorders>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tcBorders>
              <w:bottom w:val="single" w:color="7F7F7F" w:sz="6" w:space="0"/>
            </w:tcBorders>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State whether the study protocol and details were pre-registered (as well as when and where)</w:t>
            </w:r>
          </w:p>
        </w:tc>
        <w:tc>
          <w:tcPr>
            <w:tcW w:w="7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w:t>
            </w:r>
            <w:r>
              <w:rPr>
                <w:rFonts w:hint="eastAsia" w:eastAsia="宋体"/>
                <w:sz w:val="18"/>
                <w:szCs w:val="18"/>
                <w:lang w:val="en-US" w:eastAsia="zh-CN"/>
              </w:rPr>
              <w:t>s</w:t>
            </w:r>
            <w:r>
              <w:rPr>
                <w:rFonts w:hint="eastAsia" w:eastAsia="Times New Roman"/>
                <w:sz w:val="18"/>
                <w:szCs w:val="18"/>
                <w:lang w:val="en-GB" w:eastAsia="en-GB"/>
              </w:rPr>
              <w:t xml:space="preserve"> </w:t>
            </w:r>
            <w:r>
              <w:rPr>
                <w:rFonts w:hint="eastAsia" w:eastAsia="宋体"/>
                <w:sz w:val="18"/>
                <w:szCs w:val="18"/>
                <w:lang w:val="en-US" w:eastAsia="zh-CN"/>
              </w:rPr>
              <w:t>115</w:t>
            </w:r>
            <w:r>
              <w:rPr>
                <w:rFonts w:hint="eastAsia" w:eastAsia="Times New Roman"/>
                <w:sz w:val="18"/>
                <w:szCs w:val="18"/>
                <w:lang w:val="en-GB" w:eastAsia="en-GB"/>
              </w:rPr>
              <w:t>-</w:t>
            </w:r>
            <w:r>
              <w:rPr>
                <w:rFonts w:hint="eastAsia" w:eastAsia="宋体"/>
                <w:sz w:val="18"/>
                <w:szCs w:val="18"/>
                <w:lang w:val="en-US" w:eastAsia="zh-CN"/>
              </w:rPr>
              <w:t>158</w:t>
            </w:r>
          </w:p>
        </w:tc>
      </w:tr>
      <w:tr>
        <w:tblPrEx>
          <w:tblCellMar>
            <w:top w:w="0" w:type="dxa"/>
            <w:left w:w="108" w:type="dxa"/>
            <w:bottom w:w="0" w:type="dxa"/>
            <w:right w:w="108" w:type="dxa"/>
          </w:tblCellMar>
        </w:tblPrEx>
        <w:tc>
          <w:tcPr>
            <w:tcW w:w="587" w:type="dxa"/>
            <w:tcBorders>
              <w:top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RESULTS</w:t>
            </w:r>
          </w:p>
        </w:tc>
        <w:tc>
          <w:tcPr>
            <w:tcW w:w="7041"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10</w:t>
            </w:r>
          </w:p>
        </w:tc>
        <w:tc>
          <w:tcPr>
            <w:tcW w:w="1822"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Descriptive data</w:t>
            </w:r>
          </w:p>
        </w:tc>
        <w:tc>
          <w:tcPr>
            <w:tcW w:w="7041" w:type="dxa"/>
            <w:shd w:val="clear" w:color="auto" w:fill="EEEEEE"/>
          </w:tcPr>
          <w:p>
            <w:pPr>
              <w:spacing w:before="96" w:beforeLines="40" w:after="96" w:afterLines="40" w:line="24" w:lineRule="atLeast"/>
              <w:rPr>
                <w:rFonts w:eastAsia="Cambria"/>
                <w:sz w:val="18"/>
                <w:szCs w:val="18"/>
                <w:lang w:val="en-GB" w:eastAsia="en-US"/>
              </w:rPr>
            </w:pPr>
          </w:p>
        </w:tc>
        <w:tc>
          <w:tcPr>
            <w:tcW w:w="720" w:type="dxa"/>
            <w:shd w:val="clear" w:color="auto" w:fill="EEEEEE"/>
          </w:tcPr>
          <w:p>
            <w:pPr>
              <w:spacing w:before="96" w:beforeLines="40" w:after="96" w:afterLines="40" w:line="24" w:lineRule="atLeast"/>
              <w:rPr>
                <w:rFonts w:eastAsia="Cambria"/>
                <w:sz w:val="18"/>
                <w:szCs w:val="18"/>
                <w:lang w:val="en-GB" w:eastAsia="en-US"/>
              </w:rPr>
            </w:pPr>
          </w:p>
        </w:tc>
        <w:tc>
          <w:tcPr>
            <w:tcW w:w="4320" w:type="dxa"/>
            <w:shd w:val="clear" w:color="auto" w:fill="EEEEEE"/>
          </w:tcPr>
          <w:p>
            <w:pPr>
              <w:spacing w:before="96" w:beforeLines="40" w:after="96" w:afterLines="40" w:line="24" w:lineRule="atLeast"/>
              <w:rPr>
                <w:rFonts w:eastAsia="Cambria"/>
                <w:sz w:val="18"/>
                <w:szCs w:val="18"/>
                <w:lang w:val="en-GB" w:eastAsia="en-US"/>
              </w:rPr>
            </w:pPr>
            <w:r>
              <w:rPr>
                <w:rFonts w:hint="eastAsia" w:eastAsia="Cambria"/>
                <w:sz w:val="18"/>
                <w:szCs w:val="18"/>
                <w:lang w:val="en-GB" w:eastAsia="en-US"/>
              </w:rPr>
              <w:t xml:space="preserve">Not applicable, as we used summary statistics from previously published genome-wide association studies. We cite these accordingly. Furthermore, there is no sample overlap between the exposure and outcome studies. </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the numbers of individuals at each stage of included studies and reasons for exclusion. Consider use of a flow diagram</w:t>
            </w:r>
          </w:p>
        </w:tc>
        <w:tc>
          <w:tcPr>
            <w:tcW w:w="720" w:type="dxa"/>
          </w:tcPr>
          <w:p>
            <w:pPr>
              <w:spacing w:before="96" w:beforeLines="40" w:after="96" w:afterLines="40" w:line="24" w:lineRule="atLeast"/>
              <w:rPr>
                <w:rFonts w:eastAsia="Times New Roman"/>
                <w:sz w:val="18"/>
                <w:szCs w:val="18"/>
                <w:lang w:val="en-GB" w:eastAsia="en-GB"/>
              </w:rPr>
            </w:pP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Cambria"/>
                <w:sz w:val="18"/>
                <w:szCs w:val="18"/>
                <w:lang w:val="en-GB" w:eastAsia="en-US"/>
              </w:rPr>
              <w:t>Not applicable, as we used summary statistics from previously published genome-wide association studies. We cite these accordingly. Furthermore, there is no sample overlap between the exposure and outcome studies.</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Report summary statistics for phenotypic exposure(s), outcome(s), and other relevant variables (e.g. means, SDs, proportions)</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US" w:eastAsia="en-GB" w:bidi="ar-SA"/>
              </w:rPr>
            </w:pPr>
            <w:r>
              <w:rPr>
                <w:rFonts w:hint="eastAsia" w:eastAsia="Cambria"/>
                <w:sz w:val="18"/>
                <w:szCs w:val="18"/>
                <w:lang w:val="en-GB" w:eastAsia="en-US"/>
              </w:rPr>
              <w:t>Not applicable, as we used summary statistics from previously published genome-wide association studies. We cite these accordingly. Furthermore, there is no sample overlap between the exposure and outcome studies.</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If the data sources include meta-analyses of previous studies, provide the assessments of heterogeneity across these studies</w:t>
            </w:r>
          </w:p>
        </w:tc>
        <w:tc>
          <w:tcPr>
            <w:tcW w:w="720" w:type="dxa"/>
          </w:tcPr>
          <w:p>
            <w:pPr>
              <w:spacing w:before="96" w:beforeLines="40" w:after="96" w:afterLines="40" w:line="24" w:lineRule="atLeast"/>
              <w:rPr>
                <w:rFonts w:eastAsia="Times New Roman"/>
                <w:sz w:val="18"/>
                <w:szCs w:val="18"/>
                <w:lang w:val="en-GB" w:eastAsia="en-GB"/>
              </w:rPr>
            </w:pP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Cambria"/>
                <w:sz w:val="18"/>
                <w:szCs w:val="18"/>
                <w:lang w:val="en-GB" w:eastAsia="en-US"/>
              </w:rPr>
              <w:t>Not applicable, as we used summary statistics from previously published genome-wide association studies. We cite these accordingly. Furthermore, there is no sample overlap between the exposure and outcome studies.</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 xml:space="preserve">For </w:t>
            </w:r>
            <w:r>
              <w:rPr>
                <w:rFonts w:eastAsia="Times New Roman"/>
                <w:iCs/>
                <w:sz w:val="18"/>
                <w:szCs w:val="18"/>
                <w:lang w:val="en-GB" w:eastAsia="en-GB"/>
              </w:rPr>
              <w:t>two-sample</w:t>
            </w:r>
            <w:r>
              <w:rPr>
                <w:rFonts w:eastAsia="Times New Roman"/>
                <w:sz w:val="18"/>
                <w:szCs w:val="18"/>
                <w:lang w:val="en-GB" w:eastAsia="en-GB"/>
              </w:rPr>
              <w:t xml:space="preserve"> MR:</w:t>
            </w:r>
          </w:p>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 xml:space="preserve">   i.  Provide justification of the similarity of the genetic variant-exposure associations between the exposure and outcome samples</w:t>
            </w:r>
          </w:p>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 xml:space="preserve">   ii.  Provide information on the number of individuals who overlap between the exposure and outcome studies</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Cambria"/>
                <w:sz w:val="18"/>
                <w:szCs w:val="18"/>
                <w:lang w:val="en-GB" w:eastAsia="en-US"/>
              </w:rPr>
              <w:t>Not applicable, as we used summary statistics from previously published genome-wide association studies. We cite these accordingly. Furthermore, there is no sample overlap between the exposure and outcome studies.</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11</w:t>
            </w:r>
          </w:p>
        </w:tc>
        <w:tc>
          <w:tcPr>
            <w:tcW w:w="1822" w:type="dxa"/>
            <w:shd w:val="clear" w:color="auto" w:fill="auto"/>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Main results</w:t>
            </w:r>
          </w:p>
        </w:tc>
        <w:tc>
          <w:tcPr>
            <w:tcW w:w="7041" w:type="dxa"/>
            <w:shd w:val="clear" w:color="auto" w:fill="auto"/>
          </w:tcPr>
          <w:p>
            <w:pPr>
              <w:spacing w:before="96" w:beforeLines="40" w:after="96" w:afterLines="40" w:line="24" w:lineRule="atLeast"/>
              <w:rPr>
                <w:rFonts w:eastAsia="Cambria"/>
                <w:sz w:val="18"/>
                <w:szCs w:val="18"/>
                <w:lang w:val="en-GB" w:eastAsia="en-US"/>
              </w:rPr>
            </w:pPr>
          </w:p>
        </w:tc>
        <w:tc>
          <w:tcPr>
            <w:tcW w:w="720" w:type="dxa"/>
            <w:vAlign w:val="top"/>
          </w:tcPr>
          <w:p>
            <w:pPr>
              <w:spacing w:before="96" w:beforeLines="40" w:after="96" w:afterLines="40" w:line="24" w:lineRule="atLeast"/>
              <w:rPr>
                <w:rFonts w:hint="default" w:ascii="Arial" w:hAnsi="Arial" w:eastAsia="宋体" w:cs="Arial"/>
                <w:sz w:val="18"/>
                <w:szCs w:val="18"/>
                <w:lang w:val="en-US" w:eastAsia="en-US" w:bidi="ar-SA"/>
              </w:rPr>
            </w:pPr>
            <w:r>
              <w:rPr>
                <w:rFonts w:hint="eastAsia" w:eastAsia="宋体" w:cs="Arial"/>
                <w:sz w:val="18"/>
                <w:szCs w:val="18"/>
                <w:lang w:val="en-US" w:eastAsia="zh-CN" w:bidi="ar-SA"/>
              </w:rPr>
              <w:t>9-12</w:t>
            </w:r>
          </w:p>
        </w:tc>
        <w:tc>
          <w:tcPr>
            <w:tcW w:w="4320" w:type="dxa"/>
            <w:vAlign w:val="top"/>
          </w:tcPr>
          <w:p>
            <w:pPr>
              <w:spacing w:before="96" w:beforeLines="40" w:after="96" w:afterLines="40" w:line="24" w:lineRule="atLeast"/>
              <w:rPr>
                <w:rFonts w:hint="default" w:ascii="Arial" w:hAnsi="Arial" w:eastAsia="宋体" w:cs="Arial"/>
                <w:sz w:val="18"/>
                <w:szCs w:val="18"/>
                <w:lang w:val="en-US" w:eastAsia="en-US" w:bidi="ar-SA"/>
              </w:rPr>
            </w:pPr>
            <w:r>
              <w:rPr>
                <w:rFonts w:hint="eastAsia" w:eastAsia="宋体"/>
                <w:sz w:val="18"/>
                <w:szCs w:val="18"/>
                <w:lang w:val="en-US" w:eastAsia="zh-CN"/>
              </w:rPr>
              <w:t>Lines 160-223</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the associations between genetic variant and exposure, and between genetic variant and outcome, preferably on an interpretable scale</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US" w:eastAsia="zh-CN" w:bidi="ar-SA"/>
              </w:rPr>
            </w:pP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US" w:eastAsia="zh-CN" w:bidi="ar-SA"/>
              </w:rPr>
            </w:pPr>
            <w:r>
              <w:rPr>
                <w:rFonts w:hint="eastAsia" w:eastAsia="宋体" w:cs="Arial"/>
                <w:sz w:val="18"/>
                <w:szCs w:val="18"/>
                <w:lang w:val="en-US" w:eastAsia="zh-CN" w:bidi="ar-SA"/>
              </w:rPr>
              <w:t>Table S1-S10</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MR estimates of the relationship between exposure and outcome, and the measures of uncertainty from the MR analysis, on an interpretable scale, such as odds ratio or relative risk per SD difference</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9-12</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160-223</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If relevant, consider translating estimates of relative risk into absolute risk for a meaningful time period</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9-12</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160-223</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Consider plots to visualize results (e.g. forest plot, scatterplot of associations between genetic variants and outcome versus between genetic variants and exposure)</w:t>
            </w:r>
          </w:p>
        </w:tc>
        <w:tc>
          <w:tcPr>
            <w:tcW w:w="720" w:type="dxa"/>
          </w:tcPr>
          <w:p>
            <w:pPr>
              <w:spacing w:before="96" w:beforeLines="40" w:after="96" w:afterLines="40" w:line="24" w:lineRule="atLeast"/>
              <w:rPr>
                <w:rFonts w:eastAsia="Times New Roman"/>
                <w:sz w:val="18"/>
                <w:szCs w:val="18"/>
                <w:lang w:val="en-GB" w:eastAsia="en-GB"/>
              </w:rPr>
            </w:pP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Figure 1-5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12</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Assessment of assumptions</w:t>
            </w:r>
          </w:p>
        </w:tc>
        <w:tc>
          <w:tcPr>
            <w:tcW w:w="7041" w:type="dxa"/>
            <w:shd w:val="clear" w:color="auto" w:fill="EEEEEE"/>
          </w:tcPr>
          <w:p>
            <w:pPr>
              <w:spacing w:before="96" w:beforeLines="40" w:after="96" w:afterLines="40" w:line="24" w:lineRule="atLeast"/>
              <w:rPr>
                <w:rFonts w:eastAsia="Cambria"/>
                <w:sz w:val="18"/>
                <w:szCs w:val="18"/>
                <w:lang w:val="en-GB" w:eastAsia="en-US"/>
              </w:rPr>
            </w:pPr>
          </w:p>
        </w:tc>
        <w:tc>
          <w:tcPr>
            <w:tcW w:w="720" w:type="dxa"/>
            <w:shd w:val="clear" w:color="auto" w:fill="EEEEEE"/>
          </w:tcPr>
          <w:p>
            <w:pPr>
              <w:spacing w:before="96" w:beforeLines="40" w:after="96" w:afterLines="40" w:line="24" w:lineRule="atLeast"/>
              <w:rPr>
                <w:rFonts w:eastAsia="Cambria"/>
                <w:sz w:val="18"/>
                <w:szCs w:val="18"/>
                <w:lang w:val="en-GB" w:eastAsia="en-US"/>
              </w:rPr>
            </w:pPr>
          </w:p>
        </w:tc>
        <w:tc>
          <w:tcPr>
            <w:tcW w:w="4320" w:type="dxa"/>
            <w:shd w:val="clear" w:color="auto" w:fill="EEEEEE"/>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the assessment of the validity of the assumptions</w:t>
            </w:r>
          </w:p>
        </w:tc>
        <w:tc>
          <w:tcPr>
            <w:tcW w:w="720" w:type="dxa"/>
            <w:vAlign w:val="top"/>
          </w:tcPr>
          <w:p>
            <w:pPr>
              <w:spacing w:before="96" w:beforeLines="40" w:after="96" w:afterLines="40" w:line="24" w:lineRule="atLeast"/>
              <w:rPr>
                <w:rFonts w:hint="default" w:ascii="Arial" w:hAnsi="Arial" w:eastAsia="宋体" w:cs="Arial"/>
                <w:sz w:val="18"/>
                <w:szCs w:val="18"/>
                <w:lang w:val="en-US" w:eastAsia="zh-CN" w:bidi="ar-SA"/>
              </w:rPr>
            </w:pPr>
            <w:r>
              <w:rPr>
                <w:rFonts w:hint="eastAsia" w:eastAsia="宋体" w:cs="Arial"/>
                <w:sz w:val="18"/>
                <w:szCs w:val="18"/>
                <w:lang w:val="en-US" w:eastAsia="zh-CN" w:bidi="ar-SA"/>
              </w:rPr>
              <w:t>9-12</w:t>
            </w:r>
          </w:p>
        </w:tc>
        <w:tc>
          <w:tcPr>
            <w:tcW w:w="4320" w:type="dxa"/>
            <w:vAlign w:val="top"/>
          </w:tcPr>
          <w:p>
            <w:pPr>
              <w:spacing w:before="96" w:beforeLines="40" w:after="96" w:afterLines="40" w:line="24" w:lineRule="atLeast"/>
              <w:rPr>
                <w:rFonts w:hint="default" w:ascii="Arial" w:hAnsi="Arial" w:eastAsia="宋体" w:cs="Arial"/>
                <w:sz w:val="18"/>
                <w:szCs w:val="18"/>
                <w:lang w:val="en-US" w:eastAsia="en-GB" w:bidi="ar-SA"/>
              </w:rPr>
            </w:pPr>
            <w:r>
              <w:rPr>
                <w:rFonts w:hint="eastAsia" w:eastAsia="宋体"/>
                <w:sz w:val="18"/>
                <w:szCs w:val="18"/>
                <w:lang w:val="en-US" w:eastAsia="zh-CN"/>
              </w:rPr>
              <w:t>Lines 160-223</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 xml:space="preserve">Report any additional statistics (e.g., assessments of heterogeneity </w:t>
            </w:r>
            <w:r>
              <w:rPr>
                <w:rFonts w:eastAsia="Times New Roman"/>
                <w:sz w:val="18"/>
                <w:szCs w:val="18"/>
                <w:lang w:eastAsia="en-GB"/>
              </w:rPr>
              <w:t>across genetic variants</w:t>
            </w:r>
            <w:r>
              <w:rPr>
                <w:rFonts w:eastAsia="Times New Roman"/>
                <w:sz w:val="18"/>
                <w:szCs w:val="18"/>
                <w:lang w:val="en-GB" w:eastAsia="en-GB"/>
              </w:rPr>
              <w:t xml:space="preserve">, such as </w:t>
            </w:r>
            <w:r>
              <w:rPr>
                <w:rFonts w:eastAsia="Times New Roman"/>
                <w:i/>
                <w:sz w:val="18"/>
                <w:szCs w:val="18"/>
                <w:lang w:val="en-GB" w:eastAsia="en-GB"/>
              </w:rPr>
              <w:t>I</w:t>
            </w:r>
            <w:r>
              <w:rPr>
                <w:rFonts w:eastAsia="Times New Roman"/>
                <w:i/>
                <w:sz w:val="18"/>
                <w:szCs w:val="18"/>
                <w:vertAlign w:val="superscript"/>
                <w:lang w:val="en-GB" w:eastAsia="en-GB"/>
              </w:rPr>
              <w:t>2</w:t>
            </w:r>
            <w:r>
              <w:rPr>
                <w:rFonts w:eastAsia="Times New Roman"/>
                <w:sz w:val="18"/>
                <w:szCs w:val="18"/>
                <w:lang w:val="en-GB" w:eastAsia="en-GB"/>
              </w:rPr>
              <w:t>, Q statistic or E-value)</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9-12</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160-223</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13</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Sensitivity analyses and additional analyses</w:t>
            </w:r>
          </w:p>
        </w:tc>
        <w:tc>
          <w:tcPr>
            <w:tcW w:w="7041" w:type="dxa"/>
            <w:shd w:val="clear" w:color="auto" w:fill="auto"/>
          </w:tcPr>
          <w:p>
            <w:pPr>
              <w:spacing w:before="96" w:beforeLines="40" w:after="96" w:afterLines="40" w:line="24" w:lineRule="atLeast"/>
              <w:rPr>
                <w:rFonts w:eastAsia="Cambria"/>
                <w:sz w:val="18"/>
                <w:szCs w:val="18"/>
                <w:lang w:val="en-GB" w:eastAsia="en-US"/>
              </w:rPr>
            </w:pPr>
          </w:p>
        </w:tc>
        <w:tc>
          <w:tcPr>
            <w:tcW w:w="720" w:type="dxa"/>
          </w:tcPr>
          <w:p>
            <w:pPr>
              <w:spacing w:before="96" w:beforeLines="40" w:after="96" w:afterLines="40" w:line="24" w:lineRule="atLeast"/>
              <w:rPr>
                <w:rFonts w:eastAsia="Cambria"/>
                <w:sz w:val="18"/>
                <w:szCs w:val="18"/>
                <w:lang w:val="en-GB" w:eastAsia="en-US"/>
              </w:rPr>
            </w:pPr>
          </w:p>
        </w:tc>
        <w:tc>
          <w:tcPr>
            <w:tcW w:w="4320" w:type="dxa"/>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any sensitivity analyses to assess the robustness of the main results to violations of the assumptions</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9-12</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160-223</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results from other sensitivity analyses or additional analyses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9-12</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160-223</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Report any assessment of direction of causal relationship (e.g., bidirectional MR)</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9-12</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160-223</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When relevant, report and compare with estimates from non-MR analyses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9-12</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160-223</w:t>
            </w:r>
          </w:p>
        </w:tc>
      </w:tr>
      <w:tr>
        <w:tblPrEx>
          <w:tblCellMar>
            <w:top w:w="0" w:type="dxa"/>
            <w:left w:w="108" w:type="dxa"/>
            <w:bottom w:w="0" w:type="dxa"/>
            <w:right w:w="108" w:type="dxa"/>
          </w:tblCellMar>
        </w:tblPrEx>
        <w:tc>
          <w:tcPr>
            <w:tcW w:w="587" w:type="dxa"/>
            <w:tcBorders>
              <w:bottom w:val="single" w:color="7F7F7F" w:sz="6" w:space="0"/>
            </w:tcBorders>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tcBorders>
              <w:bottom w:val="single" w:color="7F7F7F" w:sz="6" w:space="0"/>
            </w:tcBorders>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e)</w:t>
            </w:r>
          </w:p>
        </w:tc>
        <w:tc>
          <w:tcPr>
            <w:tcW w:w="7041"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Consider additional plots to visualize results (e.g., leave-one-out analyses)</w:t>
            </w:r>
          </w:p>
        </w:tc>
        <w:tc>
          <w:tcPr>
            <w:tcW w:w="7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9-12</w:t>
            </w:r>
          </w:p>
        </w:tc>
        <w:tc>
          <w:tcPr>
            <w:tcW w:w="43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160-223</w:t>
            </w:r>
          </w:p>
        </w:tc>
      </w:tr>
      <w:tr>
        <w:tblPrEx>
          <w:tblCellMar>
            <w:top w:w="0" w:type="dxa"/>
            <w:left w:w="108" w:type="dxa"/>
            <w:bottom w:w="0" w:type="dxa"/>
            <w:right w:w="108" w:type="dxa"/>
          </w:tblCellMar>
        </w:tblPrEx>
        <w:tc>
          <w:tcPr>
            <w:tcW w:w="587" w:type="dxa"/>
            <w:tcBorders>
              <w:top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DISCUSSION</w:t>
            </w:r>
          </w:p>
        </w:tc>
        <w:tc>
          <w:tcPr>
            <w:tcW w:w="7041"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14</w:t>
            </w:r>
          </w:p>
        </w:tc>
        <w:tc>
          <w:tcPr>
            <w:tcW w:w="1822"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Key results </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Summarize key results with reference to study objectives</w:t>
            </w:r>
          </w:p>
        </w:tc>
        <w:tc>
          <w:tcPr>
            <w:tcW w:w="7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12</w:t>
            </w:r>
          </w:p>
        </w:tc>
        <w:tc>
          <w:tcPr>
            <w:tcW w:w="4320" w:type="dxa"/>
            <w:shd w:val="clear" w:color="auto" w:fill="EEEEEE"/>
          </w:tcPr>
          <w:p>
            <w:pPr>
              <w:spacing w:before="96" w:beforeLines="40" w:after="96" w:afterLines="40" w:line="24" w:lineRule="atLeast"/>
              <w:rPr>
                <w:rFonts w:hint="default" w:eastAsia="Times New Roman"/>
                <w:sz w:val="18"/>
                <w:szCs w:val="18"/>
                <w:lang w:val="en-US" w:eastAsia="en-GB"/>
              </w:rPr>
            </w:pPr>
            <w:r>
              <w:rPr>
                <w:rFonts w:hint="eastAsia" w:eastAsia="宋体"/>
                <w:sz w:val="18"/>
                <w:szCs w:val="18"/>
                <w:lang w:val="en-US" w:eastAsia="zh-CN"/>
              </w:rPr>
              <w:t>Lines 225-231</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15</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Limitations</w:t>
            </w:r>
          </w:p>
        </w:tc>
        <w:tc>
          <w:tcPr>
            <w:tcW w:w="7041"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Discuss limitations of the study, taking into account the validity of the IV assumptions, other sources of potential bias, and imprecision. Discuss both direction and magnitude of any potential bias and any efforts to address them</w:t>
            </w:r>
            <w:r>
              <w:rPr>
                <w:rFonts w:eastAsia="Times New Roman"/>
                <w:sz w:val="18"/>
                <w:szCs w:val="18"/>
                <w:shd w:val="clear" w:color="auto" w:fill="FFFFFF"/>
                <w:lang w:val="en-GB" w:eastAsia="en-GB"/>
              </w:rPr>
              <w:t> </w:t>
            </w:r>
          </w:p>
        </w:tc>
        <w:tc>
          <w:tcPr>
            <w:tcW w:w="720" w:type="dxa"/>
            <w:vAlign w:val="top"/>
          </w:tcPr>
          <w:p>
            <w:pPr>
              <w:spacing w:before="96" w:beforeLines="40" w:after="96" w:afterLines="40" w:line="24" w:lineRule="atLeast"/>
              <w:rPr>
                <w:rFonts w:hint="default" w:ascii="Arial" w:hAnsi="Arial" w:eastAsia="宋体" w:cs="Arial"/>
                <w:sz w:val="18"/>
                <w:szCs w:val="18"/>
                <w:lang w:val="en-US" w:eastAsia="zh-CN" w:bidi="ar-SA"/>
              </w:rPr>
            </w:pPr>
            <w:r>
              <w:rPr>
                <w:rFonts w:hint="eastAsia" w:eastAsia="宋体" w:cs="Arial"/>
                <w:sz w:val="18"/>
                <w:szCs w:val="18"/>
                <w:lang w:val="en-US" w:eastAsia="zh-CN" w:bidi="ar-SA"/>
              </w:rPr>
              <w:t>15-16</w:t>
            </w:r>
          </w:p>
        </w:tc>
        <w:tc>
          <w:tcPr>
            <w:tcW w:w="4320" w:type="dxa"/>
            <w:vAlign w:val="top"/>
          </w:tcPr>
          <w:p>
            <w:pPr>
              <w:spacing w:before="96" w:beforeLines="40" w:after="96" w:afterLines="40" w:line="24" w:lineRule="atLeast"/>
              <w:rPr>
                <w:rFonts w:hint="default" w:ascii="Arial" w:hAnsi="Arial" w:eastAsia="Times New Roman" w:cs="Arial"/>
                <w:sz w:val="18"/>
                <w:szCs w:val="18"/>
                <w:lang w:val="en-US" w:eastAsia="en-GB" w:bidi="ar-SA"/>
              </w:rPr>
            </w:pPr>
            <w:r>
              <w:rPr>
                <w:rFonts w:hint="eastAsia" w:eastAsia="宋体"/>
                <w:sz w:val="18"/>
                <w:szCs w:val="18"/>
                <w:lang w:val="en-US" w:eastAsia="zh-CN"/>
              </w:rPr>
              <w:t>Lines 308-315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16</w:t>
            </w:r>
          </w:p>
        </w:tc>
        <w:tc>
          <w:tcPr>
            <w:tcW w:w="1822"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Interpretation</w:t>
            </w:r>
          </w:p>
        </w:tc>
        <w:tc>
          <w:tcPr>
            <w:tcW w:w="7041" w:type="dxa"/>
            <w:shd w:val="clear" w:color="auto" w:fill="EEEEEE"/>
          </w:tcPr>
          <w:p>
            <w:pPr>
              <w:spacing w:before="96" w:beforeLines="40" w:after="96" w:afterLines="40" w:line="24" w:lineRule="atLeast"/>
              <w:rPr>
                <w:rFonts w:eastAsia="Cambria"/>
                <w:sz w:val="18"/>
                <w:szCs w:val="18"/>
                <w:lang w:val="en-GB" w:eastAsia="en-US"/>
              </w:rPr>
            </w:pPr>
          </w:p>
        </w:tc>
        <w:tc>
          <w:tcPr>
            <w:tcW w:w="720" w:type="dxa"/>
            <w:shd w:val="clear" w:color="auto" w:fill="EEEEEE"/>
          </w:tcPr>
          <w:p>
            <w:pPr>
              <w:spacing w:before="96" w:beforeLines="40" w:after="96" w:afterLines="40" w:line="24" w:lineRule="atLeast"/>
              <w:rPr>
                <w:rFonts w:hint="default" w:eastAsia="宋体"/>
                <w:sz w:val="18"/>
                <w:szCs w:val="18"/>
                <w:lang w:val="en-US" w:eastAsia="zh-CN"/>
              </w:rPr>
            </w:pPr>
          </w:p>
        </w:tc>
        <w:tc>
          <w:tcPr>
            <w:tcW w:w="4320" w:type="dxa"/>
            <w:shd w:val="clear" w:color="auto" w:fill="EEEEEE"/>
          </w:tcPr>
          <w:p>
            <w:pPr>
              <w:spacing w:before="96" w:beforeLines="40" w:after="96" w:afterLines="40" w:line="24" w:lineRule="atLeast"/>
              <w:rPr>
                <w:rFonts w:hint="default" w:eastAsia="Cambria"/>
                <w:sz w:val="18"/>
                <w:szCs w:val="18"/>
                <w:lang w:val="en-US" w:eastAsia="en-US"/>
              </w:rPr>
            </w:pP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Meaning: Give a cautious overall interpretation of results in the context of their limitations and in comparison with other studies</w:t>
            </w:r>
          </w:p>
        </w:tc>
        <w:tc>
          <w:tcPr>
            <w:tcW w:w="720" w:type="dxa"/>
            <w:vAlign w:val="top"/>
          </w:tcPr>
          <w:p>
            <w:pPr>
              <w:spacing w:before="96" w:beforeLines="40" w:after="96" w:afterLines="40" w:line="24" w:lineRule="atLeast"/>
              <w:rPr>
                <w:rFonts w:hint="default" w:ascii="Arial" w:hAnsi="Arial" w:eastAsia="宋体" w:cs="Arial"/>
                <w:sz w:val="18"/>
                <w:szCs w:val="18"/>
                <w:lang w:val="en-US" w:eastAsia="en-GB" w:bidi="ar-SA"/>
              </w:rPr>
            </w:pPr>
            <w:r>
              <w:rPr>
                <w:rFonts w:hint="eastAsia" w:eastAsia="宋体"/>
                <w:sz w:val="18"/>
                <w:szCs w:val="18"/>
                <w:lang w:val="en-US" w:eastAsia="zh-CN"/>
              </w:rPr>
              <w:t>12-16</w:t>
            </w:r>
          </w:p>
        </w:tc>
        <w:tc>
          <w:tcPr>
            <w:tcW w:w="4320" w:type="dxa"/>
            <w:vAlign w:val="top"/>
          </w:tcPr>
          <w:p>
            <w:pPr>
              <w:spacing w:before="96" w:beforeLines="40" w:after="96" w:afterLines="40" w:line="24" w:lineRule="atLeast"/>
              <w:rPr>
                <w:rFonts w:hint="default" w:ascii="Arial" w:hAnsi="Arial" w:eastAsia="Cambria" w:cs="Arial"/>
                <w:sz w:val="18"/>
                <w:szCs w:val="18"/>
                <w:lang w:val="en-US" w:eastAsia="en-GB" w:bidi="ar-SA"/>
              </w:rPr>
            </w:pPr>
            <w:r>
              <w:rPr>
                <w:rFonts w:hint="eastAsia" w:eastAsia="宋体"/>
                <w:sz w:val="18"/>
                <w:szCs w:val="18"/>
                <w:lang w:val="en-US" w:eastAsia="zh-CN"/>
              </w:rPr>
              <w:t>Lines 225-325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 xml:space="preserve">Mechanism: Discuss underlying biological mechanisms that could drive a potential causal relationship between the investigated exposure and the outcome, and whether the gene-environment equivalence assumption is reasonable. Use causal language carefully, clarifying that IV estimates may provide causal effects only under certain assumptions </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12-16</w:t>
            </w:r>
          </w:p>
        </w:tc>
        <w:tc>
          <w:tcPr>
            <w:tcW w:w="4320" w:type="dxa"/>
            <w:shd w:val="clear" w:color="auto" w:fill="EEEEEE"/>
            <w:vAlign w:val="top"/>
          </w:tcPr>
          <w:p>
            <w:pPr>
              <w:spacing w:before="96" w:beforeLines="40" w:after="96" w:afterLines="40" w:line="24" w:lineRule="atLeast"/>
              <w:rPr>
                <w:rFonts w:hint="default" w:ascii="Arial" w:hAnsi="Arial" w:eastAsia="Cambria" w:cs="Arial"/>
                <w:sz w:val="18"/>
                <w:szCs w:val="18"/>
                <w:lang w:val="en-US" w:eastAsia="en-GB" w:bidi="ar-SA"/>
              </w:rPr>
            </w:pPr>
            <w:r>
              <w:rPr>
                <w:rFonts w:hint="eastAsia" w:eastAsia="宋体"/>
                <w:sz w:val="18"/>
                <w:szCs w:val="18"/>
                <w:lang w:val="en-US" w:eastAsia="zh-CN"/>
              </w:rPr>
              <w:t>Lines 225-325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auto"/>
          </w:tcPr>
          <w:p>
            <w:pPr>
              <w:tabs>
                <w:tab w:val="left" w:pos="1350"/>
              </w:tabs>
              <w:spacing w:before="96" w:beforeLines="40" w:after="96" w:afterLines="40" w:line="24" w:lineRule="atLeast"/>
              <w:rPr>
                <w:rFonts w:eastAsia="Cambria"/>
                <w:sz w:val="18"/>
                <w:szCs w:val="18"/>
                <w:lang w:val="en-GB" w:eastAsia="en-US"/>
              </w:rPr>
            </w:pPr>
            <w:r>
              <w:rPr>
                <w:rFonts w:eastAsia="Times New Roman"/>
                <w:sz w:val="18"/>
                <w:szCs w:val="18"/>
                <w:lang w:val="en-GB" w:eastAsia="en-GB"/>
              </w:rPr>
              <w:t xml:space="preserve">Clinical relevance: Discuss whether the results have clinical or public policy relevance, and </w:t>
            </w:r>
            <w:r>
              <w:rPr>
                <w:rFonts w:eastAsia="Times New Roman"/>
                <w:color w:val="000000"/>
                <w:sz w:val="18"/>
                <w:szCs w:val="18"/>
                <w:lang w:eastAsia="en-GB"/>
              </w:rPr>
              <w:t>to what extent they inform effect sizes of possible interventions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12-16</w:t>
            </w:r>
          </w:p>
        </w:tc>
        <w:tc>
          <w:tcPr>
            <w:tcW w:w="4320" w:type="dxa"/>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宋体"/>
                <w:sz w:val="18"/>
                <w:szCs w:val="18"/>
                <w:lang w:val="en-US" w:eastAsia="zh-CN"/>
              </w:rPr>
              <w:t>Lines 225-325</w:t>
            </w:r>
          </w:p>
        </w:tc>
      </w:tr>
      <w:tr>
        <w:tblPrEx>
          <w:tblCellMar>
            <w:top w:w="0" w:type="dxa"/>
            <w:left w:w="108" w:type="dxa"/>
            <w:bottom w:w="0" w:type="dxa"/>
            <w:right w:w="108" w:type="dxa"/>
          </w:tblCellMar>
        </w:tblPrEx>
        <w:tc>
          <w:tcPr>
            <w:tcW w:w="587" w:type="dxa"/>
            <w:tcBorders>
              <w:bottom w:val="single" w:color="7F7F7F" w:sz="6" w:space="0"/>
            </w:tcBorders>
            <w:shd w:val="clear" w:color="auto" w:fill="EEEEEE"/>
          </w:tcPr>
          <w:p>
            <w:pPr>
              <w:spacing w:before="96" w:beforeLines="40" w:after="96" w:afterLines="40" w:line="24" w:lineRule="atLeast"/>
              <w:rPr>
                <w:rFonts w:eastAsia="Times New Roman"/>
                <w:b/>
                <w:bCs/>
                <w:sz w:val="18"/>
                <w:szCs w:val="18"/>
                <w:lang w:val="en-GB" w:eastAsia="en-GB"/>
              </w:rPr>
            </w:pPr>
            <w:bookmarkStart w:id="0" w:name="_GoBack" w:colFirst="3" w:colLast="4"/>
            <w:r>
              <w:rPr>
                <w:rFonts w:eastAsia="Times New Roman"/>
                <w:sz w:val="18"/>
                <w:szCs w:val="18"/>
                <w:lang w:val="en-GB" w:eastAsia="en-GB"/>
              </w:rPr>
              <w:t>17</w:t>
            </w:r>
          </w:p>
        </w:tc>
        <w:tc>
          <w:tcPr>
            <w:tcW w:w="1822"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 xml:space="preserve">Generalizability  </w:t>
            </w:r>
            <w:r>
              <w:rPr>
                <w:rFonts w:eastAsia="Times New Roman"/>
                <w:sz w:val="18"/>
                <w:szCs w:val="18"/>
                <w:lang w:val="en-GB" w:eastAsia="en-GB"/>
              </w:rPr>
              <w:t> </w:t>
            </w:r>
          </w:p>
        </w:tc>
        <w:tc>
          <w:tcPr>
            <w:tcW w:w="7041" w:type="dxa"/>
            <w:tcBorders>
              <w:bottom w:val="single" w:color="7F7F7F" w:sz="6" w:space="0"/>
            </w:tcBorders>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Discuss the generalizability of the study results (a) to other populations, (b) across other exposure periods/timings, and (c) across other levels of exposure</w:t>
            </w:r>
          </w:p>
        </w:tc>
        <w:tc>
          <w:tcPr>
            <w:tcW w:w="7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12-16</w:t>
            </w:r>
          </w:p>
        </w:tc>
        <w:tc>
          <w:tcPr>
            <w:tcW w:w="43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宋体"/>
                <w:sz w:val="18"/>
                <w:szCs w:val="18"/>
                <w:lang w:val="en-US" w:eastAsia="zh-CN"/>
              </w:rPr>
              <w:t>Lines 225-325</w:t>
            </w:r>
          </w:p>
        </w:tc>
      </w:tr>
      <w:bookmarkEnd w:id="0"/>
      <w:tr>
        <w:tblPrEx>
          <w:tblCellMar>
            <w:top w:w="0" w:type="dxa"/>
            <w:left w:w="108" w:type="dxa"/>
            <w:bottom w:w="0" w:type="dxa"/>
            <w:right w:w="108" w:type="dxa"/>
          </w:tblCellMar>
        </w:tblPrEx>
        <w:tc>
          <w:tcPr>
            <w:tcW w:w="587" w:type="dxa"/>
            <w:tcBorders>
              <w:top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OTHER INFORMATION</w:t>
            </w:r>
          </w:p>
        </w:tc>
        <w:tc>
          <w:tcPr>
            <w:tcW w:w="7041"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18</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Funding</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Describe sources of funding and the role of funders in the present study and, if applicable, sources of funding for the databases and original study or studies on which the present study is based</w:t>
            </w:r>
          </w:p>
        </w:tc>
        <w:tc>
          <w:tcPr>
            <w:tcW w:w="720" w:type="dxa"/>
            <w:shd w:val="clear" w:color="auto" w:fill="EEEEEE"/>
          </w:tcPr>
          <w:p>
            <w:pPr>
              <w:spacing w:before="96" w:beforeLines="40" w:after="96" w:afterLines="40" w:line="24" w:lineRule="atLeast"/>
              <w:rPr>
                <w:rFonts w:eastAsia="Times New Roman"/>
                <w:sz w:val="18"/>
                <w:szCs w:val="18"/>
                <w:lang w:val="en-GB" w:eastAsia="en-GB"/>
              </w:rPr>
            </w:pPr>
          </w:p>
        </w:tc>
        <w:tc>
          <w:tcPr>
            <w:tcW w:w="43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As described in the submission system</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19</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Data and data sharing </w:t>
            </w:r>
          </w:p>
        </w:tc>
        <w:tc>
          <w:tcPr>
            <w:tcW w:w="7041"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Provide the data used to perform all analyses or report where and how the data can be accessed, and reference these sources in the article. Provide the statistical code needed to reproduce the results in the article, or report whether the code is publicly accessible and if so, where</w:t>
            </w:r>
          </w:p>
        </w:tc>
        <w:tc>
          <w:tcPr>
            <w:tcW w:w="720" w:type="dxa"/>
          </w:tcPr>
          <w:p>
            <w:pPr>
              <w:spacing w:before="96" w:beforeLines="40" w:after="96" w:afterLines="40" w:line="24" w:lineRule="atLeast"/>
              <w:rPr>
                <w:rFonts w:eastAsia="Times New Roman"/>
                <w:sz w:val="18"/>
                <w:szCs w:val="18"/>
                <w:lang w:val="en-GB" w:eastAsia="en-GB"/>
              </w:rPr>
            </w:pPr>
          </w:p>
        </w:tc>
        <w:tc>
          <w:tcPr>
            <w:tcW w:w="4320" w:type="dxa"/>
          </w:tcPr>
          <w:p>
            <w:pPr>
              <w:spacing w:before="96" w:beforeLines="40" w:after="96" w:afterLines="40" w:line="24" w:lineRule="atLeast"/>
              <w:rPr>
                <w:rFonts w:eastAsia="Times New Roman"/>
                <w:sz w:val="18"/>
                <w:szCs w:val="18"/>
                <w:lang w:val="en-GB" w:eastAsia="en-GB"/>
              </w:rPr>
            </w:pPr>
            <w:r>
              <w:rPr>
                <w:rFonts w:hint="eastAsia" w:eastAsia="宋体"/>
                <w:sz w:val="18"/>
                <w:szCs w:val="18"/>
                <w:lang w:val="en-US" w:eastAsia="zh-CN"/>
              </w:rPr>
              <w:t>As described in the submission system</w:t>
            </w:r>
          </w:p>
        </w:tc>
      </w:tr>
      <w:tr>
        <w:tblPrEx>
          <w:tblCellMar>
            <w:top w:w="0" w:type="dxa"/>
            <w:left w:w="108" w:type="dxa"/>
            <w:bottom w:w="0" w:type="dxa"/>
            <w:right w:w="108" w:type="dxa"/>
          </w:tblCellMar>
        </w:tblPrEx>
        <w:tc>
          <w:tcPr>
            <w:tcW w:w="587" w:type="dxa"/>
            <w:tcBorders>
              <w:bottom w:val="single" w:color="7F7F7F" w:sz="6" w:space="0"/>
            </w:tcBorders>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20</w:t>
            </w:r>
          </w:p>
        </w:tc>
        <w:tc>
          <w:tcPr>
            <w:tcW w:w="1822"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Conflicts of Interest  </w:t>
            </w:r>
          </w:p>
        </w:tc>
        <w:tc>
          <w:tcPr>
            <w:tcW w:w="7041"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All authors should declare all potential conflicts of interest</w:t>
            </w:r>
          </w:p>
        </w:tc>
        <w:tc>
          <w:tcPr>
            <w:tcW w:w="720"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p>
        </w:tc>
        <w:tc>
          <w:tcPr>
            <w:tcW w:w="4320"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hint="eastAsia" w:eastAsia="宋体"/>
                <w:sz w:val="18"/>
                <w:szCs w:val="18"/>
                <w:lang w:val="en-US" w:eastAsia="zh-CN"/>
              </w:rPr>
              <w:t>As described in the submission system</w:t>
            </w:r>
          </w:p>
        </w:tc>
      </w:tr>
    </w:tbl>
    <w:p>
      <w:pPr>
        <w:spacing w:before="240" w:after="240"/>
        <w:rPr>
          <w:sz w:val="19"/>
          <w:szCs w:val="19"/>
        </w:rPr>
      </w:pPr>
      <w:r>
        <w:rPr>
          <w:sz w:val="19"/>
          <w:szCs w:val="19"/>
        </w:rPr>
        <w:t>This checklist is copyrighted by the Equator Network under the Creative Commons Attribution 3.0 Unported (CC BY 3.0) license.</w:t>
      </w:r>
    </w:p>
    <w:p>
      <w:pPr>
        <w:widowControl w:val="0"/>
        <w:autoSpaceDE w:val="0"/>
        <w:autoSpaceDN w:val="0"/>
        <w:adjustRightInd w:val="0"/>
        <w:spacing w:before="240" w:after="240" w:line="240" w:lineRule="auto"/>
        <w:ind w:left="640" w:hanging="640"/>
        <w:rPr>
          <w:sz w:val="19"/>
          <w:szCs w:val="19"/>
        </w:rPr>
      </w:pPr>
      <w:r>
        <w:rPr>
          <w:sz w:val="19"/>
          <w:szCs w:val="19"/>
        </w:rPr>
        <w:fldChar w:fldCharType="begin" w:fldLock="1"/>
      </w:r>
      <w:r>
        <w:rPr>
          <w:sz w:val="19"/>
          <w:szCs w:val="19"/>
        </w:rPr>
        <w:instrText xml:space="preserve">ADDIN Mendeley Bibliography CSL_BIBLIOGRAPHY </w:instrText>
      </w:r>
      <w:r>
        <w:rPr>
          <w:sz w:val="19"/>
          <w:szCs w:val="19"/>
        </w:rPr>
        <w:fldChar w:fldCharType="separate"/>
      </w:r>
      <w:r>
        <w:rPr>
          <w:sz w:val="19"/>
          <w:szCs w:val="19"/>
        </w:rPr>
        <w:t xml:space="preserve">1. </w:t>
      </w:r>
      <w:r>
        <w:rPr>
          <w:sz w:val="19"/>
          <w:szCs w:val="19"/>
        </w:rPr>
        <w:tab/>
      </w:r>
      <w:r>
        <w:rPr>
          <w:sz w:val="19"/>
          <w:szCs w:val="19"/>
        </w:rPr>
        <w:t xml:space="preserve">Skrivankova VW, Richmond RC, Woolf BAR, Yarmolinsky J, Davies NM, Swanson SA, et al. Strengthening the Reporting of Observational Studies in Epidemiology using Mendelian Randomization (STROBE-MR) Statement. JAMA. 2021;under review. </w:t>
      </w:r>
    </w:p>
    <w:p>
      <w:pPr>
        <w:widowControl w:val="0"/>
        <w:autoSpaceDE w:val="0"/>
        <w:autoSpaceDN w:val="0"/>
        <w:adjustRightInd w:val="0"/>
        <w:spacing w:before="240" w:after="240" w:line="240" w:lineRule="auto"/>
        <w:ind w:left="640" w:hanging="640"/>
        <w:rPr>
          <w:sz w:val="19"/>
          <w:szCs w:val="19"/>
        </w:rPr>
      </w:pPr>
      <w:r>
        <w:rPr>
          <w:sz w:val="19"/>
          <w:szCs w:val="19"/>
        </w:rPr>
        <w:t xml:space="preserve">2. </w:t>
      </w:r>
      <w:r>
        <w:rPr>
          <w:sz w:val="19"/>
          <w:szCs w:val="19"/>
        </w:rPr>
        <w:tab/>
      </w:r>
      <w:r>
        <w:rPr>
          <w:sz w:val="19"/>
          <w:szCs w:val="19"/>
        </w:rPr>
        <w:t xml:space="preserve">Skrivankova VW, Richmond RC, Woolf BAR, Davies NM, Swanson SA, VanderWeele TJ, et al. Strengthening the Reporting of Observational Studies in Epidemiology using Mendelian Randomisation (STROBE-MR): Explanation and Elaboration. BMJ. 2021;375:n2233. </w:t>
      </w:r>
    </w:p>
    <w:p>
      <w:pPr>
        <w:spacing w:before="240" w:after="240"/>
      </w:pPr>
      <w:r>
        <w:rPr>
          <w:sz w:val="19"/>
          <w:szCs w:val="19"/>
        </w:rPr>
        <w:fldChar w:fldCharType="end"/>
      </w:r>
    </w:p>
    <w:sectPr>
      <w:footerReference r:id="rId5" w:type="default"/>
      <w:footerReference r:id="rId6" w:type="even"/>
      <w:pgSz w:w="15840" w:h="12240" w:orient="landscape"/>
      <w:pgMar w:top="1008" w:right="720" w:bottom="1008" w:left="720" w:header="720" w:footer="720" w:gutter="0"/>
      <w:pgNumType w:start="1"/>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fldChar w:fldCharType="begin"/>
    </w:r>
    <w:r>
      <w:instrText xml:space="preserve"> PAGE   \* MERGEFORMAT </w:instrText>
    </w:r>
    <w:r>
      <w:fldChar w:fldCharType="separate"/>
    </w:r>
    <w:r>
      <w:t>1</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uto" w:vAnchor="text" w:hAnchor="margin" w:xAlign="right" w:y="1"/>
      <w:rPr>
        <w:rStyle w:val="5"/>
      </w:rPr>
    </w:pPr>
  </w:p>
  <w:p>
    <w:pPr>
      <w:pStyle w:val="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hYTVhOTI3NjlmNzQzMDA4YWFmNTM5MmY3YzY0N2UifQ=="/>
  </w:docVars>
  <w:rsids>
    <w:rsidRoot w:val="00914C56"/>
    <w:rsid w:val="000A4CE8"/>
    <w:rsid w:val="002663E6"/>
    <w:rsid w:val="003D447D"/>
    <w:rsid w:val="003D47DD"/>
    <w:rsid w:val="004B5CBB"/>
    <w:rsid w:val="004E11D4"/>
    <w:rsid w:val="00514462"/>
    <w:rsid w:val="005520ED"/>
    <w:rsid w:val="005A0D0D"/>
    <w:rsid w:val="00685D31"/>
    <w:rsid w:val="006912BF"/>
    <w:rsid w:val="006A41D0"/>
    <w:rsid w:val="006B08D5"/>
    <w:rsid w:val="00804498"/>
    <w:rsid w:val="00914C56"/>
    <w:rsid w:val="00950729"/>
    <w:rsid w:val="009854A9"/>
    <w:rsid w:val="009E033F"/>
    <w:rsid w:val="00BB6328"/>
    <w:rsid w:val="00D65199"/>
    <w:rsid w:val="00D8098C"/>
    <w:rsid w:val="00ED48A3"/>
    <w:rsid w:val="00EF4B94"/>
    <w:rsid w:val="04386014"/>
    <w:rsid w:val="06AB2C65"/>
    <w:rsid w:val="06BE37CB"/>
    <w:rsid w:val="089620B0"/>
    <w:rsid w:val="094572B1"/>
    <w:rsid w:val="0F9F25CF"/>
    <w:rsid w:val="15CB0FD5"/>
    <w:rsid w:val="1706559C"/>
    <w:rsid w:val="17A93AC2"/>
    <w:rsid w:val="1A46510F"/>
    <w:rsid w:val="216218F8"/>
    <w:rsid w:val="22B10AB2"/>
    <w:rsid w:val="23743CB7"/>
    <w:rsid w:val="23F92D31"/>
    <w:rsid w:val="2A1C726A"/>
    <w:rsid w:val="2B11779A"/>
    <w:rsid w:val="2B275079"/>
    <w:rsid w:val="37BB6514"/>
    <w:rsid w:val="3A635E61"/>
    <w:rsid w:val="3E861007"/>
    <w:rsid w:val="449454ED"/>
    <w:rsid w:val="44E32BCE"/>
    <w:rsid w:val="469431EA"/>
    <w:rsid w:val="48654BCD"/>
    <w:rsid w:val="4F905FB6"/>
    <w:rsid w:val="557B7FDF"/>
    <w:rsid w:val="5A6D0A41"/>
    <w:rsid w:val="5D981253"/>
    <w:rsid w:val="5E115AE2"/>
    <w:rsid w:val="5E526FE2"/>
    <w:rsid w:val="620B69A7"/>
    <w:rsid w:val="658F3FE3"/>
    <w:rsid w:val="6E824FAE"/>
    <w:rsid w:val="71FB592C"/>
    <w:rsid w:val="76043ED0"/>
    <w:rsid w:val="7C18474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qFormat="1"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76" w:lineRule="auto"/>
    </w:pPr>
    <w:rPr>
      <w:rFonts w:ascii="Arial" w:hAnsi="Arial" w:eastAsia="Arial" w:cs="Arial"/>
      <w:sz w:val="22"/>
      <w:szCs w:val="22"/>
      <w:lang w:val="en" w:eastAsia="de-CH"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680"/>
        <w:tab w:val="right" w:pos="9360"/>
      </w:tabs>
      <w:spacing w:line="240" w:lineRule="auto"/>
    </w:pPr>
  </w:style>
  <w:style w:type="character" w:styleId="5">
    <w:name w:val="page number"/>
    <w:basedOn w:val="4"/>
    <w:semiHidden/>
    <w:unhideWhenUsed/>
    <w:qFormat/>
    <w:uiPriority w:val="99"/>
  </w:style>
  <w:style w:type="character" w:styleId="6">
    <w:name w:val="line number"/>
    <w:basedOn w:val="4"/>
    <w:semiHidden/>
    <w:unhideWhenUsed/>
    <w:qFormat/>
    <w:uiPriority w:val="99"/>
  </w:style>
  <w:style w:type="character" w:customStyle="1" w:styleId="7">
    <w:name w:val="Footer Char"/>
    <w:basedOn w:val="4"/>
    <w:link w:val="2"/>
    <w:qFormat/>
    <w:uiPriority w:val="99"/>
    <w:rPr>
      <w:rFonts w:ascii="Arial" w:hAnsi="Arial" w:eastAsia="Arial" w:cs="Arial"/>
      <w:lang w:val="en" w:eastAsia="de-CH"/>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76252F6EC97BD48BFC15397CDF87BCA" ma:contentTypeVersion="14" ma:contentTypeDescription="Ein neues Dokument erstellen." ma:contentTypeScope="" ma:versionID="99bba3a2774fdba6befc8d470ad041a8">
  <xsd:schema xmlns:xsd="http://www.w3.org/2001/XMLSchema" xmlns:xs="http://www.w3.org/2001/XMLSchema" xmlns:p="http://schemas.microsoft.com/office/2006/metadata/properties" xmlns:ns3="892d8916-a04a-483c-b38c-baf9957a1c5f" xmlns:ns4="697eed72-5420-4f01-93c1-7c9f4310e871" targetNamespace="http://schemas.microsoft.com/office/2006/metadata/properties" ma:root="true" ma:fieldsID="08b8b0ba8c484102a3bbe13611225d97" ns3:_="" ns4:_="">
    <xsd:import namespace="892d8916-a04a-483c-b38c-baf9957a1c5f"/>
    <xsd:import namespace="697eed72-5420-4f01-93c1-7c9f4310e8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d8916-a04a-483c-b38c-baf9957a1c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7eed72-5420-4f01-93c1-7c9f4310e871"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B0931C-FCE2-4CC4-80DE-15614B41F1F9}">
  <ds:schemaRefs/>
</ds:datastoreItem>
</file>

<file path=customXml/itemProps2.xml><?xml version="1.0" encoding="utf-8"?>
<ds:datastoreItem xmlns:ds="http://schemas.openxmlformats.org/officeDocument/2006/customXml" ds:itemID="{B7DA32DB-E5B8-4E32-AD11-08F2E668867B}">
  <ds:schemaRefs/>
</ds:datastoreItem>
</file>

<file path=customXml/itemProps3.xml><?xml version="1.0" encoding="utf-8"?>
<ds:datastoreItem xmlns:ds="http://schemas.openxmlformats.org/officeDocument/2006/customXml" ds:itemID="{A9898B61-61B7-44F1-9388-8B27875B1EDA}">
  <ds:schemaRefs/>
</ds:datastoreItem>
</file>

<file path=customXml/itemProps4.xml><?xml version="1.0" encoding="utf-8"?>
<ds:datastoreItem xmlns:ds="http://schemas.openxmlformats.org/officeDocument/2006/customXml" ds:itemID="{5DF20111-77FD-4F18-8E31-D737874646AB}">
  <ds:schemaRefs/>
</ds:datastoreItem>
</file>

<file path=docProps/app.xml><?xml version="1.0" encoding="utf-8"?>
<Properties xmlns="http://schemas.openxmlformats.org/officeDocument/2006/extended-properties" xmlns:vt="http://schemas.openxmlformats.org/officeDocument/2006/docPropsVTypes">
  <Template>Normal.dotm</Template>
  <Company>University of Bern</Company>
  <Pages>5</Pages>
  <Words>1398</Words>
  <Characters>8148</Characters>
  <Lines>286</Lines>
  <Paragraphs>146</Paragraphs>
  <TotalTime>0</TotalTime>
  <ScaleCrop>false</ScaleCrop>
  <LinksUpToDate>false</LinksUpToDate>
  <CharactersWithSpaces>9358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2022-04-07T08:09:00Z</dcterms:created>
  <dc:creator>Whitesell, Veronika (ISPM)</dc:creator>
  <cp:lastModifiedBy>ASUS</cp:lastModifiedBy>
  <cp:lastPrinted>2021-09-28T07:08:00Z</cp:lastPrinted>
  <dcterms:modified xsi:type="dcterms:W3CDTF">2023-02-03T02:15:45Z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0x010100D76252F6EC97BD48BFC15397CDF87BCA</vt:lpwstr>
  </property>
  <property fmtid="{D5CDD505-2E9C-101B-9397-08002B2CF9AE}" pid="3" name="Mendeley Document_1">
    <vt:lpwstr>True</vt:lpwstr>
  </property>
  <property fmtid="{D5CDD505-2E9C-101B-9397-08002B2CF9AE}" pid="4" name="Mendeley Unique User Id_1">
    <vt:lpwstr>54eed440-5ecd-3ecc-9960-859334ccb0da</vt:lpwstr>
  </property>
  <property fmtid="{D5CDD505-2E9C-101B-9397-08002B2CF9AE}" pid="5" name="Mendeley Citation Style_1">
    <vt:lpwstr>http://www.zotero.org/styles/vancouver-superscript</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http://www.zotero.org/styles/vancouver-imperial-college-london</vt:lpwstr>
  </property>
  <property fmtid="{D5CDD505-2E9C-101B-9397-08002B2CF9AE}" pid="21" name="Mendeley Recent Style Name 7_1">
    <vt:lpwstr>Imperial College London - Vancouver</vt:lpwstr>
  </property>
  <property fmtid="{D5CDD505-2E9C-101B-9397-08002B2CF9AE}" pid="22" name="Mendeley Recent Style Id 8_1">
    <vt:lpwstr>http://www.zotero.org/styles/vancouver</vt:lpwstr>
  </property>
  <property fmtid="{D5CDD505-2E9C-101B-9397-08002B2CF9AE}" pid="23" name="Mendeley Recent Style Name 8_1">
    <vt:lpwstr>Vancouver</vt:lpwstr>
  </property>
  <property fmtid="{D5CDD505-2E9C-101B-9397-08002B2CF9AE}" pid="24" name="Mendeley Recent Style Id 9_1">
    <vt:lpwstr>http://www.zotero.org/styles/vancouver-superscript</vt:lpwstr>
  </property>
  <property fmtid="{D5CDD505-2E9C-101B-9397-08002B2CF9AE}" pid="25" name="Mendeley Recent Style Name 9_1">
    <vt:lpwstr>Vancouver (superscript)</vt:lpwstr>
  </property>
  <property fmtid="{D5CDD505-2E9C-101B-9397-08002B2CF9AE}" pid="26" name="KSOProductBuildVer">
    <vt:lpwstr>2052-11.1.0.13703</vt:lpwstr>
  </property>
  <property fmtid="{D5CDD505-2E9C-101B-9397-08002B2CF9AE}" pid="27" name="ICV">
    <vt:lpwstr>22015EB5C1ED4911A76BCD0A2CC72417</vt:lpwstr>
  </property>
</Properties>
</file>