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07D1" w14:textId="73F61410" w:rsidR="00013E79" w:rsidRPr="00013E79" w:rsidRDefault="00013E79" w:rsidP="00013E79">
      <w:pPr>
        <w:rPr>
          <w:rFonts w:ascii="RomanBlackRegular" w:hAnsi="RomanBlackRegular"/>
          <w:b/>
          <w:sz w:val="20"/>
          <w:szCs w:val="20"/>
        </w:rPr>
      </w:pPr>
      <w:r w:rsidRPr="00013E79">
        <w:rPr>
          <w:rFonts w:ascii="RomanBlackRegular" w:hAnsi="RomanBlackRegular"/>
          <w:b/>
          <w:sz w:val="20"/>
          <w:szCs w:val="20"/>
        </w:rPr>
        <w:t>Table S3  Content of the first 20 genera</w:t>
      </w:r>
      <w:r>
        <w:rPr>
          <w:rFonts w:ascii="RomanBlackRegular" w:hAnsi="RomanBlackRegular"/>
          <w:b/>
          <w:sz w:val="20"/>
          <w:szCs w:val="20"/>
        </w:rPr>
        <w:t xml:space="preserve"> </w:t>
      </w:r>
      <w:r w:rsidRPr="00013E79">
        <w:rPr>
          <w:rFonts w:ascii="RomanBlackRegular" w:hAnsi="RomanBlackRegular"/>
          <w:b/>
          <w:sz w:val="20"/>
          <w:szCs w:val="20"/>
        </w:rPr>
        <w:t>of male and female mealybugs</w:t>
      </w:r>
    </w:p>
    <w:tbl>
      <w:tblPr>
        <w:tblW w:w="5320" w:type="dxa"/>
        <w:tblInd w:w="93" w:type="dxa"/>
        <w:tblLook w:val="0000" w:firstRow="0" w:lastRow="0" w:firstColumn="0" w:lastColumn="0" w:noHBand="0" w:noVBand="0"/>
      </w:tblPr>
      <w:tblGrid>
        <w:gridCol w:w="2308"/>
        <w:gridCol w:w="1372"/>
        <w:gridCol w:w="2308"/>
        <w:gridCol w:w="1372"/>
      </w:tblGrid>
      <w:tr w:rsidR="00013E79" w:rsidRPr="00013E79" w14:paraId="0E1395BE" w14:textId="77777777" w:rsidTr="00D35961">
        <w:trPr>
          <w:trHeight w:val="315"/>
        </w:trPr>
        <w:tc>
          <w:tcPr>
            <w:tcW w:w="266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D77C539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RANGE!A1"/>
            <w:r w:rsidRPr="00013E79">
              <w:rPr>
                <w:rFonts w:ascii="RomanBlackRegular" w:hAnsi="RomanBlackRegular"/>
                <w:b/>
                <w:bCs/>
                <w:color w:val="000000"/>
                <w:kern w:val="0"/>
                <w:sz w:val="20"/>
                <w:szCs w:val="20"/>
              </w:rPr>
              <w:t>Male mealybug</w:t>
            </w:r>
            <w:bookmarkEnd w:id="0"/>
          </w:p>
        </w:tc>
        <w:tc>
          <w:tcPr>
            <w:tcW w:w="266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6D615E9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b/>
                <w:b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b/>
                <w:bCs/>
                <w:color w:val="000000"/>
                <w:kern w:val="0"/>
                <w:sz w:val="20"/>
                <w:szCs w:val="20"/>
              </w:rPr>
              <w:t>Female mealybug</w:t>
            </w:r>
          </w:p>
        </w:tc>
      </w:tr>
      <w:tr w:rsidR="00013E79" w:rsidRPr="00013E79" w14:paraId="42011FEB" w14:textId="77777777" w:rsidTr="00D3596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0644483" w14:textId="63187411" w:rsidR="00013E79" w:rsidRPr="00013E79" w:rsidRDefault="00013E79" w:rsidP="00013E79">
            <w:pPr>
              <w:widowControl/>
              <w:jc w:val="center"/>
              <w:rPr>
                <w:rFonts w:ascii="RomanBlackRegular" w:hAnsi="RomanBlackRegular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RomanBlackRegular" w:hAnsi="RomanBlackRegular" w:hint="eastAsia"/>
                <w:b/>
                <w:bCs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RomanBlackRegular" w:hAnsi="RomanBlackRegular"/>
                <w:b/>
                <w:bCs/>
                <w:color w:val="000000"/>
                <w:kern w:val="0"/>
                <w:sz w:val="20"/>
                <w:szCs w:val="20"/>
              </w:rPr>
              <w:t>enera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41A508B1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b/>
                <w:b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b/>
                <w:bCs/>
                <w:color w:val="000000"/>
                <w:kern w:val="0"/>
                <w:sz w:val="20"/>
                <w:szCs w:val="20"/>
              </w:rPr>
              <w:t>percentage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734B437E" w14:textId="2C40AAF3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RomanBlackRegular" w:hAnsi="RomanBlackRegular"/>
                <w:b/>
                <w:bCs/>
                <w:color w:val="000000"/>
                <w:kern w:val="0"/>
                <w:sz w:val="20"/>
                <w:szCs w:val="20"/>
              </w:rPr>
              <w:t>genera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96926C5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b/>
                <w:b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b/>
                <w:bCs/>
                <w:color w:val="000000"/>
                <w:kern w:val="0"/>
                <w:sz w:val="20"/>
                <w:szCs w:val="20"/>
              </w:rPr>
              <w:t>percentage</w:t>
            </w:r>
          </w:p>
        </w:tc>
      </w:tr>
      <w:tr w:rsidR="00013E79" w:rsidRPr="00013E79" w14:paraId="32945321" w14:textId="77777777" w:rsidTr="00D35961">
        <w:trPr>
          <w:trHeight w:val="285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257BB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Acinetobacter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C8735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84.39%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BFA23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Acinetobacter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7CA2F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71.85%</w:t>
            </w:r>
          </w:p>
        </w:tc>
      </w:tr>
      <w:tr w:rsidR="00013E79" w:rsidRPr="00013E79" w14:paraId="34AC8FE8" w14:textId="77777777" w:rsidTr="00D35961">
        <w:trPr>
          <w:trHeight w:val="285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5DBBF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Pseudomonas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C2885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9.13%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B5328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Pseudomonas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1DB08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11.14%</w:t>
            </w:r>
          </w:p>
        </w:tc>
      </w:tr>
      <w:tr w:rsidR="00013E79" w:rsidRPr="00013E79" w14:paraId="0F42DD5B" w14:textId="77777777" w:rsidTr="00D35961">
        <w:trPr>
          <w:trHeight w:val="285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9947E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Limnobacter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27E1C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0.57%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CFE4C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Escherichia/Shigella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4627B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2.81%</w:t>
            </w:r>
          </w:p>
        </w:tc>
      </w:tr>
      <w:tr w:rsidR="00013E79" w:rsidRPr="00013E79" w14:paraId="0C46C1FA" w14:textId="77777777" w:rsidTr="00D35961">
        <w:trPr>
          <w:trHeight w:val="285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2B4BE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Aminobacter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C97D8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0.38%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A037F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Chryseobacterium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50AA8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1.11%</w:t>
            </w:r>
          </w:p>
        </w:tc>
      </w:tr>
      <w:tr w:rsidR="00013E79" w:rsidRPr="00013E79" w14:paraId="432D9D1D" w14:textId="77777777" w:rsidTr="00D35961">
        <w:trPr>
          <w:trHeight w:val="285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C395D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Bradyrhizobium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15856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0.32%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6B3E2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Brucella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FBA5F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0.98%</w:t>
            </w:r>
          </w:p>
        </w:tc>
      </w:tr>
      <w:tr w:rsidR="00013E79" w:rsidRPr="00013E79" w14:paraId="7183B45B" w14:textId="77777777" w:rsidTr="00D35961">
        <w:trPr>
          <w:trHeight w:val="285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129C4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Sphingomonas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C21F1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0.26%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ED6F1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Sphingobacterium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8C4D4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0.98%</w:t>
            </w:r>
          </w:p>
        </w:tc>
      </w:tr>
      <w:tr w:rsidR="00013E79" w:rsidRPr="00013E79" w14:paraId="17D0EF09" w14:textId="77777777" w:rsidTr="00D35961">
        <w:trPr>
          <w:trHeight w:val="285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B01DD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Methylophilus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37067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0.25%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BCF39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Bradyrhizobium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99334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0.66%</w:t>
            </w:r>
          </w:p>
        </w:tc>
      </w:tr>
      <w:tr w:rsidR="00013E79" w:rsidRPr="00013E79" w14:paraId="119D0BF6" w14:textId="77777777" w:rsidTr="00D35961">
        <w:trPr>
          <w:trHeight w:val="285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EE823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Brevundimonas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C6593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0.24%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19098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Brevundimonas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4E90B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0.66%</w:t>
            </w:r>
          </w:p>
        </w:tc>
      </w:tr>
      <w:tr w:rsidR="00013E79" w:rsidRPr="00013E79" w14:paraId="0DB97230" w14:textId="77777777" w:rsidTr="00D35961">
        <w:trPr>
          <w:trHeight w:val="285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0A259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Brucella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12332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0.24%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02077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Aminobacter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A2CE7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0.50%</w:t>
            </w:r>
          </w:p>
        </w:tc>
      </w:tr>
      <w:tr w:rsidR="00013E79" w:rsidRPr="00013E79" w14:paraId="42871A92" w14:textId="77777777" w:rsidTr="00D35961">
        <w:trPr>
          <w:trHeight w:val="285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E4DDE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Brevibacterium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DFA7E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0.22%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F7A22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Sphingomonas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D3354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0.48%</w:t>
            </w:r>
          </w:p>
        </w:tc>
      </w:tr>
      <w:tr w:rsidR="00013E79" w:rsidRPr="00013E79" w14:paraId="3F325585" w14:textId="77777777" w:rsidTr="00D35961">
        <w:trPr>
          <w:trHeight w:val="285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33305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Methylobacterium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93ACD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0.19%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1D192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Brevibacterium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194B3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0.47%</w:t>
            </w:r>
          </w:p>
        </w:tc>
      </w:tr>
      <w:tr w:rsidR="00013E79" w:rsidRPr="00013E79" w14:paraId="45082CAE" w14:textId="77777777" w:rsidTr="00D35961">
        <w:trPr>
          <w:trHeight w:val="285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79587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Escherichia/Shigella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01717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0.18%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285ED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Flavobacterium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8B442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0.46%</w:t>
            </w:r>
          </w:p>
        </w:tc>
      </w:tr>
      <w:tr w:rsidR="00013E79" w:rsidRPr="00013E79" w14:paraId="4DB2A4ED" w14:textId="77777777" w:rsidTr="00D35961">
        <w:trPr>
          <w:trHeight w:val="285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6EDD8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Anoxybacillus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F611E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0.17%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D9A16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Lactobacillus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CFDD5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0.41%</w:t>
            </w:r>
          </w:p>
        </w:tc>
      </w:tr>
      <w:tr w:rsidR="00013E79" w:rsidRPr="00013E79" w14:paraId="143FF674" w14:textId="77777777" w:rsidTr="00D35961">
        <w:trPr>
          <w:trHeight w:val="285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DFC0D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Aerococcus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B6466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0.15%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7898E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Limnobacter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4C0A9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0.41%</w:t>
            </w:r>
          </w:p>
        </w:tc>
      </w:tr>
      <w:tr w:rsidR="00013E79" w:rsidRPr="00013E79" w14:paraId="52ACCB0B" w14:textId="77777777" w:rsidTr="00D35961">
        <w:trPr>
          <w:trHeight w:val="285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E788F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Rhizobium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3FD8A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0.09%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246B7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Ruminococcus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F9B11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0.41%</w:t>
            </w:r>
          </w:p>
        </w:tc>
      </w:tr>
      <w:tr w:rsidR="00013E79" w:rsidRPr="00013E79" w14:paraId="74F827B8" w14:textId="77777777" w:rsidTr="00D35961">
        <w:trPr>
          <w:trHeight w:val="285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6462E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Corynebacterium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F1CBE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0.08%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E6A2E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Parasutterella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C59A7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0.33%</w:t>
            </w:r>
          </w:p>
        </w:tc>
      </w:tr>
      <w:tr w:rsidR="00013E79" w:rsidRPr="00013E79" w14:paraId="3A2BE9DE" w14:textId="77777777" w:rsidTr="00D35961">
        <w:trPr>
          <w:trHeight w:val="285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8A5B1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Hydrocarboniphaga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96E37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0.07%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5F1A5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Rhizobium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43397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0.33%</w:t>
            </w:r>
          </w:p>
        </w:tc>
      </w:tr>
      <w:tr w:rsidR="00013E79" w:rsidRPr="00013E79" w14:paraId="734D229E" w14:textId="77777777" w:rsidTr="00D35961">
        <w:trPr>
          <w:trHeight w:val="285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7C476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Lactobacillus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8C267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0.07%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6B398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Deinococcus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4C7AD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0.31%</w:t>
            </w:r>
          </w:p>
        </w:tc>
      </w:tr>
      <w:tr w:rsidR="00013E79" w:rsidRPr="00013E79" w14:paraId="42E00FB0" w14:textId="77777777" w:rsidTr="00D35961">
        <w:trPr>
          <w:trHeight w:val="285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60161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Rhodococcus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FDB5A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0.06%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EE1F1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Pseudochrobactrum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E90A7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0.27%</w:t>
            </w:r>
          </w:p>
        </w:tc>
      </w:tr>
      <w:tr w:rsidR="00013E79" w:rsidRPr="00013E79" w14:paraId="05EDDC57" w14:textId="77777777" w:rsidTr="00D3596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28C6B58B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Propionibacterium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A2F70D5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0.05%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9088554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i/>
                <w:iCs/>
                <w:color w:val="000000"/>
                <w:kern w:val="0"/>
                <w:sz w:val="20"/>
                <w:szCs w:val="20"/>
              </w:rPr>
              <w:t>Victivallis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6EFBB37" w14:textId="77777777" w:rsidR="00013E79" w:rsidRPr="00013E79" w:rsidRDefault="00013E79" w:rsidP="00D35961">
            <w:pPr>
              <w:widowControl/>
              <w:jc w:val="center"/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</w:pPr>
            <w:r w:rsidRPr="00013E79">
              <w:rPr>
                <w:rFonts w:ascii="RomanBlackRegular" w:hAnsi="RomanBlackRegular"/>
                <w:color w:val="000000"/>
                <w:kern w:val="0"/>
                <w:sz w:val="20"/>
                <w:szCs w:val="20"/>
              </w:rPr>
              <w:t>0.26%</w:t>
            </w:r>
          </w:p>
        </w:tc>
      </w:tr>
    </w:tbl>
    <w:p w14:paraId="112AA14B" w14:textId="77777777" w:rsidR="00013E79" w:rsidRPr="00013E79" w:rsidRDefault="00013E79" w:rsidP="00013E79">
      <w:pPr>
        <w:rPr>
          <w:rFonts w:ascii="RomanBlackRegular" w:hAnsi="RomanBlackRegular"/>
        </w:rPr>
      </w:pPr>
    </w:p>
    <w:p w14:paraId="2B7A69C1" w14:textId="77777777" w:rsidR="00013E79" w:rsidRPr="00013E79" w:rsidRDefault="00013E79" w:rsidP="00013E79">
      <w:pPr>
        <w:rPr>
          <w:rFonts w:ascii="RomanBlackRegular" w:hAnsi="RomanBlackRegular"/>
        </w:rPr>
      </w:pPr>
    </w:p>
    <w:p w14:paraId="1237CABC" w14:textId="77777777" w:rsidR="00013E79" w:rsidRPr="00013E79" w:rsidRDefault="00013E79" w:rsidP="00013E79">
      <w:pPr>
        <w:rPr>
          <w:rFonts w:ascii="RomanBlackRegular" w:hAnsi="RomanBlackRegular"/>
        </w:rPr>
      </w:pPr>
    </w:p>
    <w:p w14:paraId="01695BED" w14:textId="77777777" w:rsidR="00013E79" w:rsidRPr="00013E79" w:rsidRDefault="00013E79" w:rsidP="00013E79">
      <w:pPr>
        <w:rPr>
          <w:rFonts w:ascii="RomanBlackRegular" w:hAnsi="RomanBlackRegular"/>
        </w:rPr>
      </w:pPr>
    </w:p>
    <w:p w14:paraId="79675564" w14:textId="77777777" w:rsidR="006605A4" w:rsidRPr="00013E79" w:rsidRDefault="006605A4">
      <w:pPr>
        <w:rPr>
          <w:rFonts w:ascii="RomanBlackRegular" w:hAnsi="RomanBlackRegular"/>
        </w:rPr>
      </w:pPr>
    </w:p>
    <w:sectPr w:rsidR="006605A4" w:rsidRPr="00013E79" w:rsidSect="00013E79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manBlack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rO0NDY0MrQAspV0lIJTi4sz8/NACgxrAQ5VtZosAAAA"/>
  </w:docVars>
  <w:rsids>
    <w:rsidRoot w:val="00013E79"/>
    <w:rsid w:val="00013E79"/>
    <w:rsid w:val="0066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6DAC"/>
  <w15:chartTrackingRefBased/>
  <w15:docId w15:val="{9B85D4C9-90FB-42C5-8D3F-3CE9CFCA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>中国石油大学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yongming ruan</dc:creator>
  <cp:keywords/>
  <dc:description/>
  <cp:lastModifiedBy>yongming ruan</cp:lastModifiedBy>
  <cp:revision>1</cp:revision>
  <dcterms:created xsi:type="dcterms:W3CDTF">2023-04-20T04:03:00Z</dcterms:created>
  <dcterms:modified xsi:type="dcterms:W3CDTF">2023-04-20T04:06:00Z</dcterms:modified>
</cp:coreProperties>
</file>