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792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3544"/>
        <w:gridCol w:w="1134"/>
        <w:gridCol w:w="1134"/>
        <w:gridCol w:w="2352"/>
        <w:gridCol w:w="2352"/>
      </w:tblGrid>
      <w:tr w:rsidR="001F1E0F" w:rsidRPr="00682726" w14:paraId="5EDB78B2" w14:textId="3FFFFF8D" w:rsidTr="00236C9C">
        <w:trPr>
          <w:trHeight w:val="276"/>
          <w:jc w:val="center"/>
        </w:trPr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69F45" w14:textId="77777777" w:rsidR="001F1E0F" w:rsidRPr="00682726" w:rsidRDefault="001F1E0F" w:rsidP="009F6719">
            <w:pPr>
              <w:jc w:val="center"/>
              <w:rPr>
                <w:b/>
                <w:bCs/>
                <w:lang w:bidi="en-US"/>
              </w:rPr>
            </w:pPr>
            <w:r w:rsidRPr="00682726">
              <w:rPr>
                <w:b/>
                <w:bCs/>
                <w:lang w:bidi="en-US"/>
              </w:rPr>
              <w:t>Indicators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90345" w14:textId="77777777" w:rsidR="001F1E0F" w:rsidRPr="00682726" w:rsidRDefault="001F1E0F" w:rsidP="009F6719">
            <w:pPr>
              <w:jc w:val="center"/>
              <w:rPr>
                <w:b/>
                <w:bCs/>
                <w:lang w:bidi="en-US"/>
              </w:rPr>
            </w:pPr>
            <w:r w:rsidRPr="00682726">
              <w:rPr>
                <w:b/>
                <w:bCs/>
                <w:lang w:bidi="en-US"/>
              </w:rPr>
              <w:t>Methodology and reference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370577" w14:textId="11A1EEC8" w:rsidR="001F1E0F" w:rsidRPr="00682726" w:rsidRDefault="001F1E0F" w:rsidP="001F1E0F">
            <w:pPr>
              <w:jc w:val="center"/>
              <w:rPr>
                <w:b/>
                <w:bCs/>
                <w:lang w:bidi="en-US"/>
              </w:rPr>
            </w:pPr>
            <w:r w:rsidRPr="001F1E0F">
              <w:rPr>
                <w:b/>
                <w:bCs/>
                <w:lang w:bidi="en-US"/>
              </w:rPr>
              <w:t xml:space="preserve">Specific </w:t>
            </w:r>
            <w:r w:rsidR="008B2D98">
              <w:rPr>
                <w:b/>
                <w:bCs/>
                <w:lang w:bidi="en-US"/>
              </w:rPr>
              <w:t>factor</w:t>
            </w:r>
            <w:r>
              <w:rPr>
                <w:b/>
                <w:bCs/>
                <w:lang w:bidi="en-US"/>
              </w:rPr>
              <w:t>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F2271" w14:textId="7F6F770C" w:rsidR="001F1E0F" w:rsidRPr="00682726" w:rsidRDefault="001F1E0F" w:rsidP="009F6719">
            <w:pPr>
              <w:jc w:val="center"/>
              <w:rPr>
                <w:b/>
                <w:bCs/>
                <w:lang w:bidi="en-US"/>
              </w:rPr>
            </w:pPr>
            <w:r w:rsidRPr="00682726">
              <w:rPr>
                <w:b/>
                <w:bCs/>
                <w:lang w:bidi="en-US"/>
              </w:rPr>
              <w:t>Weights</w:t>
            </w:r>
          </w:p>
        </w:tc>
        <w:tc>
          <w:tcPr>
            <w:tcW w:w="23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389219E" w14:textId="77777777" w:rsidR="001F1E0F" w:rsidRPr="00682726" w:rsidRDefault="001F1E0F" w:rsidP="009F6719">
            <w:pPr>
              <w:jc w:val="center"/>
              <w:rPr>
                <w:b/>
                <w:bCs/>
                <w:lang w:bidi="en-US"/>
              </w:rPr>
            </w:pPr>
            <w:r w:rsidRPr="00682726">
              <w:rPr>
                <w:b/>
                <w:bCs/>
                <w:lang w:bidi="en-US"/>
              </w:rPr>
              <w:t>Calculation process</w:t>
            </w:r>
          </w:p>
        </w:tc>
        <w:tc>
          <w:tcPr>
            <w:tcW w:w="23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FB93DF" w14:textId="0F857A8B" w:rsidR="001F1E0F" w:rsidRPr="007F5431" w:rsidRDefault="001F1E0F" w:rsidP="00157808">
            <w:pPr>
              <w:jc w:val="center"/>
              <w:rPr>
                <w:b/>
                <w:bCs/>
                <w:lang w:bidi="en-US"/>
              </w:rPr>
            </w:pPr>
            <w:r w:rsidRPr="007F5431">
              <w:rPr>
                <w:b/>
                <w:bCs/>
                <w:lang w:bidi="en-US"/>
              </w:rPr>
              <w:t>Data source</w:t>
            </w:r>
          </w:p>
        </w:tc>
      </w:tr>
      <w:tr w:rsidR="001F1E0F" w:rsidRPr="00682726" w14:paraId="34A3EDE3" w14:textId="0064AF14" w:rsidTr="00236C9C">
        <w:trPr>
          <w:trHeight w:val="276"/>
          <w:jc w:val="center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23DC0" w14:textId="77777777" w:rsidR="001F1E0F" w:rsidRPr="00682726" w:rsidRDefault="001F1E0F" w:rsidP="009F6719">
            <w:pPr>
              <w:jc w:val="center"/>
              <w:rPr>
                <w:lang w:bidi="en-US"/>
              </w:rPr>
            </w:pPr>
            <w:r w:rsidRPr="00682726">
              <w:rPr>
                <w:lang w:bidi="en-US"/>
              </w:rPr>
              <w:t>Resistance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7B69B" w14:textId="1BDAD876" w:rsidR="001F1E0F" w:rsidRPr="00682726" w:rsidRDefault="00845120" w:rsidP="00BB5345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S</w:t>
            </w:r>
            <w:r w:rsidR="001F1E0F" w:rsidRPr="00682726">
              <w:rPr>
                <w:lang w:bidi="en-US"/>
              </w:rPr>
              <w:t>elect</w:t>
            </w:r>
            <w:r>
              <w:rPr>
                <w:lang w:bidi="en-US"/>
              </w:rPr>
              <w:t>ing</w:t>
            </w:r>
            <w:r w:rsidR="001F1E0F" w:rsidRPr="00682726">
              <w:rPr>
                <w:lang w:bidi="en-US"/>
              </w:rPr>
              <w:t xml:space="preserve"> the regulating ecosystem values such as climate regulation, gas regulation, Water Resources Conservation, soil formation and protection, and waste treatment from multi-media such as water, soil, and gas, which constitute the ecosystem resistance, and characterizes the strength of urban ecosystem resistance through ecosystem service values</w:t>
            </w:r>
            <w:r w:rsidR="001F1E0F">
              <w:rPr>
                <w:lang w:bidi="en-US"/>
              </w:rPr>
              <w:t xml:space="preserve"> </w:t>
            </w:r>
            <w:r w:rsidR="001F1E0F" w:rsidRPr="00551D9D">
              <w:rPr>
                <w:lang w:bidi="en-US"/>
              </w:rPr>
              <w:t>(</w:t>
            </w:r>
            <w:proofErr w:type="spellStart"/>
            <w:r w:rsidR="001F1E0F" w:rsidRPr="00551D9D">
              <w:rPr>
                <w:lang w:bidi="en-US"/>
              </w:rPr>
              <w:t>Xie</w:t>
            </w:r>
            <w:proofErr w:type="spellEnd"/>
            <w:r w:rsidR="001F1E0F" w:rsidRPr="00551D9D">
              <w:rPr>
                <w:lang w:bidi="en-US"/>
              </w:rPr>
              <w:t xml:space="preserve"> et al. 2005; </w:t>
            </w:r>
            <w:r w:rsidR="001F1E0F">
              <w:rPr>
                <w:lang w:bidi="en-US"/>
              </w:rPr>
              <w:t>Costanza</w:t>
            </w:r>
            <w:r w:rsidR="001F1E0F" w:rsidRPr="00551D9D">
              <w:rPr>
                <w:lang w:bidi="en-US"/>
              </w:rPr>
              <w:t xml:space="preserve"> et al. </w:t>
            </w:r>
            <w:r w:rsidR="001F1E0F">
              <w:rPr>
                <w:lang w:bidi="en-US"/>
              </w:rPr>
              <w:t>1997</w:t>
            </w:r>
            <w:r w:rsidR="001F1E0F" w:rsidRPr="00551D9D">
              <w:rPr>
                <w:lang w:bidi="en-US"/>
              </w:rPr>
              <w:t>).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CDB060" w14:textId="135C28EC" w:rsidR="001F1E0F" w:rsidRPr="00682726" w:rsidRDefault="001F1E0F" w:rsidP="001F1E0F"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E</w:t>
            </w:r>
            <w:r>
              <w:rPr>
                <w:lang w:bidi="en-US"/>
              </w:rPr>
              <w:t>SV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53992" w14:textId="43D98B9C" w:rsidR="001F1E0F" w:rsidRPr="00682726" w:rsidRDefault="001F1E0F" w:rsidP="009F6719">
            <w:pPr>
              <w:jc w:val="center"/>
              <w:rPr>
                <w:lang w:bidi="en-US"/>
              </w:rPr>
            </w:pPr>
            <w:r w:rsidRPr="00682726">
              <w:rPr>
                <w:rFonts w:hint="eastAsia"/>
                <w:lang w:bidi="en-US"/>
              </w:rPr>
              <w:t>0.3705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E40AC" w14:textId="10686EBB" w:rsidR="001F1E0F" w:rsidRPr="00682726" w:rsidRDefault="001F1E0F" w:rsidP="00BB5345">
            <w:pPr>
              <w:jc w:val="center"/>
              <w:rPr>
                <w:lang w:bidi="en-US"/>
              </w:rPr>
            </w:pPr>
            <w:r w:rsidRPr="00682726">
              <w:rPr>
                <w:lang w:bidi="en-US"/>
              </w:rPr>
              <w:t xml:space="preserve">Calculation of ecosystem service values based on the "biomass factors of farmland ecosystems in different provinces of China" developed by </w:t>
            </w:r>
            <w:proofErr w:type="spellStart"/>
            <w:r w:rsidRPr="00682726">
              <w:rPr>
                <w:lang w:bidi="en-US"/>
              </w:rPr>
              <w:t>Xie</w:t>
            </w:r>
            <w:proofErr w:type="spellEnd"/>
            <w:r w:rsidRPr="00682726">
              <w:rPr>
                <w:lang w:bidi="en-US"/>
              </w:rPr>
              <w:t>.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19D364F" w14:textId="200B8529" w:rsidR="001F1E0F" w:rsidRPr="00682726" w:rsidRDefault="001F1E0F" w:rsidP="007F5431">
            <w:pPr>
              <w:jc w:val="center"/>
              <w:rPr>
                <w:lang w:bidi="en-US"/>
              </w:rPr>
            </w:pPr>
            <w:r w:rsidRPr="007F5431">
              <w:rPr>
                <w:lang w:bidi="en-US"/>
              </w:rPr>
              <w:t>The 1000m×1000m resolution land use maps from the Resource and Environmental Science and Data Center and Earth System Science Data</w:t>
            </w:r>
            <w:r w:rsidR="007B7E6F">
              <w:rPr>
                <w:lang w:bidi="en-US"/>
              </w:rPr>
              <w:t xml:space="preserve"> </w:t>
            </w:r>
            <w:r w:rsidRPr="007F5431">
              <w:rPr>
                <w:lang w:bidi="en-US"/>
              </w:rPr>
              <w:t>(2005-2020).</w:t>
            </w:r>
          </w:p>
        </w:tc>
      </w:tr>
      <w:tr w:rsidR="001F1E0F" w:rsidRPr="00682726" w14:paraId="2D86E3EA" w14:textId="77393656" w:rsidTr="00236C9C">
        <w:trPr>
          <w:trHeight w:val="1248"/>
          <w:jc w:val="center"/>
        </w:trPr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9EA6B" w14:textId="77777777" w:rsidR="001F1E0F" w:rsidRPr="00682726" w:rsidRDefault="001F1E0F" w:rsidP="009F6719">
            <w:pPr>
              <w:jc w:val="center"/>
              <w:rPr>
                <w:lang w:bidi="en-US"/>
              </w:rPr>
            </w:pPr>
            <w:r w:rsidRPr="00682726">
              <w:rPr>
                <w:lang w:bidi="en-US"/>
              </w:rPr>
              <w:t>Adaptability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2D341" w14:textId="1EFCF552" w:rsidR="001F1E0F" w:rsidRPr="00682726" w:rsidRDefault="001856E4" w:rsidP="00BB5345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T</w:t>
            </w:r>
            <w:r w:rsidR="001F1E0F" w:rsidRPr="00682726">
              <w:rPr>
                <w:lang w:bidi="en-US"/>
              </w:rPr>
              <w:t>ak</w:t>
            </w:r>
            <w:r>
              <w:rPr>
                <w:lang w:bidi="en-US"/>
              </w:rPr>
              <w:t>ing</w:t>
            </w:r>
            <w:r w:rsidR="001F1E0F" w:rsidRPr="00682726">
              <w:rPr>
                <w:lang w:bidi="en-US"/>
              </w:rPr>
              <w:t xml:space="preserve"> the landscape structural stability of ecosystems to express their </w:t>
            </w:r>
            <w:r w:rsidR="001F1E0F">
              <w:rPr>
                <w:lang w:bidi="en-US"/>
              </w:rPr>
              <w:t>a</w:t>
            </w:r>
            <w:r w:rsidR="001F1E0F" w:rsidRPr="007F5431">
              <w:rPr>
                <w:lang w:bidi="en-US"/>
              </w:rPr>
              <w:t>daptability</w:t>
            </w:r>
            <w:r w:rsidR="001F1E0F" w:rsidRPr="00682726">
              <w:rPr>
                <w:lang w:bidi="en-US"/>
              </w:rPr>
              <w:t>. Ecosystem structural stability is dependent on the stability of pattern organization in the landscape that is related to spatial heterogeneity and connectivity</w:t>
            </w:r>
            <w:r w:rsidR="001F1E0F" w:rsidRPr="000E563D">
              <w:rPr>
                <w:lang w:bidi="en-US"/>
              </w:rPr>
              <w:t xml:space="preserve"> (Peterson et al. 2002; Turner et al. 1989; Peng et al. 2007).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667F7511" w14:textId="5168E8C0" w:rsidR="001F1E0F" w:rsidRPr="00682726" w:rsidRDefault="001F1E0F" w:rsidP="001F1E0F">
            <w:pPr>
              <w:jc w:val="center"/>
              <w:rPr>
                <w:lang w:bidi="en-US"/>
              </w:rPr>
            </w:pPr>
            <w:r>
              <w:rPr>
                <w:rFonts w:hint="eastAsia"/>
              </w:rPr>
              <w:t>La</w:t>
            </w:r>
            <w:r>
              <w:t xml:space="preserve">ndscape pattern </w:t>
            </w:r>
            <w:r w:rsidR="001856E4" w:rsidRPr="001856E4">
              <w:t>indices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F29ED" w14:textId="6CF3F809" w:rsidR="001F1E0F" w:rsidRPr="00682726" w:rsidRDefault="001F1E0F" w:rsidP="009F6719">
            <w:pPr>
              <w:jc w:val="center"/>
              <w:rPr>
                <w:lang w:bidi="en-US"/>
              </w:rPr>
            </w:pPr>
            <w:r w:rsidRPr="00682726">
              <w:rPr>
                <w:rFonts w:hint="eastAsia"/>
                <w:lang w:bidi="en-US"/>
              </w:rPr>
              <w:t>0.3309</w:t>
            </w:r>
          </w:p>
        </w:tc>
        <w:tc>
          <w:tcPr>
            <w:tcW w:w="23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81D40" w14:textId="3D1A1633" w:rsidR="001F1E0F" w:rsidRPr="00682726" w:rsidRDefault="001F1E0F" w:rsidP="00BB5345">
            <w:pPr>
              <w:jc w:val="center"/>
              <w:rPr>
                <w:lang w:bidi="en-US"/>
              </w:rPr>
            </w:pPr>
            <w:r w:rsidRPr="00682726">
              <w:rPr>
                <w:lang w:bidi="en-US"/>
              </w:rPr>
              <w:t xml:space="preserve">Landscape pattern indices such as the Shannon diversity index, area-weighted average patch fractal dimension, and landscape fragmentation were calculated by </w:t>
            </w:r>
            <w:proofErr w:type="spellStart"/>
            <w:r w:rsidRPr="00682726">
              <w:rPr>
                <w:lang w:bidi="en-US"/>
              </w:rPr>
              <w:t>Fragstats</w:t>
            </w:r>
            <w:proofErr w:type="spellEnd"/>
            <w:r w:rsidRPr="00682726">
              <w:rPr>
                <w:lang w:bidi="en-US"/>
              </w:rPr>
              <w:t xml:space="preserve"> 4.0</w:t>
            </w:r>
            <w:r>
              <w:rPr>
                <w:rFonts w:hint="eastAsia"/>
                <w:lang w:bidi="en-US"/>
              </w:rPr>
              <w:t>.</w:t>
            </w:r>
          </w:p>
        </w:tc>
        <w:tc>
          <w:tcPr>
            <w:tcW w:w="2352" w:type="dxa"/>
            <w:vMerge/>
            <w:tcBorders>
              <w:left w:val="nil"/>
              <w:right w:val="nil"/>
            </w:tcBorders>
            <w:vAlign w:val="center"/>
          </w:tcPr>
          <w:p w14:paraId="68E66DF6" w14:textId="77777777" w:rsidR="001F1E0F" w:rsidRPr="00682726" w:rsidRDefault="001F1E0F" w:rsidP="007F5431">
            <w:pPr>
              <w:jc w:val="center"/>
              <w:rPr>
                <w:lang w:bidi="en-US"/>
              </w:rPr>
            </w:pPr>
          </w:p>
        </w:tc>
      </w:tr>
      <w:tr w:rsidR="001F1E0F" w:rsidRPr="00682726" w14:paraId="32414A46" w14:textId="6B1565C9" w:rsidTr="00236C9C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25350" w14:textId="77777777" w:rsidR="001F1E0F" w:rsidRPr="00682726" w:rsidRDefault="001F1E0F" w:rsidP="009F6719">
            <w:pPr>
              <w:jc w:val="center"/>
              <w:rPr>
                <w:lang w:bidi="en-US"/>
              </w:rPr>
            </w:pPr>
            <w:r w:rsidRPr="00682726">
              <w:rPr>
                <w:lang w:bidi="en-US"/>
              </w:rPr>
              <w:t>Restoring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2EC98" w14:textId="092DA8C4" w:rsidR="001F1E0F" w:rsidRPr="00682726" w:rsidRDefault="001F1E0F" w:rsidP="00BB5345">
            <w:pPr>
              <w:jc w:val="center"/>
              <w:rPr>
                <w:lang w:bidi="en-US"/>
              </w:rPr>
            </w:pPr>
            <w:r w:rsidRPr="00682726">
              <w:rPr>
                <w:lang w:bidi="en-US"/>
              </w:rPr>
              <w:t xml:space="preserve">Ecosystem </w:t>
            </w:r>
            <w:r>
              <w:rPr>
                <w:lang w:bidi="en-US"/>
              </w:rPr>
              <w:t>r</w:t>
            </w:r>
            <w:r w:rsidRPr="007F5431">
              <w:rPr>
                <w:lang w:bidi="en-US"/>
              </w:rPr>
              <w:t>estor</w:t>
            </w:r>
            <w:r>
              <w:rPr>
                <w:lang w:bidi="en-US"/>
              </w:rPr>
              <w:t>ing</w:t>
            </w:r>
            <w:r w:rsidRPr="00682726">
              <w:rPr>
                <w:lang w:bidi="en-US"/>
              </w:rPr>
              <w:t>, which can also be called ecological elasticity, indicates a system's capacity and potential to recover from a hazard and return to its original state</w:t>
            </w:r>
            <w:r>
              <w:rPr>
                <w:lang w:bidi="en-US"/>
              </w:rPr>
              <w:t xml:space="preserve"> </w:t>
            </w:r>
            <w:r w:rsidRPr="000E563D">
              <w:rPr>
                <w:lang w:bidi="en-US"/>
              </w:rPr>
              <w:t>(Peng et al. 2015; Yu et al. 2013)</w:t>
            </w:r>
            <w:r w:rsidRPr="00682726">
              <w:rPr>
                <w:lang w:bidi="en-U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A28B481" w14:textId="65E80410" w:rsidR="001F1E0F" w:rsidRPr="00682726" w:rsidRDefault="001F1E0F" w:rsidP="004B4C1A">
            <w:pPr>
              <w:jc w:val="center"/>
              <w:rPr>
                <w:lang w:bidi="en-US"/>
              </w:rPr>
            </w:pPr>
            <w:r w:rsidRPr="001F1E0F">
              <w:rPr>
                <w:lang w:bidi="en-US"/>
              </w:rPr>
              <w:t>Ecological</w:t>
            </w:r>
            <w:r>
              <w:rPr>
                <w:lang w:bidi="en-US"/>
              </w:rPr>
              <w:t xml:space="preserve"> </w:t>
            </w:r>
            <w:r w:rsidRPr="001F1E0F">
              <w:rPr>
                <w:lang w:bidi="en-US"/>
              </w:rPr>
              <w:t>elasticity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B5677" w14:textId="42BAFA7F" w:rsidR="001F1E0F" w:rsidRPr="00682726" w:rsidRDefault="001F1E0F" w:rsidP="009F6719">
            <w:pPr>
              <w:jc w:val="center"/>
              <w:rPr>
                <w:lang w:bidi="en-US"/>
              </w:rPr>
            </w:pPr>
            <w:r w:rsidRPr="00682726">
              <w:rPr>
                <w:rFonts w:hint="eastAsia"/>
                <w:lang w:bidi="en-US"/>
              </w:rPr>
              <w:t>0.2986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0E580" w14:textId="37B02698" w:rsidR="001F1E0F" w:rsidRPr="00682726" w:rsidRDefault="001F1E0F" w:rsidP="00BB5345">
            <w:pPr>
              <w:jc w:val="center"/>
              <w:rPr>
                <w:lang w:bidi="en-US"/>
              </w:rPr>
            </w:pPr>
            <w:r w:rsidRPr="00682726">
              <w:rPr>
                <w:lang w:bidi="en-US"/>
              </w:rPr>
              <w:t>Calculate the ecological elasticity using the coefficient and model for ecological elasticity suggested by</w:t>
            </w:r>
            <w:r w:rsidRPr="00682726" w:rsidDel="00C56C3D">
              <w:rPr>
                <w:lang w:bidi="en-US"/>
              </w:rPr>
              <w:t xml:space="preserve"> </w:t>
            </w:r>
            <w:r w:rsidRPr="00682726">
              <w:rPr>
                <w:lang w:bidi="en-US"/>
              </w:rPr>
              <w:t>Peng.</w:t>
            </w:r>
          </w:p>
        </w:tc>
        <w:tc>
          <w:tcPr>
            <w:tcW w:w="2352" w:type="dxa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2EEEADAE" w14:textId="77777777" w:rsidR="001F1E0F" w:rsidRPr="00682726" w:rsidRDefault="001F1E0F" w:rsidP="007F5431">
            <w:pPr>
              <w:jc w:val="center"/>
              <w:rPr>
                <w:lang w:bidi="en-US"/>
              </w:rPr>
            </w:pPr>
          </w:p>
        </w:tc>
      </w:tr>
    </w:tbl>
    <w:p w14:paraId="62BD192B" w14:textId="77777777" w:rsidR="00416998" w:rsidRPr="00682726" w:rsidRDefault="00416998"/>
    <w:sectPr w:rsidR="00416998" w:rsidRPr="00682726" w:rsidSect="00416998">
      <w:pgSz w:w="12247" w:h="15876" w:code="1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7F9F2" w14:textId="77777777" w:rsidR="00C327FC" w:rsidRDefault="00C327FC" w:rsidP="00416998">
      <w:r>
        <w:separator/>
      </w:r>
    </w:p>
  </w:endnote>
  <w:endnote w:type="continuationSeparator" w:id="0">
    <w:p w14:paraId="22F35095" w14:textId="77777777" w:rsidR="00C327FC" w:rsidRDefault="00C327FC" w:rsidP="00416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A7675" w14:textId="77777777" w:rsidR="00C327FC" w:rsidRDefault="00C327FC" w:rsidP="00416998">
      <w:r>
        <w:separator/>
      </w:r>
    </w:p>
  </w:footnote>
  <w:footnote w:type="continuationSeparator" w:id="0">
    <w:p w14:paraId="1A70AB3B" w14:textId="77777777" w:rsidR="00C327FC" w:rsidRDefault="00C327FC" w:rsidP="00416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9DA"/>
    <w:rsid w:val="00010F4C"/>
    <w:rsid w:val="000E563D"/>
    <w:rsid w:val="00157808"/>
    <w:rsid w:val="001856E4"/>
    <w:rsid w:val="001F1E0F"/>
    <w:rsid w:val="00236C9C"/>
    <w:rsid w:val="00416998"/>
    <w:rsid w:val="004B4C1A"/>
    <w:rsid w:val="0052237C"/>
    <w:rsid w:val="00551D9D"/>
    <w:rsid w:val="00571B18"/>
    <w:rsid w:val="005A2394"/>
    <w:rsid w:val="00682726"/>
    <w:rsid w:val="007B7E6F"/>
    <w:rsid w:val="007F5431"/>
    <w:rsid w:val="00845120"/>
    <w:rsid w:val="008B2D98"/>
    <w:rsid w:val="008B6156"/>
    <w:rsid w:val="008C39DA"/>
    <w:rsid w:val="0093712C"/>
    <w:rsid w:val="009B23E5"/>
    <w:rsid w:val="009C5D60"/>
    <w:rsid w:val="009F6719"/>
    <w:rsid w:val="00A21160"/>
    <w:rsid w:val="00BB5345"/>
    <w:rsid w:val="00C327FC"/>
    <w:rsid w:val="00ED3BB6"/>
    <w:rsid w:val="00EE1F74"/>
    <w:rsid w:val="00F8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0F9BA"/>
  <w15:chartTrackingRefBased/>
  <w15:docId w15:val="{29676401-B92C-4842-A9E8-ACF1ED59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998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9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69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69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6998"/>
    <w:rPr>
      <w:sz w:val="18"/>
      <w:szCs w:val="18"/>
    </w:rPr>
  </w:style>
  <w:style w:type="paragraph" w:styleId="a7">
    <w:name w:val="Revision"/>
    <w:hidden/>
    <w:uiPriority w:val="99"/>
    <w:semiHidden/>
    <w:rsid w:val="007F543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 Sheng</dc:creator>
  <cp:keywords/>
  <dc:description/>
  <cp:lastModifiedBy>XIao Sheng</cp:lastModifiedBy>
  <cp:revision>21</cp:revision>
  <dcterms:created xsi:type="dcterms:W3CDTF">2022-12-10T13:15:00Z</dcterms:created>
  <dcterms:modified xsi:type="dcterms:W3CDTF">2023-05-11T07:32:00Z</dcterms:modified>
</cp:coreProperties>
</file>