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660"/>
        <w:gridCol w:w="5528"/>
      </w:tblGrid>
      <w:tr w:rsidR="007472D6" w:rsidRPr="007472D6" w:rsidTr="007472D6">
        <w:tc>
          <w:tcPr>
            <w:tcW w:w="8188" w:type="dxa"/>
            <w:gridSpan w:val="2"/>
            <w:vAlign w:val="center"/>
          </w:tcPr>
          <w:p w:rsidR="007472D6" w:rsidRPr="007472D6" w:rsidRDefault="007472D6" w:rsidP="00747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upplement Table 1 Variables in different types of preoperative biochemistry indices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Types </w:t>
            </w: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Variables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9E793B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7472D6" w:rsidRPr="007472D6">
              <w:rPr>
                <w:rFonts w:ascii="Times New Roman" w:hAnsi="Times New Roman" w:cs="Times New Roman"/>
                <w:sz w:val="18"/>
                <w:szCs w:val="18"/>
              </w:rPr>
              <w:t>oagulation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routine</w:t>
            </w: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prothrombin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time (PT, S)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prothrombin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activity (PTA, %)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prothrombin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time ration (PTR)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prothrombin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time international normalized ratio (PTINR)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fibrinogen (g/L)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activated partial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thromboplastin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time (APTT, S)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thrombin time (TT, S)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D-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dimer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(mg/L)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9E793B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93B">
              <w:rPr>
                <w:rFonts w:ascii="Times New Roman" w:hAnsi="Times New Roman" w:cs="Times New Roman"/>
                <w:sz w:val="18"/>
                <w:szCs w:val="18"/>
              </w:rPr>
              <w:t>Blood routine examination</w:t>
            </w: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high-sensitivity C-reaction protein (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hs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-CRP, mg/L)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C-reaction protein (CRP, mg/L)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serum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amyloid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A (SAA, mg/L)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white blood cells (WBC, 10^9/L)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red blood cell (RBC, 10^12/L)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hemoglobin (HGB, g/L)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platelet count (PLT, 10^9/L)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hematocrit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(HCT)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mean red cell volume (MCV,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mean corpuscular hemoglobin (MCH, pg)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mean corpuscular hemoglobin concentration (MCHC, g/L)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coefficient of variation of red blood cell distribution (RDW-CV)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standard deviation of red blood cell distribution (RDW-SD,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lymphocyte percentage (LYM, %)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neutrophil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percentage (NEUT, %)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percentage of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monocyte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(MONO, %)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eosinophils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percentage (EOS, %)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basophils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percentage (BASO, %)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lymphocyte (LYM, 10^9/L)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neutrophils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(NEUT, 10^9/L)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monocytes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(MONO, 10^9/L)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eosinophils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(EOS, 10^9/L)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basophils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(BASO, 10^9/L)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plateletocrit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(PCT, %)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mean platelet volume (MPV,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platelet distribution width (PDW,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platelet large cell ratio (P-LCR, %)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percentage of circulating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reticulocytes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(RET, %)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reticulocyte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(RET, 10^9/L)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immature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reticulocyte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fraction (IRF, %)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routine biochemistry</w:t>
            </w: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alanine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aminotransferase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(ALT, U/L)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aspartate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aminotransferase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(AST, U/L)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total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bilirubin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(TBIL,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umol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direct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bilirubin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(DBIL,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umol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indirect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bilirubin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(IBIL,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umol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ϒ-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glutamyltransferases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(GGT, U/L)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alkaline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phosphatase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(ALP, U/L)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serum potassium (K,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serum sodium (Na,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serum chlorine (CL,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serum calcium (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Ga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serum phosphorus (P,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serum magnesium (Mg,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cystatin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C (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CysC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, mg/L)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urea (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creatinine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umol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urea nitrogen/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creatinine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(Bun/Cr, mg/mg)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capable of binding carbon dioxide (CO2-CP,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uric acid (UA,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umol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glucose (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β-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hydroxybutyric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acid (HBUT,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total cholesterol (T-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Chol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low-density lipoprotein-cholesterol (LDL-C,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high-density lipoprotein-cholesterol (HDL-C,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triglycerides (TG,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apolipoprotein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A1 (ApoA1, g/L)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apolipoprotein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B (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ApoB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, g/L)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apolipoprotein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E (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ApoE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, g/L)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prealbumin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(PA, g/L)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total protein (TP, g/L)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albumin (ALB, g/L)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globulin (GLB, g/L)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albumin/globulin (A/G)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total bile acid (TBA,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umol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glycocholic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acid (CG, mg/L)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phosphocreatine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kinase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(CK, U/L)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lactate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dehydrogenase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(LDH, U/L)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creatine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kinase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lsoenzyme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(CK-MB, U/L)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cholinesterase (CHE, U/L)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leucyl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aminopepidase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(LAP, U/L)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retinol binding protein (RBP, mg/L)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ɑ-L-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fucosidase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(AFU, U/L)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lipase (LIP, U/L)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serum amylase (SAMY, U/L)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serum iron (Fe,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umol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unsaturated iron binding capacity (UIBC,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umol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total iron binding capacity (TIBC,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umol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serum iron saturation (Fe/TIBC, %)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serum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ferritin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(SF,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ug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transferrin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Tf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, g/L)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adenosine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dehydrogenase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 (ADA, U/L)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superoxide dismutase (SOD, U/ml)</w:t>
            </w:r>
          </w:p>
        </w:tc>
      </w:tr>
      <w:tr w:rsidR="007472D6" w:rsidRPr="007472D6" w:rsidTr="007472D6">
        <w:tc>
          <w:tcPr>
            <w:tcW w:w="2660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free fatty acids (NEFA, </w:t>
            </w:r>
            <w:proofErr w:type="spellStart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umol</w:t>
            </w:r>
            <w:proofErr w:type="spellEnd"/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</w:tr>
    </w:tbl>
    <w:p w:rsidR="00E833CD" w:rsidRPr="007472D6" w:rsidRDefault="00E833CD">
      <w:pPr>
        <w:rPr>
          <w:rFonts w:ascii="Times New Roman" w:hAnsi="Times New Roman" w:cs="Times New Roman"/>
          <w:sz w:val="18"/>
          <w:szCs w:val="18"/>
        </w:rPr>
      </w:pPr>
    </w:p>
    <w:sectPr w:rsidR="00E833CD" w:rsidRPr="007472D6" w:rsidSect="00E8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06F" w:rsidRDefault="009C506F" w:rsidP="007472D6">
      <w:r>
        <w:separator/>
      </w:r>
    </w:p>
  </w:endnote>
  <w:endnote w:type="continuationSeparator" w:id="1">
    <w:p w:rsidR="009C506F" w:rsidRDefault="009C506F" w:rsidP="00747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06F" w:rsidRDefault="009C506F" w:rsidP="007472D6">
      <w:r>
        <w:separator/>
      </w:r>
    </w:p>
  </w:footnote>
  <w:footnote w:type="continuationSeparator" w:id="1">
    <w:p w:rsidR="009C506F" w:rsidRDefault="009C506F" w:rsidP="00747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828"/>
    <w:rsid w:val="00333828"/>
    <w:rsid w:val="004B2EBA"/>
    <w:rsid w:val="007472D6"/>
    <w:rsid w:val="009509C0"/>
    <w:rsid w:val="009C506F"/>
    <w:rsid w:val="009E793B"/>
    <w:rsid w:val="00AD3CBA"/>
    <w:rsid w:val="00E8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2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2D6"/>
    <w:rPr>
      <w:sz w:val="18"/>
      <w:szCs w:val="18"/>
    </w:rPr>
  </w:style>
  <w:style w:type="table" w:styleId="a5">
    <w:name w:val="Table Grid"/>
    <w:basedOn w:val="a1"/>
    <w:uiPriority w:val="39"/>
    <w:unhideWhenUsed/>
    <w:rsid w:val="00747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B89A0-A379-4BDA-A299-AA8E6B90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 丽丽</dc:creator>
  <cp:keywords/>
  <dc:description/>
  <cp:lastModifiedBy>admin</cp:lastModifiedBy>
  <cp:revision>4</cp:revision>
  <dcterms:created xsi:type="dcterms:W3CDTF">2020-09-05T13:10:00Z</dcterms:created>
  <dcterms:modified xsi:type="dcterms:W3CDTF">2022-11-07T11:20:00Z</dcterms:modified>
</cp:coreProperties>
</file>