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5E9" w14:textId="3C0FAB09" w:rsidR="00952388" w:rsidRPr="00BB5DE3" w:rsidRDefault="00952388" w:rsidP="00952388">
      <w:pPr>
        <w:spacing w:line="240" w:lineRule="auto"/>
        <w:jc w:val="both"/>
        <w:rPr>
          <w:rFonts w:ascii="Times New Roman" w:hAnsi="Times New Roman" w:cs="Times New Roman"/>
          <w:sz w:val="24"/>
          <w:szCs w:val="24"/>
        </w:rPr>
      </w:pPr>
      <w:r w:rsidRPr="00BB5DE3">
        <w:rPr>
          <w:rFonts w:ascii="Times New Roman" w:hAnsi="Times New Roman" w:cs="Times New Roman"/>
          <w:b/>
          <w:sz w:val="24"/>
          <w:szCs w:val="24"/>
        </w:rPr>
        <w:t>Table S</w:t>
      </w:r>
      <w:r>
        <w:rPr>
          <w:rFonts w:ascii="Times New Roman" w:hAnsi="Times New Roman" w:cs="Times New Roman"/>
          <w:b/>
          <w:sz w:val="24"/>
          <w:szCs w:val="24"/>
        </w:rPr>
        <w:t>2</w:t>
      </w:r>
      <w:r w:rsidRPr="00BB5DE3">
        <w:rPr>
          <w:rFonts w:ascii="Times New Roman" w:hAnsi="Times New Roman" w:cs="Times New Roman"/>
          <w:sz w:val="24"/>
          <w:szCs w:val="24"/>
        </w:rPr>
        <w:t>.</w:t>
      </w:r>
      <w:r>
        <w:rPr>
          <w:rFonts w:ascii="Times New Roman" w:hAnsi="Times New Roman" w:cs="Times New Roman"/>
          <w:sz w:val="24"/>
          <w:szCs w:val="24"/>
        </w:rPr>
        <w:t xml:space="preserve"> A selection of 2</w:t>
      </w:r>
      <w:r w:rsidR="00011F63">
        <w:rPr>
          <w:rFonts w:ascii="Times New Roman" w:hAnsi="Times New Roman" w:cs="Times New Roman"/>
          <w:sz w:val="24"/>
          <w:szCs w:val="24"/>
        </w:rPr>
        <w:t>1</w:t>
      </w:r>
      <w:r>
        <w:rPr>
          <w:rFonts w:ascii="Times New Roman" w:hAnsi="Times New Roman" w:cs="Times New Roman"/>
          <w:sz w:val="24"/>
          <w:szCs w:val="24"/>
        </w:rPr>
        <w:t xml:space="preserve"> studies (selected by chance) which found and reported undescribed isopod species</w:t>
      </w:r>
      <w:r w:rsidRPr="00BB5DE3">
        <w:rPr>
          <w:rFonts w:ascii="Times New Roman" w:hAnsi="Times New Roman" w:cs="Times New Roman"/>
          <w:sz w:val="24"/>
          <w:szCs w:val="24"/>
        </w:rPr>
        <w:t>.</w:t>
      </w:r>
      <w:r w:rsidR="008A1DE0">
        <w:rPr>
          <w:rFonts w:ascii="Times New Roman" w:hAnsi="Times New Roman" w:cs="Times New Roman"/>
          <w:sz w:val="24"/>
          <w:szCs w:val="24"/>
        </w:rPr>
        <w:t xml:space="preserve"> Some studies described a few of the collected unnamed species</w:t>
      </w:r>
      <w:r w:rsidR="00516423">
        <w:rPr>
          <w:rFonts w:ascii="Times New Roman" w:hAnsi="Times New Roman" w:cs="Times New Roman"/>
          <w:sz w:val="24"/>
          <w:szCs w:val="24"/>
        </w:rPr>
        <w:t xml:space="preserve"> right away, so the </w:t>
      </w:r>
      <w:r w:rsidR="006C5D8A">
        <w:rPr>
          <w:rFonts w:ascii="Times New Roman" w:hAnsi="Times New Roman" w:cs="Times New Roman"/>
          <w:sz w:val="24"/>
          <w:szCs w:val="24"/>
        </w:rPr>
        <w:t>numbers given in the table</w:t>
      </w:r>
      <w:r w:rsidR="005104EB">
        <w:rPr>
          <w:rFonts w:ascii="Times New Roman" w:hAnsi="Times New Roman" w:cs="Times New Roman"/>
          <w:sz w:val="24"/>
          <w:szCs w:val="24"/>
        </w:rPr>
        <w:t xml:space="preserve"> below</w:t>
      </w:r>
      <w:r w:rsidR="006C5D8A">
        <w:rPr>
          <w:rFonts w:ascii="Times New Roman" w:hAnsi="Times New Roman" w:cs="Times New Roman"/>
          <w:sz w:val="24"/>
          <w:szCs w:val="24"/>
        </w:rPr>
        <w:t xml:space="preserve"> are</w:t>
      </w:r>
      <w:r w:rsidR="00752568">
        <w:rPr>
          <w:rFonts w:ascii="Times New Roman" w:hAnsi="Times New Roman" w:cs="Times New Roman"/>
          <w:sz w:val="24"/>
          <w:szCs w:val="24"/>
        </w:rPr>
        <w:t xml:space="preserve"> the number of species that were left undescribed.</w:t>
      </w:r>
      <w:r>
        <w:rPr>
          <w:rFonts w:ascii="Times New Roman" w:hAnsi="Times New Roman" w:cs="Times New Roman"/>
          <w:sz w:val="24"/>
          <w:szCs w:val="24"/>
        </w:rPr>
        <w:t xml:space="preserve"> </w:t>
      </w:r>
      <w:r w:rsidR="008E0B22">
        <w:rPr>
          <w:rFonts w:ascii="Times New Roman" w:hAnsi="Times New Roman" w:cs="Times New Roman"/>
          <w:sz w:val="24"/>
          <w:szCs w:val="24"/>
        </w:rPr>
        <w:t>Note that t</w:t>
      </w:r>
      <w:r>
        <w:rPr>
          <w:rFonts w:ascii="Times New Roman" w:hAnsi="Times New Roman" w:cs="Times New Roman"/>
          <w:sz w:val="24"/>
          <w:szCs w:val="24"/>
        </w:rPr>
        <w:t>hose species were undescribed at the time of publication of the respective study. It has not been checked whether any of the reported species ha</w:t>
      </w:r>
      <w:r w:rsidR="00E378C3">
        <w:rPr>
          <w:rFonts w:ascii="Times New Roman" w:hAnsi="Times New Roman" w:cs="Times New Roman"/>
          <w:sz w:val="24"/>
          <w:szCs w:val="24"/>
        </w:rPr>
        <w:t>ve</w:t>
      </w:r>
      <w:r>
        <w:rPr>
          <w:rFonts w:ascii="Times New Roman" w:hAnsi="Times New Roman" w:cs="Times New Roman"/>
          <w:sz w:val="24"/>
          <w:szCs w:val="24"/>
        </w:rPr>
        <w:t xml:space="preserve"> been formally described since and might now already be part of our dataset of globally described isopod species.</w:t>
      </w:r>
    </w:p>
    <w:tbl>
      <w:tblPr>
        <w:tblStyle w:val="TableGrid"/>
        <w:tblW w:w="0" w:type="auto"/>
        <w:tblLook w:val="04A0" w:firstRow="1" w:lastRow="0" w:firstColumn="1" w:lastColumn="0" w:noHBand="0" w:noVBand="1"/>
      </w:tblPr>
      <w:tblGrid>
        <w:gridCol w:w="3005"/>
        <w:gridCol w:w="3005"/>
        <w:gridCol w:w="3006"/>
      </w:tblGrid>
      <w:tr w:rsidR="00952388" w14:paraId="36E10547" w14:textId="77777777" w:rsidTr="004F1BFA">
        <w:trPr>
          <w:trHeight w:val="454"/>
        </w:trPr>
        <w:tc>
          <w:tcPr>
            <w:tcW w:w="3005" w:type="dxa"/>
            <w:vAlign w:val="center"/>
          </w:tcPr>
          <w:p w14:paraId="05CB0D59" w14:textId="687FC643" w:rsidR="00952388" w:rsidRPr="004F1BFA" w:rsidRDefault="007A42D4" w:rsidP="004F1BFA">
            <w:pPr>
              <w:jc w:val="center"/>
              <w:rPr>
                <w:rFonts w:ascii="Arial" w:hAnsi="Arial" w:cs="Arial"/>
                <w:b/>
                <w:bCs/>
                <w:sz w:val="18"/>
                <w:szCs w:val="18"/>
              </w:rPr>
            </w:pPr>
            <w:r w:rsidRPr="004F1BFA">
              <w:rPr>
                <w:rFonts w:ascii="Arial" w:hAnsi="Arial" w:cs="Arial"/>
                <w:b/>
                <w:bCs/>
                <w:sz w:val="18"/>
                <w:szCs w:val="18"/>
              </w:rPr>
              <w:t>Study</w:t>
            </w:r>
          </w:p>
        </w:tc>
        <w:tc>
          <w:tcPr>
            <w:tcW w:w="3005" w:type="dxa"/>
            <w:vAlign w:val="center"/>
          </w:tcPr>
          <w:p w14:paraId="59CBC235" w14:textId="3CEF2FA2" w:rsidR="00952388" w:rsidRPr="004F1BFA" w:rsidRDefault="007A42D4" w:rsidP="004F1BFA">
            <w:pPr>
              <w:jc w:val="center"/>
              <w:rPr>
                <w:rFonts w:ascii="Arial" w:hAnsi="Arial" w:cs="Arial"/>
                <w:b/>
                <w:bCs/>
                <w:sz w:val="18"/>
                <w:szCs w:val="18"/>
              </w:rPr>
            </w:pPr>
            <w:r w:rsidRPr="004F1BFA">
              <w:rPr>
                <w:rFonts w:ascii="Arial" w:hAnsi="Arial" w:cs="Arial"/>
                <w:b/>
                <w:bCs/>
                <w:sz w:val="18"/>
                <w:szCs w:val="18"/>
              </w:rPr>
              <w:t>Location</w:t>
            </w:r>
          </w:p>
        </w:tc>
        <w:tc>
          <w:tcPr>
            <w:tcW w:w="3006" w:type="dxa"/>
            <w:vAlign w:val="center"/>
          </w:tcPr>
          <w:p w14:paraId="78E651E7" w14:textId="6B0633BC" w:rsidR="00952388" w:rsidRPr="004F1BFA" w:rsidRDefault="007A42D4" w:rsidP="004F1BFA">
            <w:pPr>
              <w:jc w:val="center"/>
              <w:rPr>
                <w:rFonts w:ascii="Arial" w:hAnsi="Arial" w:cs="Arial"/>
                <w:b/>
                <w:bCs/>
                <w:sz w:val="18"/>
                <w:szCs w:val="18"/>
              </w:rPr>
            </w:pPr>
            <w:r w:rsidRPr="004F1BFA">
              <w:rPr>
                <w:rFonts w:ascii="Arial" w:hAnsi="Arial" w:cs="Arial"/>
                <w:b/>
                <w:bCs/>
                <w:sz w:val="18"/>
                <w:szCs w:val="18"/>
              </w:rPr>
              <w:t># collected but undescribed species</w:t>
            </w:r>
          </w:p>
        </w:tc>
      </w:tr>
      <w:tr w:rsidR="00952388" w14:paraId="53328D6D" w14:textId="77777777" w:rsidTr="004F1BFA">
        <w:trPr>
          <w:trHeight w:val="454"/>
        </w:trPr>
        <w:tc>
          <w:tcPr>
            <w:tcW w:w="3005" w:type="dxa"/>
            <w:vAlign w:val="center"/>
          </w:tcPr>
          <w:p w14:paraId="71944018" w14:textId="02F42664" w:rsidR="00952388" w:rsidRPr="004F1BFA" w:rsidRDefault="00453FE4"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{"citationItems":[{"id":"ITEM-1","itemData":{"DOI":"10.1016/J.DSR2.2007.07.015","ISSN":"0967-0645","abstract":"Three expeditions were performed in the framework of ANDEEP (ANtarctic benthic DEEP-sea biodiversity, colonisation history and recent community patterns) in order to understand the Southern Ocean (SO) biodiversity of the Isopoda and to investigate faunal connections with other deep-sea areas in the world oceans. We sampled mainly in the Atlantic sector of the SO (Drake Passage along the Shackleton Fracture Zone, off Elephant Island, in the South Shetland Islands area, in the northwestern Weddell Sea, and at the South Sandwich Islands), but also took two stations in each Bellingshausen Sea and Cape Basin. In total, three expeditions yielded 13,046 specimens of Isopoda. During ANDEEP I-II 5525 specimens and 317 species of Isopoda were sampled, and 7521 specimens and 496 species were discriminated from the ANDEEP III material. Overall, Isopoda comprised 35% of all Peracarida sampled, and we identified 674 isopod species from the 40 deep SO stations. Eighty-nine of these species (13%) were known, the others (585 species) were new to the area, and most of these were new to science, 43 genera being recorded for the first time. Asellota comprised 97% of all ANDEEP Isopoda, and Munnopsidae were the most dominant family, followed by the Desmosomatidae, Haploniscidae, and Ischnomesidae. To our present knowledge 87% of the SO deep-sea Isopoda are apparently \"endemic\". Most species did not occur frequently in the samples. Abundance was higher at the shallower ANDEEP stations and highest in the Powell Basin at station 133, and generally decreased with increasing depth. Species richness was highest with 92 species at the bathyal station 80-9 in 3100 m off Kapp Norvegia, in general, species richness was highest at around 3000 m depth with 216 species found at all ANDEEP stations, and 92 species sampled at a single station in 3100 m depth. The cluster analysis of the isopod composition from ANDEEP revealed in general terms that the abyssal Weddell-Sea stations build one cluster. Depth turned out to be the most important abiotic factor for the species composition reported. Most of the species frequently occurring at the abyssal stations are Munnopsidae, which can swim. The SO deep sea differs in faunal composition from the shelf, and few isopod species occur at many stations, while most species only occur at few. The reasons for these findings are unknown. Future studies should focus on the functional role of the frequent species of the SO deep-sea ecosystem and food-we…","author":[{"dropping-particle":"","family":"Brandt","given":"A.","non-dropping-particle":"","parse-names":false,"suffix":""},{"dropping-particle":"","family":"Brix","given":"S.","non-dropping-particle":"","parse-names":false,"suffix":""},{"dropping-particle":"","family":"Brökeland","given":"W.","non-dropping-particle":"","parse-names":false,"suffix":""},{"dropping-particle":"","family":"Choudhury","given":"M.","non-dropping-particle":"","parse-names":false,"suffix":""},{"dropping-particle":"","family":"Kaiser","given":"S.","non-dropping-particle":"","parse-names":false,"suffix":""},{"dropping-particle":"","family":"Malyutina","given":"M.","non-dropping-particle":"","parse-names":false,"suffix":""}],"container-title":"Deep Sea Research Part II: Topical Studies in Oceanography","id":"ITEM-1","issue":"16-17","issued":{"date-parts":[["2007","8","1"]]},"page":"1760-1775","publisher":"Pergamon","title":"Deep-sea isopod biodiversity, abundance, and endemism in the Atlantic sector of the Southern Ocean — Results from the ANDEEP I–III expeditions","type":"article-journal","volume":"54"},"uris":["http://www.mendeley.com/documents/?uuid=48b7d402-4b68-3b81-8a0e-d5d592e88c16"]}],"mendeley":{"formattedCitation":"(Brandt et al., 2007)","manualFormatting":"Brandt et al., 2007","plainTextFormattedCitation":"(Brandt et al., 2007)","previouslyFormattedCitation":"(Brandt et al., 2007)"},"properties":{"noteIndex":0},"schema":"https://github.com/citation-style-language/schema/raw/master/csl-citation.json"}</w:instrText>
            </w:r>
            <w:r>
              <w:rPr>
                <w:rFonts w:ascii="Arial" w:hAnsi="Arial" w:cs="Arial"/>
                <w:sz w:val="18"/>
                <w:szCs w:val="18"/>
              </w:rPr>
              <w:fldChar w:fldCharType="separate"/>
            </w:r>
            <w:r w:rsidRPr="00453FE4">
              <w:rPr>
                <w:rFonts w:ascii="Arial" w:hAnsi="Arial" w:cs="Arial"/>
                <w:noProof/>
                <w:sz w:val="18"/>
                <w:szCs w:val="18"/>
              </w:rPr>
              <w:t>Brandt et al., 2007</w:t>
            </w:r>
            <w:r>
              <w:rPr>
                <w:rFonts w:ascii="Arial" w:hAnsi="Arial" w:cs="Arial"/>
                <w:sz w:val="18"/>
                <w:szCs w:val="18"/>
              </w:rPr>
              <w:fldChar w:fldCharType="end"/>
            </w:r>
          </w:p>
        </w:tc>
        <w:tc>
          <w:tcPr>
            <w:tcW w:w="3005" w:type="dxa"/>
            <w:vAlign w:val="center"/>
          </w:tcPr>
          <w:p w14:paraId="5F6BC79C" w14:textId="207CA486" w:rsidR="00952388" w:rsidRPr="004F1BFA" w:rsidRDefault="007A42D4" w:rsidP="004F1BFA">
            <w:pPr>
              <w:jc w:val="center"/>
              <w:rPr>
                <w:rFonts w:ascii="Arial" w:hAnsi="Arial" w:cs="Arial"/>
                <w:sz w:val="18"/>
                <w:szCs w:val="18"/>
              </w:rPr>
            </w:pPr>
            <w:r w:rsidRPr="004F1BFA">
              <w:rPr>
                <w:rFonts w:ascii="Arial" w:hAnsi="Arial" w:cs="Arial"/>
                <w:sz w:val="18"/>
                <w:szCs w:val="18"/>
              </w:rPr>
              <w:t>Southern Ocean, deep sea</w:t>
            </w:r>
          </w:p>
        </w:tc>
        <w:tc>
          <w:tcPr>
            <w:tcW w:w="3006" w:type="dxa"/>
            <w:vAlign w:val="center"/>
          </w:tcPr>
          <w:p w14:paraId="44D5A548" w14:textId="3A9923BD" w:rsidR="00952388" w:rsidRPr="004F1BFA" w:rsidRDefault="007A42D4" w:rsidP="004F1BFA">
            <w:pPr>
              <w:jc w:val="center"/>
              <w:rPr>
                <w:rFonts w:ascii="Arial" w:hAnsi="Arial" w:cs="Arial"/>
                <w:sz w:val="18"/>
                <w:szCs w:val="18"/>
              </w:rPr>
            </w:pPr>
            <w:r w:rsidRPr="004F1BFA">
              <w:rPr>
                <w:rFonts w:ascii="Arial" w:hAnsi="Arial" w:cs="Arial"/>
                <w:sz w:val="18"/>
                <w:szCs w:val="18"/>
              </w:rPr>
              <w:t>585</w:t>
            </w:r>
          </w:p>
        </w:tc>
      </w:tr>
      <w:tr w:rsidR="00952388" w14:paraId="507D939D" w14:textId="77777777" w:rsidTr="004F1BFA">
        <w:trPr>
          <w:trHeight w:val="454"/>
        </w:trPr>
        <w:tc>
          <w:tcPr>
            <w:tcW w:w="3005" w:type="dxa"/>
            <w:vAlign w:val="center"/>
          </w:tcPr>
          <w:p w14:paraId="5568795F" w14:textId="1DE833CC" w:rsidR="00952388" w:rsidRPr="004F1BFA" w:rsidRDefault="00453FE4"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{"citationItems":[{"id":"ITEM-1","itemData":{"DOI":"10.1016/0967-0637(94)90049-3","ISSN":"0967-0637","abstract":"The continental slope of southeastern Australia is a complex hydrological region where sediments is biogenic and largely derived from the nearby shelf. The isopod fauna of the slope between 200 and 3150 m depth has been investigated on four transects (32°S-42°S). Forty-six non-quantitative epibenthic sled, beam-trawl, corer and trawl samples captured 6870 isopod individuals. A total of 359 species belonging to 36 families is recognised, 10% of which can be identified to known species, a much smaller fraction than in previous comparable surveys; 69% are asellotes. Species estimates made using the rarefaction method suggest that the number of species on the southeastern Australian slope is greater than that found on several better-studied slopes in the Atlantic, Arctic or Antarctic. This seems to agree with the observation that species diversity in midlatitudes in the Southern Hemisphere is higher than at similar latitudes in the Northern Hemisphere. The implication of this observation is that estimates of the number of species in the deep sea by Grassle and Maciolek may be too low. The number of species decreased less rapidly with depth at the more southern transects (off Bass Strait and Tasmania) than at the northern transect (off Sydney). Most species were very rare: only 32 occurred in five or more of the 46 samples; half occurred in only one sample. Classification and ordination of sites discriminated between shallow samples (200-520 m) and deeper samples (&gt;400) with good characterisation of sample groups by species groups. Discrimination of transects was weak and gave little support for biogeographic regionalisation of the slope fauna. © 1994.","author":[{"dropping-particle":"","family":"Poore","given":"G.C.B.","non-dropping-particle":"","parse-names":false,"suffix":""},{"dropping-particle":"","family":"Just","given":"J.","non-dropping-particle":"","parse-names":false,"suffix":""},{"dropping-particle":"","family":"Cohen","given":"B.F.","non-dropping-particle":"","parse-names":false,"suffix":""}],"container-title":"Deep Sea Research Part I: Oceanographic Research Papers","id":"ITEM-1","issue":"4","issued":{"date-parts":[["1994","4","1"]]},"page":"677-693","publisher":"Elsevier","title":"Composition and diversity of Crustacea Isopoda of the southeastern Australian continental slope","type":"article-journal","volume":"41"},"uris":["http://www.mendeley.com/documents/?uuid=c61c09af-230c-3aa2-8a57-50ca13a36c62"]}],"mendeley":{"formattedCitation":"(Poore et al., 1994)","manualFormatting":"Poore et al., 1994","plainTextFormattedCitation":"(Poore et al., 1994)","previouslyFormattedCitation":"(Poore et al., 1994)"},"properties":{"noteIndex":0},"schema":"https://github.com/citation-style-language/schema/raw/master/csl-citation.json"}</w:instrText>
            </w:r>
            <w:r>
              <w:rPr>
                <w:rFonts w:ascii="Arial" w:hAnsi="Arial" w:cs="Arial"/>
                <w:sz w:val="18"/>
                <w:szCs w:val="18"/>
              </w:rPr>
              <w:fldChar w:fldCharType="separate"/>
            </w:r>
            <w:r w:rsidRPr="00453FE4">
              <w:rPr>
                <w:rFonts w:ascii="Arial" w:hAnsi="Arial" w:cs="Arial"/>
                <w:noProof/>
                <w:sz w:val="18"/>
                <w:szCs w:val="18"/>
              </w:rPr>
              <w:t>Poore et al., 1994</w:t>
            </w:r>
            <w:r>
              <w:rPr>
                <w:rFonts w:ascii="Arial" w:hAnsi="Arial" w:cs="Arial"/>
                <w:sz w:val="18"/>
                <w:szCs w:val="18"/>
              </w:rPr>
              <w:fldChar w:fldCharType="end"/>
            </w:r>
          </w:p>
        </w:tc>
        <w:tc>
          <w:tcPr>
            <w:tcW w:w="3005" w:type="dxa"/>
            <w:vAlign w:val="center"/>
          </w:tcPr>
          <w:p w14:paraId="24050522" w14:textId="3147DECB" w:rsidR="00952388" w:rsidRPr="004F1BFA" w:rsidRDefault="007A42D4" w:rsidP="004F1BFA">
            <w:pPr>
              <w:jc w:val="center"/>
              <w:rPr>
                <w:rFonts w:ascii="Arial" w:hAnsi="Arial" w:cs="Arial"/>
                <w:sz w:val="18"/>
                <w:szCs w:val="18"/>
              </w:rPr>
            </w:pPr>
            <w:r w:rsidRPr="004F1BFA">
              <w:rPr>
                <w:rFonts w:ascii="Arial" w:hAnsi="Arial" w:cs="Arial"/>
                <w:sz w:val="18"/>
                <w:szCs w:val="18"/>
              </w:rPr>
              <w:t>South-eastern Australian continental slope</w:t>
            </w:r>
          </w:p>
        </w:tc>
        <w:tc>
          <w:tcPr>
            <w:tcW w:w="3006" w:type="dxa"/>
            <w:vAlign w:val="center"/>
          </w:tcPr>
          <w:p w14:paraId="6FA2B819" w14:textId="3D16FB5E" w:rsidR="00952388" w:rsidRPr="004F1BFA" w:rsidRDefault="007A42D4" w:rsidP="004F1BFA">
            <w:pPr>
              <w:jc w:val="center"/>
              <w:rPr>
                <w:rFonts w:ascii="Arial" w:hAnsi="Arial" w:cs="Arial"/>
                <w:sz w:val="18"/>
                <w:szCs w:val="18"/>
              </w:rPr>
            </w:pPr>
            <w:r w:rsidRPr="004F1BFA">
              <w:rPr>
                <w:rFonts w:ascii="Arial" w:hAnsi="Arial" w:cs="Arial"/>
                <w:sz w:val="18"/>
                <w:szCs w:val="18"/>
              </w:rPr>
              <w:t>318</w:t>
            </w:r>
          </w:p>
        </w:tc>
      </w:tr>
      <w:tr w:rsidR="00952388" w14:paraId="06305771" w14:textId="77777777" w:rsidTr="004F1BFA">
        <w:trPr>
          <w:trHeight w:val="454"/>
        </w:trPr>
        <w:tc>
          <w:tcPr>
            <w:tcW w:w="3005" w:type="dxa"/>
            <w:vAlign w:val="center"/>
          </w:tcPr>
          <w:p w14:paraId="7C94C3AD" w14:textId="389F4555" w:rsidR="00952388" w:rsidRPr="004F1BFA" w:rsidRDefault="00900D85"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{"citationItems":[{"id":"ITEM-1","itemData":{"DOI":"10.1007/S12526-014-0255-Y/FIGURES/5","ISSN":"18671624","abstract":"However derived, predictions of global marine species diversity rely on existing real data. All methods, whether based on past rates of species descriptions, on expert opinion, on the fraction of undescribed species in samples collected, or on ratios between taxa in the taxonomic hierarchy, suffer the same limitation. Here we show that infaunal macrofauna (crustaceans and polychaetes) of the lower bathyal depth range are underrepresented among available data and documented results from Australia. The crustacean and polychaete fauna (only partially identified) of the bathyal continental margin of Western Australia comprised 805 species, representing a largely novel and endemic fauna. Overall, 94.6% of crustacean species were undescribed, while 72% of polychaete species were new to the Australian fauna, including all tanaidaceans, amphipods, and cumaceans, as well as most isopods. Most species were rare, and the species accumulation rate showed no sign of reaching an asymptote with increasing area sampled. Similar data are likely for the largely unexplored bathyal regions. This leads us to conclude that the numbers upon which extrapolations to larger areas are based are too low to provide confidence. The Southern Australian and Indo-West Pacific deep-sea regions contribute significantly to global species diversity. These regions and bathyal and abyssal habitats generally are extensive, but are so-far poorly sampled. They appear to be dominated by taxonomically poorly worked and species-rich taxa with limited distributions. The combination of high species richness among infaunal taxa—compared to better known taxa with larger individuals, higher endemism than presently acknowledged because of the presence of cryptic species, the low proportion of described species in these taxa, and the vast extent of unexplored bathyal and abyssal environments—will lead to further accumulation of new species as more and more deep sea regions are explored. It remains to be tested whether ratios of 10 or more undescribed to described species, found in this study for the dominant taxa and for the deep Southern Ocean and the Indo-West Pacific, are replicable in other areas. Our data and similar figures from other remote regions, and the lack of faunal overlap, suggest that Appeltans et al.’s (Current Biology 22:1–14, 2012) estimate that between one-third and two-thirds of the world’s marine fauna is undescribed is low, and that Mora et al.’s (PLoS Biol 9(8):e1001127. doi:10.13…","author":[{"dropping-particle":"","family":"Poore","given":"G.C.B.","non-dropping-particle":"","parse-names":false,"suffix":""},{"dropping-particle":"","family":"Avery","given":"L.","non-dropping-particle":"","parse-names":false,"suffix":""},{"dropping-particle":"","family":"Błażewicz-Paszkowycz","given":"M.","non-dropping-particle":"","parse-names":false,"suffix":""},{"dropping-particle":"","family":"Browne","given":"J.","non-dropping-particle":"","parse-names":false,"suffix":""},{"dropping-particle":"","family":"Bruce","given":"N.L.","non-dropping-particle":"","parse-names":false,"suffix":""},{"dropping-particle":"","family":"Gerken","given":"S.","non-dropping-particle":"","parse-names":false,"suffix":""},{"dropping-particle":"","family":"Glasby","given":"C.J.","non-dropping-particle":"","parse-names":false,"suffix":""},{"dropping-particle":"","family":"Greaves","given":"E.","non-dropping-particle":"","parse-names":false,"suffix":""},{"dropping-particle":"","family":"McCallum","given":"A.W.","non-dropping-particle":"","parse-names":false,"suffix":""},{"dropping-particle":"","family":"Staples","given":"D.","non-dropping-particle":"","parse-names":false,"suffix":""},{"dropping-particle":"","family":"Syme","given":"A.","non-dropping-particle":"","parse-names":false,"suffix":""},{"dropping-particle":"","family":"Taylor","given":"J.","non-dropping-particle":"","parse-names":false,"suffix":""},{"dropping-particle":"","family":"Walker-Smith","given":"G.","non-dropping-particle":"","parse-names":false,"suffix":""},{"dropping-particle":"","family":"Warne","given":"M.","non-dropping-particle":"","parse-names":false,"suffix":""},{"dropping-particle":"","family":"Watson","given":"C.","non-dropping-particle":"","parse-names":false,"suffix":""},{"dropping-particle":"","family":"Williams","given":"A.","non-dropping-particle":"","parse-names":false,"suffix":""},{"dropping-particle":"","family":"Wilson","given":"R.S.","non-dropping-particle":"","parse-names":false,"suffix":""},{"dropping-particle":"","family":"Woolley","given":"S.","non-dropping-particle":"","parse-names":false,"suffix":""}],"container-title":"Marine Biodiversity","id":"ITEM-1","issue":"2","issued":{"date-parts":[["2015","6","8"]]},"page":"271-286","publisher":"Springer Verlag","title":"Invertebrate diversity of the unexplored marine western margin of Australia: Taxonomy and implications for global biodiversity","type":"article-journal","volume":"45"},"uris":["http://www.mendeley.com/documents/?uuid=c6fe22a7-a9ea-35cb-a299-63c5d8820c4e"]}],"mendeley":{"formattedCitation":"(Poore et al., 2015)","manualFormatting":"Poore et al., 2015","plainTextFormattedCitation":"(Poore et al., 2015)","previouslyFormattedCitation":"(Poore et al., 2015)"},"properties":{"noteIndex":0},"schema":"https://github.com/citation-style-language/schema/raw/master/csl-citation.json"}</w:instrText>
            </w:r>
            <w:r>
              <w:rPr>
                <w:rFonts w:ascii="Arial" w:hAnsi="Arial" w:cs="Arial"/>
                <w:sz w:val="18"/>
                <w:szCs w:val="18"/>
              </w:rPr>
              <w:fldChar w:fldCharType="separate"/>
            </w:r>
            <w:r w:rsidRPr="00900D85">
              <w:rPr>
                <w:rFonts w:ascii="Arial" w:hAnsi="Arial" w:cs="Arial"/>
                <w:noProof/>
                <w:sz w:val="18"/>
                <w:szCs w:val="18"/>
              </w:rPr>
              <w:t>Poore et al., 2015</w:t>
            </w:r>
            <w:r>
              <w:rPr>
                <w:rFonts w:ascii="Arial" w:hAnsi="Arial" w:cs="Arial"/>
                <w:sz w:val="18"/>
                <w:szCs w:val="18"/>
              </w:rPr>
              <w:fldChar w:fldCharType="end"/>
            </w:r>
          </w:p>
        </w:tc>
        <w:tc>
          <w:tcPr>
            <w:tcW w:w="3005" w:type="dxa"/>
            <w:vAlign w:val="center"/>
          </w:tcPr>
          <w:p w14:paraId="7223B549" w14:textId="44B40CEE" w:rsidR="00952388" w:rsidRPr="004F1BFA" w:rsidRDefault="007A42D4" w:rsidP="004F1BFA">
            <w:pPr>
              <w:jc w:val="center"/>
              <w:rPr>
                <w:rFonts w:ascii="Arial" w:hAnsi="Arial" w:cs="Arial"/>
                <w:sz w:val="18"/>
                <w:szCs w:val="18"/>
              </w:rPr>
            </w:pPr>
            <w:r w:rsidRPr="004F1BFA">
              <w:rPr>
                <w:rFonts w:ascii="Arial" w:hAnsi="Arial" w:cs="Arial"/>
                <w:sz w:val="18"/>
                <w:szCs w:val="18"/>
              </w:rPr>
              <w:t>Western and south-western Australian continental margin</w:t>
            </w:r>
          </w:p>
        </w:tc>
        <w:tc>
          <w:tcPr>
            <w:tcW w:w="3006" w:type="dxa"/>
            <w:vAlign w:val="center"/>
          </w:tcPr>
          <w:p w14:paraId="5EEEB205" w14:textId="0C3E102A" w:rsidR="00952388" w:rsidRPr="004F1BFA" w:rsidRDefault="007A42D4" w:rsidP="004F1BFA">
            <w:pPr>
              <w:jc w:val="center"/>
              <w:rPr>
                <w:rFonts w:ascii="Arial" w:hAnsi="Arial" w:cs="Arial"/>
                <w:sz w:val="18"/>
                <w:szCs w:val="18"/>
              </w:rPr>
            </w:pPr>
            <w:r w:rsidRPr="004F1BFA">
              <w:rPr>
                <w:rFonts w:ascii="Arial" w:hAnsi="Arial" w:cs="Arial"/>
                <w:sz w:val="18"/>
                <w:szCs w:val="18"/>
              </w:rPr>
              <w:t>118</w:t>
            </w:r>
          </w:p>
        </w:tc>
      </w:tr>
      <w:tr w:rsidR="00952388" w14:paraId="77D23C44" w14:textId="77777777" w:rsidTr="004F1BFA">
        <w:trPr>
          <w:trHeight w:val="454"/>
        </w:trPr>
        <w:tc>
          <w:tcPr>
            <w:tcW w:w="3005" w:type="dxa"/>
            <w:vAlign w:val="center"/>
          </w:tcPr>
          <w:p w14:paraId="07973391" w14:textId="774D3677" w:rsidR="00952388" w:rsidRPr="004F1BFA" w:rsidRDefault="00900D85"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{"citationItems":[{"id":"ITEM-1","itemData":{"author":[{"dropping-particle":"","family":"Wilson","given":"G.D.F.","non-dropping-particle":"","parse-names":false,"suffix":""}],"container-title":"Deep Sea Research Part II: Topical Studies in Oceanography","id":"ITEM-1","issue":"24-26","issued":{"date-parts":[["2008"]]},"page":"2634-2649","title":"Local and regional species diversity of benthic Isopoda (Crustacea) in the deep Gulf of Mexico","type":"article-journal","volume":"55"},"uris":["http://www.mendeley.com/documents/?uuid=306cc1f9-4257-3329-b701-e3ce5f3a88af"]}],"mendeley":{"formattedCitation":"(Wilson, 2008)","manualFormatting":"Wilson, 2008","plainTextFormattedCitation":"(Wilson, 2008)","previouslyFormattedCitation":"(Wilson, 2008)"},"properties":{"noteIndex":0},"schema":"https://github.com/citation-style-language/schema/raw/master/csl-citation.json"}</w:instrText>
            </w:r>
            <w:r>
              <w:rPr>
                <w:rFonts w:ascii="Arial" w:hAnsi="Arial" w:cs="Arial"/>
                <w:sz w:val="18"/>
                <w:szCs w:val="18"/>
              </w:rPr>
              <w:fldChar w:fldCharType="separate"/>
            </w:r>
            <w:r w:rsidRPr="00900D85">
              <w:rPr>
                <w:rFonts w:ascii="Arial" w:hAnsi="Arial" w:cs="Arial"/>
                <w:noProof/>
                <w:sz w:val="18"/>
                <w:szCs w:val="18"/>
              </w:rPr>
              <w:t>Wilson, 2008</w:t>
            </w:r>
            <w:r>
              <w:rPr>
                <w:rFonts w:ascii="Arial" w:hAnsi="Arial" w:cs="Arial"/>
                <w:sz w:val="18"/>
                <w:szCs w:val="18"/>
              </w:rPr>
              <w:fldChar w:fldCharType="end"/>
            </w:r>
          </w:p>
        </w:tc>
        <w:tc>
          <w:tcPr>
            <w:tcW w:w="3005" w:type="dxa"/>
            <w:vAlign w:val="center"/>
          </w:tcPr>
          <w:p w14:paraId="4EA1E6EA" w14:textId="0122654C" w:rsidR="00952388" w:rsidRPr="004F1BFA" w:rsidRDefault="007A42D4" w:rsidP="004F1BFA">
            <w:pPr>
              <w:jc w:val="center"/>
              <w:rPr>
                <w:rFonts w:ascii="Arial" w:hAnsi="Arial" w:cs="Arial"/>
                <w:sz w:val="18"/>
                <w:szCs w:val="18"/>
              </w:rPr>
            </w:pPr>
            <w:r w:rsidRPr="004F1BFA">
              <w:rPr>
                <w:rFonts w:ascii="Arial" w:hAnsi="Arial" w:cs="Arial"/>
                <w:sz w:val="18"/>
                <w:szCs w:val="18"/>
              </w:rPr>
              <w:t>Gulf of Mexico, deep sea</w:t>
            </w:r>
          </w:p>
        </w:tc>
        <w:tc>
          <w:tcPr>
            <w:tcW w:w="3006" w:type="dxa"/>
            <w:vAlign w:val="center"/>
          </w:tcPr>
          <w:p w14:paraId="3424836A" w14:textId="0116C0D2" w:rsidR="00952388" w:rsidRPr="004F1BFA" w:rsidRDefault="007A42D4" w:rsidP="004F1BFA">
            <w:pPr>
              <w:jc w:val="center"/>
              <w:rPr>
                <w:rFonts w:ascii="Arial" w:hAnsi="Arial" w:cs="Arial"/>
                <w:sz w:val="18"/>
                <w:szCs w:val="18"/>
              </w:rPr>
            </w:pPr>
            <w:r w:rsidRPr="004F1BFA">
              <w:rPr>
                <w:rFonts w:ascii="Arial" w:hAnsi="Arial" w:cs="Arial"/>
                <w:sz w:val="18"/>
                <w:szCs w:val="18"/>
              </w:rPr>
              <w:t>60</w:t>
            </w:r>
          </w:p>
        </w:tc>
      </w:tr>
      <w:tr w:rsidR="00952388" w14:paraId="653CDFA3" w14:textId="77777777" w:rsidTr="004F1BFA">
        <w:trPr>
          <w:trHeight w:val="454"/>
        </w:trPr>
        <w:tc>
          <w:tcPr>
            <w:tcW w:w="3005" w:type="dxa"/>
            <w:vAlign w:val="center"/>
          </w:tcPr>
          <w:p w14:paraId="575EF6D6" w14:textId="2EE3571D"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{"citationItems":[{"id":"ITEM-1","itemData":{"DOI":"10.1016/J.POCEAN.2019.102236","ISSN":"0079-6611","abstract":"Although crustal trenches of the hadal zone, a global feature of the deep ocean floor, have been known geologically for decades, the biological connections between hadal trenches and neighboring abyssal regions are only beginning to be understood. Within the hadal community, both endemism and species diversity of invertebrate taxa appear to be high; however, the presence of cryptic species implies that the true diversity may be much greater. Desmosomatids and nannoniscids (Isopoda: Asellota) are common components of deep-sea communities and apparently underwent an ancient and rapid radiation into the deep sea, creating high diversity, often with little associated morphological difference. We used an integrated morphological and molecular approach to investigate the species diversity of hadal isopods in the Kuril-Kamchatka Trench and compare morphological and genetic relationships. Our analyses delineated at most 38 species from the deep KKT trench. Thirty-four of these species are new to science, and seven are likely cryptic species, revealed only by genetic species delimitation. The combined morphological-molecular approach proved especially powerful in cases where sexual dimorphism has made species diagnosis problematic, such as the genus Mirabilicoxa Hessler, 1970. Across the study region, diversity declined sharply with increasing depth in the trench, and most species’ depth ranges were narrow, on the order of hundreds of meters, implicating a strong vertical gradient in promoting divergence. Eugerdella hadalis Golovan &amp; Brix sp. nov., the only true hadal species from the dataset, is described.","author":[{"dropping-particle":"","family":"Jennings","given":"R.M.","non-dropping-particle":"","parse-names":false,"suffix":""},{"dropping-particle":"","family":"Golovan","given":"O.A.","non-dropping-particle":"","parse-names":false,"suffix":""},{"dropping-particle":"","family":"Brix","given":"S.","non-dropping-particle":"","parse-names":false,"suffix":""}],"container-title":"Progress in Oceanography","id":"ITEM-1","issued":{"date-parts":[["2020","3","1"]]},"page":"102236","publisher":"Elsevier","title":"Integrative species delimitation of desmosomatid and nannoniscid isopods from the Kuril-Kamchatka trench, with description of a hadal species","type":"article-journal","volume":"182"},"uris":["http://www.mendeley.com/documents/?uuid=87ccbe9a-c327-3982-9764-4d2245249ed3"]}],"mendeley":{"formattedCitation":"(Jennings et al., 2020)","manualFormatting":"Jennings et al., 2020","plainTextFormattedCitation":"(Jennings et al., 2020)","previouslyFormattedCitation":"(Jennings et al., 2020)"},"properties":{"noteIndex":0},"schema":"https://github.com/citation-style-language/schema/raw/master/csl-citation.json"}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Jennings et al., 2020</w:t>
            </w:r>
            <w:r>
              <w:rPr>
                <w:rFonts w:ascii="Arial" w:hAnsi="Arial" w:cs="Arial"/>
                <w:sz w:val="18"/>
                <w:szCs w:val="18"/>
              </w:rPr>
              <w:fldChar w:fldCharType="end"/>
            </w:r>
            <w:r w:rsidR="007A42D4" w:rsidRPr="004F1BFA">
              <w:rPr>
                <w:rFonts w:ascii="Arial" w:hAnsi="Arial" w:cs="Arial"/>
                <w:sz w:val="18"/>
                <w:szCs w:val="18"/>
              </w:rPr>
              <w:t xml:space="preserve"> (genetic study)</w:t>
            </w:r>
          </w:p>
        </w:tc>
        <w:tc>
          <w:tcPr>
            <w:tcW w:w="3005" w:type="dxa"/>
            <w:vAlign w:val="center"/>
          </w:tcPr>
          <w:p w14:paraId="71304C93" w14:textId="4F9DB6D2" w:rsidR="00952388" w:rsidRPr="004F1BFA" w:rsidRDefault="007A42D4" w:rsidP="004F1BFA">
            <w:pPr>
              <w:jc w:val="center"/>
              <w:rPr>
                <w:rFonts w:ascii="Arial" w:hAnsi="Arial" w:cs="Arial"/>
                <w:sz w:val="18"/>
                <w:szCs w:val="18"/>
              </w:rPr>
            </w:pPr>
            <w:r w:rsidRPr="004F1BFA">
              <w:rPr>
                <w:rFonts w:ascii="Arial" w:hAnsi="Arial" w:cs="Arial"/>
                <w:sz w:val="18"/>
                <w:szCs w:val="18"/>
              </w:rPr>
              <w:t>Kuril-Kamchatka trench, deep sea</w:t>
            </w:r>
          </w:p>
        </w:tc>
        <w:tc>
          <w:tcPr>
            <w:tcW w:w="3006" w:type="dxa"/>
            <w:vAlign w:val="center"/>
          </w:tcPr>
          <w:p w14:paraId="64F6A5A0" w14:textId="279C3EE3" w:rsidR="00952388" w:rsidRPr="004F1BFA" w:rsidRDefault="007A42D4" w:rsidP="004F1BFA">
            <w:pPr>
              <w:jc w:val="center"/>
              <w:rPr>
                <w:rFonts w:ascii="Arial" w:hAnsi="Arial" w:cs="Arial"/>
                <w:sz w:val="18"/>
                <w:szCs w:val="18"/>
              </w:rPr>
            </w:pPr>
            <w:r w:rsidRPr="004F1BFA">
              <w:rPr>
                <w:rFonts w:ascii="Arial" w:hAnsi="Arial" w:cs="Arial"/>
                <w:sz w:val="18"/>
                <w:szCs w:val="18"/>
              </w:rPr>
              <w:t>34</w:t>
            </w:r>
          </w:p>
        </w:tc>
      </w:tr>
      <w:tr w:rsidR="00952388" w14:paraId="343EDC96" w14:textId="77777777" w:rsidTr="004F1BFA">
        <w:trPr>
          <w:trHeight w:val="454"/>
        </w:trPr>
        <w:tc>
          <w:tcPr>
            <w:tcW w:w="3005" w:type="dxa"/>
            <w:vAlign w:val="center"/>
          </w:tcPr>
          <w:p w14:paraId="6B5C5B5C" w14:textId="36B78D09"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{"citationItems":[{"id":"ITEM-1","itemData":{"DOI":"10.1071/IS18070","ISSN":"1447-2600","abstract":"During the Miocene, central and western Australia shared a warm–wet environment that harboured a mesic rainforest fauna. Now, although the area is within the arid climate zone, it provides a habitat for highly diverse groundwater-associated invertebrates. Periods of global cooling and aridification during the late Miocene resulted in isolated desert refuges that retained ancient lineages. We aimed to characterise oniscidean isopod crustaceans from three refugial locations in the arid zone, and salt lakes, to identify new putative species. Extensive sampling and sequencing of the mitochondrial Cytochrome Oxidase c subunit 1 gene and the 18S rRNA gene were conducted. A molecular phylogenetic analysis of the oniscidean genus Haloniscus showed results consistent with a relictualisation hypothesis of widespread populations from across South Australia to Western Australia with subsequent geographic isolation and diversification of new species within habitats. We observed significant regional endemicity, but some lineages were not regionally monophyletic, pointing to past connectivity. We expand the range of Haloniscus and identify at least 26 putative species from arid-zone locations in Australia, with substantial phylogeographic structure within locations. These findings highlight the importance of relictual groundwater habitats as refugia for a diverse fauna representing early climatic history in Australia’s arid zone.","author":[{"dropping-particle":"","family":"Guzik","given":"M.T.","non-dropping-particle":"","parse-names":false,"suffix":""},{"dropping-particle":"","family":"Stringer","given":"D.N.","non-dropping-particle":"","parse-names":false,"suffix":""},{"dropping-particle":"","family":"Murphy","given":"N.P.","non-dropping-particle":"","parse-names":false,"suffix":""},{"dropping-particle":"","family":"Cooper","given":"S.J.B.","non-dropping-particle":"","parse-names":false,"suffix":""},{"dropping-particle":"","family":"Taiti","given":"S.","non-dropping-particle":"","parse-names":false,"suffix":""},{"dropping-particle":"","family":"King","given":"R.A.","non-dropping-particle":"","parse-names":false,"suffix":""},{"dropping-particle":"","family":"Humphreys","given":"W.F.","non-dropping-particle":"","parse-names":false,"suffix":""},{"dropping-particle":"","family":"Austin","given":"A.D.","non-dropping-particle":"","parse-names":false,"suffix":""}],"container-title":"Invertebrate Systematics","id":"ITEM-1","issue":"3","issued":{"date-parts":[["2019","6","4"]]},"page":"556-574","publisher":"CSIRO Publishing","title":"Molecular phylogenetic analysis of Australian arid-zone oniscidean isopods (Crustacea: Haloniscus) reveals strong regional endemicity and new putative species","type":"article-journal","volume":"33"},"uris":["http://www.mendeley.com/documents/?uuid=be6c3e64-3895-3d56-bd23-c83ecde1277a"]}],"mendeley":{"formattedCitation":"(Guzik et al., 2019)","manualFormatting":"Guzik et al., 2019","plainTextFormattedCitation":"(Guzik et al., 2019)","previouslyFormattedCitation":"(Guzik et al., 2019)"},"properties":{"noteIndex":0},"schema":"https://github.com/citation-style-language/schema/raw/master/csl-citation.json"}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Guzik et al., 2019</w:t>
            </w:r>
            <w:r>
              <w:rPr>
                <w:rFonts w:ascii="Arial" w:hAnsi="Arial" w:cs="Arial"/>
                <w:sz w:val="18"/>
                <w:szCs w:val="18"/>
              </w:rPr>
              <w:fldChar w:fldCharType="end"/>
            </w:r>
            <w:r w:rsidR="007A42D4" w:rsidRPr="004F1BFA">
              <w:rPr>
                <w:rFonts w:ascii="Arial" w:hAnsi="Arial" w:cs="Arial"/>
                <w:sz w:val="18"/>
                <w:szCs w:val="18"/>
              </w:rPr>
              <w:t xml:space="preserve"> (genetic study)</w:t>
            </w:r>
          </w:p>
        </w:tc>
        <w:tc>
          <w:tcPr>
            <w:tcW w:w="3005" w:type="dxa"/>
            <w:vAlign w:val="center"/>
          </w:tcPr>
          <w:p w14:paraId="5129CEE2" w14:textId="2CAF6FA7" w:rsidR="00952388" w:rsidRPr="004F1BFA" w:rsidRDefault="007A42D4" w:rsidP="004F1BFA">
            <w:pPr>
              <w:jc w:val="center"/>
              <w:rPr>
                <w:rFonts w:ascii="Arial" w:hAnsi="Arial" w:cs="Arial"/>
                <w:sz w:val="18"/>
                <w:szCs w:val="18"/>
              </w:rPr>
            </w:pPr>
            <w:r w:rsidRPr="004F1BFA">
              <w:rPr>
                <w:rFonts w:ascii="Arial" w:hAnsi="Arial" w:cs="Arial"/>
                <w:sz w:val="18"/>
                <w:szCs w:val="18"/>
              </w:rPr>
              <w:t>Australia,</w:t>
            </w:r>
            <w:r w:rsidR="009E37C2" w:rsidRPr="004F1BFA">
              <w:rPr>
                <w:rFonts w:ascii="Arial" w:hAnsi="Arial" w:cs="Arial"/>
                <w:sz w:val="18"/>
                <w:szCs w:val="18"/>
              </w:rPr>
              <w:t xml:space="preserve"> terrestrial</w:t>
            </w:r>
          </w:p>
        </w:tc>
        <w:tc>
          <w:tcPr>
            <w:tcW w:w="3006" w:type="dxa"/>
            <w:vAlign w:val="center"/>
          </w:tcPr>
          <w:p w14:paraId="4BF294AF" w14:textId="4C32E085" w:rsidR="00952388" w:rsidRPr="004F1BFA" w:rsidRDefault="007A42D4" w:rsidP="004F1BFA">
            <w:pPr>
              <w:jc w:val="center"/>
              <w:rPr>
                <w:rFonts w:ascii="Arial" w:hAnsi="Arial" w:cs="Arial"/>
                <w:sz w:val="18"/>
                <w:szCs w:val="18"/>
              </w:rPr>
            </w:pPr>
            <w:r w:rsidRPr="004F1BFA">
              <w:rPr>
                <w:rFonts w:ascii="Arial" w:hAnsi="Arial" w:cs="Arial"/>
                <w:sz w:val="18"/>
                <w:szCs w:val="18"/>
              </w:rPr>
              <w:t>26</w:t>
            </w:r>
          </w:p>
        </w:tc>
      </w:tr>
      <w:tr w:rsidR="00952388" w14:paraId="6BE7DEB2" w14:textId="77777777" w:rsidTr="004F1BFA">
        <w:trPr>
          <w:trHeight w:val="454"/>
        </w:trPr>
        <w:tc>
          <w:tcPr>
            <w:tcW w:w="3005" w:type="dxa"/>
            <w:vAlign w:val="center"/>
          </w:tcPr>
          <w:p w14:paraId="6AA12641" w14:textId="22BA4B0B"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{"citationItems":[{"id":"ITEM-1","itemData":{"DOI":"10.1016/J.DSR2.2018.01.008","ISSN":"0967-0645","abstract":"During the SokhoBio expedition in 2015, the macrobenthos was sampled by an epibenthic sledge at eleven sites at the abyssal and bathyal depths of the Kuril Basin of the Sea of Okhotsk, in the Bussol Strait, and on the western abyssal slope of the Kuril-Kamchatka Trench (KKT). Desmosomatidae constituted 30% of all isopod specimens (Crustacea: Malacostraca). Twenty-three species in eight genera (Desmosoma, Chelator, Eugerda, Eugerdella, Mirabilicoxa, Momedossa, Prochelator, and Oecidiobranchus) were found in the abyss of the Kuril Basin (at depths of 3210–3366 m) and the KKT slope (3371–4798 m). From these 17 species were found in the Sea of Okhotsk. This is the first record of this family at the abyssal depths of the Sea of Okhotsk. At the bathyal sites, Desmosomatidae were absent. This is the first report of the genus Oecidiobranchus in the North Pacific. Twenty species (86%) are new to science. The abundance and species richness of Desmosomatidae in the abyssal zone of the Kuril Basin varied from 0 to 282 individuals and 14 species per station. No relationships were found between the data on desmosomatid composition and abiotic parameters in the abyssal zone of the sea. In contrast, low oxygen content in the bathyal zone of the Kuril Basin and strong currents in the Bussol Strait can prevent colonization by the Desmosomatidae. The desmosomatid fauna in the abyssal zone of the Sea of Okhotsk is linked to the Pacific abyssal fauna of the KKT area. Among desmosomatids collected in the Sea of Okhotsk, seven genera and 10 species were found previously in the KKT abyssal zone during the KuramBio expedition (2012). The shelf desmosomatid fauna of the Sea of Okhotsk is more similar to the fauna of the bathyal and even abyssal zones of the Sea of Japan than the abyssal zone of the Sea of Okhotsk. These distributional patterns can be explained by taking into account the hydrology of the Sea of Okhotsk. The dominant species in the abyssal zone of the Kuril Basin, which comprises 27% of all specimens of the family, Mirabilicoxa biramosa sp. nov., is described. The new species can be distinguished from all other species of the genus by the presence of biramous uropods. A modified diagnosis of the genus Mirabilicoxa is presented.","author":[{"dropping-particle":"","family":"Golovan","given":"O.A.","non-dropping-particle":"","parse-names":false,"suffix":""}],"container-title":"Deep Sea Research Part II: Topical Studies in Oceanography","id":"ITEM-1","issued":{"date-parts":[["2018","8","1"]]},"page":"292-307","publisher":"Pergamon","title":"Desmosomatidae (Isopoda: Asellota) from the Kuril Basin of the Sea of Okhotsk: First data on diversity with the description of the dominant species Mirabilicoxa biramosa sp. nov.","type":"article-journal","volume":"154"},"uris":["http://www.mendeley.com/documents/?uuid=d9500ff4-9d73-3eb3-9638-20a03f34b6f8"]}],"mendeley":{"formattedCitation":"(Golovan, 2018)","manualFormatting":"Golovan, 2018","plainTextFormattedCitation":"(Golovan, 2018)","previouslyFormattedCitation":"(Golovan, 2018)"},"properties":{"noteIndex":0},"schema":"https://github.com/citation-style-language/schema/raw/master/csl-citation.json"}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Golovan, 2018</w:t>
            </w:r>
            <w:r>
              <w:rPr>
                <w:rFonts w:ascii="Arial" w:hAnsi="Arial" w:cs="Arial"/>
                <w:sz w:val="18"/>
                <w:szCs w:val="18"/>
              </w:rPr>
              <w:fldChar w:fldCharType="end"/>
            </w:r>
          </w:p>
        </w:tc>
        <w:tc>
          <w:tcPr>
            <w:tcW w:w="3005" w:type="dxa"/>
            <w:vAlign w:val="center"/>
          </w:tcPr>
          <w:p w14:paraId="43457B8E" w14:textId="1763E243" w:rsidR="00952388" w:rsidRPr="004F1BFA" w:rsidRDefault="009E37C2" w:rsidP="004F1BFA">
            <w:pPr>
              <w:jc w:val="center"/>
              <w:rPr>
                <w:rFonts w:ascii="Arial" w:hAnsi="Arial" w:cs="Arial"/>
                <w:sz w:val="18"/>
                <w:szCs w:val="18"/>
              </w:rPr>
            </w:pPr>
            <w:r w:rsidRPr="004F1BFA">
              <w:rPr>
                <w:rFonts w:ascii="Arial" w:hAnsi="Arial" w:cs="Arial"/>
                <w:sz w:val="18"/>
                <w:szCs w:val="18"/>
              </w:rPr>
              <w:t>Kuril Basin, deep sea</w:t>
            </w:r>
          </w:p>
        </w:tc>
        <w:tc>
          <w:tcPr>
            <w:tcW w:w="3006" w:type="dxa"/>
            <w:vAlign w:val="center"/>
          </w:tcPr>
          <w:p w14:paraId="5BA1DEA9" w14:textId="09A6419D" w:rsidR="00952388" w:rsidRPr="004F1BFA" w:rsidRDefault="006450E6" w:rsidP="004F1BFA">
            <w:pPr>
              <w:jc w:val="center"/>
              <w:rPr>
                <w:rFonts w:ascii="Arial" w:hAnsi="Arial" w:cs="Arial"/>
                <w:sz w:val="18"/>
                <w:szCs w:val="18"/>
              </w:rPr>
            </w:pPr>
            <w:r>
              <w:rPr>
                <w:rFonts w:ascii="Arial" w:hAnsi="Arial" w:cs="Arial"/>
                <w:sz w:val="18"/>
                <w:szCs w:val="18"/>
              </w:rPr>
              <w:t>19</w:t>
            </w:r>
          </w:p>
        </w:tc>
      </w:tr>
      <w:tr w:rsidR="00952388" w14:paraId="087C0808" w14:textId="77777777" w:rsidTr="004F1BFA">
        <w:trPr>
          <w:trHeight w:val="454"/>
        </w:trPr>
        <w:tc>
          <w:tcPr>
            <w:tcW w:w="3005" w:type="dxa"/>
            <w:vAlign w:val="center"/>
          </w:tcPr>
          <w:p w14:paraId="395742AF" w14:textId="6085D7D3"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{"citationItems":[{"id":"ITEM-1","itemData":{"abstract":"This catalogue comprises a complete record of the deep-sea isopods collected off the west coast of Ireland and Britain to date. Benthic samples were taken over a two-year period by the zoobenthos group of the National University of Ireland, Galway, aboard the RV Celtic Explorer. Additional material collected as part of an environmental assessment by an Irish environmental consultancy (Aqua-Fact), was donated by the Galway-Mayo Institute of Technology, Galway. Further samples collected by the U.K. Department of Transport and housed at the National Museums of Scotland, Edinburgh, were also examined. Records from peer-reviewed literature, published catalogues and reports are included in the list. Information is provided on the type specimens, type locality and depth range of the species, where known. Ten new records were reported for the area including one new species. An additional 15 new species were collected to be used in future research studies. It was noted that the species recorded in this area of the North East Atlantic bear an affinity to the fauna of the Northern Seas. A total of 40% of the species recorded in the study area are also found in the Northern Seas, supporting the hypothesis that the fauna of the Northern Seas consists of comparatively recent immigrants from the adjacent shelves. A comprehensive bibliography is provided and a history of deep-sea research in the area is presented.","author":[{"dropping-particle":"","family":"Kavanagh","given":"F.A.","non-dropping-particle":"","parse-names":false,"suffix":""}],"container-title":"Bulletin of the Irish biogeographical Society","id":"ITEM-1","issued":{"date-parts":[["2009"]]},"page":"14-75","title":"A catalogue of the Asellota (Crustacea: Isopoda) off the west coast of Ireland and Britain, from 100–5000 m","type":"article-journal","volume":"33"},"uris":["http://www.mendeley.com/documents/?uuid=d1df8e02-3e3c-330a-9af4-deb6f0935b35"]}],"mendeley":{"formattedCitation":"(Kavanagh, 2009)","manualFormatting":"Kavanagh, 2009","plainTextFormattedCitation":"(Kavanagh, 2009)","previouslyFormattedCitation":"(Kavanagh, 2009)"},"properties":{"noteIndex":0},"schema":"https://github.com/citation-style-language/schema/raw/master/csl-citation.json"}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Kavanagh, 2009</w:t>
            </w:r>
            <w:r>
              <w:rPr>
                <w:rFonts w:ascii="Arial" w:hAnsi="Arial" w:cs="Arial"/>
                <w:sz w:val="18"/>
                <w:szCs w:val="18"/>
              </w:rPr>
              <w:fldChar w:fldCharType="end"/>
            </w:r>
          </w:p>
        </w:tc>
        <w:tc>
          <w:tcPr>
            <w:tcW w:w="3005" w:type="dxa"/>
            <w:vAlign w:val="center"/>
          </w:tcPr>
          <w:p w14:paraId="63A5FC54" w14:textId="56472009" w:rsidR="00952388" w:rsidRPr="004F1BFA" w:rsidRDefault="009E37C2" w:rsidP="004F1BFA">
            <w:pPr>
              <w:jc w:val="center"/>
              <w:rPr>
                <w:rFonts w:ascii="Arial" w:hAnsi="Arial" w:cs="Arial"/>
                <w:sz w:val="18"/>
                <w:szCs w:val="18"/>
              </w:rPr>
            </w:pPr>
            <w:r w:rsidRPr="004F1BFA">
              <w:rPr>
                <w:rFonts w:ascii="Arial" w:hAnsi="Arial" w:cs="Arial"/>
                <w:sz w:val="18"/>
                <w:szCs w:val="18"/>
              </w:rPr>
              <w:t>Ireland, deep sea</w:t>
            </w:r>
          </w:p>
        </w:tc>
        <w:tc>
          <w:tcPr>
            <w:tcW w:w="3006" w:type="dxa"/>
            <w:vAlign w:val="center"/>
          </w:tcPr>
          <w:p w14:paraId="71CE0AAA" w14:textId="0DA628E0" w:rsidR="00952388" w:rsidRPr="004F1BFA" w:rsidRDefault="009E37C2" w:rsidP="004F1BFA">
            <w:pPr>
              <w:jc w:val="center"/>
              <w:rPr>
                <w:rFonts w:ascii="Arial" w:hAnsi="Arial" w:cs="Arial"/>
                <w:sz w:val="18"/>
                <w:szCs w:val="18"/>
              </w:rPr>
            </w:pPr>
            <w:r w:rsidRPr="004F1BFA">
              <w:rPr>
                <w:rFonts w:ascii="Arial" w:hAnsi="Arial" w:cs="Arial"/>
                <w:sz w:val="18"/>
                <w:szCs w:val="18"/>
              </w:rPr>
              <w:t>15</w:t>
            </w:r>
          </w:p>
        </w:tc>
      </w:tr>
      <w:tr w:rsidR="0007575C" w14:paraId="24677B18" w14:textId="77777777" w:rsidTr="004F1BFA">
        <w:trPr>
          <w:trHeight w:val="454"/>
        </w:trPr>
        <w:tc>
          <w:tcPr>
            <w:tcW w:w="3005" w:type="dxa"/>
            <w:vAlign w:val="center"/>
          </w:tcPr>
          <w:p w14:paraId="16BE5199" w14:textId="6BB591F7" w:rsidR="0007575C" w:rsidRDefault="00497317"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ISBN":"0936494166","author":[{"dropping-particle":"","family":"Wetzer","given":"R.","non-dropping-particle":"","parse-names":false,"suffix":""},{"dropping-particle":"","family":"Brusca","given":"R.C.","non-dropping-particle":"","parse-names":false,"suffix":""},{"dropping-particle":"","family":"Wilson","given":"G.D.F.","non-dropping-particle":"","parse-names":false,"suffix":""}],"container-title":"Taxonomic Atlas of the Benthic Fauna of the Santa Maria Basin and Western Santa Barbara Channel","editor":[{"dropping-particle":"","family":"Blake","given":"James A.","non-dropping-particle":"","parse-names":false,"suffix":""},{"dropping-particle":"","family":"Scott","given":"Paul H.","non-dropping-particle":"","parse-names":false,"suffix":""}],"id":"ITEM-1","issued":{"date-parts":[["1997"]]},"number-of-pages":"278","publisher":"Santa Barbara Museum of Natural History","publisher-place":"Santa Barbara, California","title":"The Crustacea Part 2 - The Isopoda, Cumacea and Tanaidacea","type":"book","volume":"11"},"uris":["http://www.mendeley.com/documents/?uuid=c1ebd0df-994a-467e-9a89-65f42198fa97"]}],"mendeley":{"formattedCitation":"(Wetzer et al., 1997)","manualFormatting":"Wetzer et al., 1997","plainTextFormattedCitation":"(Wetzer et al., 1997)","previouslyFormattedCitation":"(Wetzer et al., 1997)"},"properties":{"noteIndex":0},"schema":"https://github.com/citation-style-language/schema/raw/master/csl-citation.json"}</w:instrText>
            </w:r>
            <w:r>
              <w:rPr>
                <w:rFonts w:ascii="Arial" w:hAnsi="Arial" w:cs="Arial"/>
                <w:sz w:val="18"/>
                <w:szCs w:val="18"/>
              </w:rPr>
              <w:fldChar w:fldCharType="separate"/>
            </w:r>
            <w:r w:rsidRPr="00497317">
              <w:rPr>
                <w:rFonts w:ascii="Arial" w:hAnsi="Arial" w:cs="Arial"/>
                <w:noProof/>
                <w:sz w:val="18"/>
                <w:szCs w:val="18"/>
              </w:rPr>
              <w:t>Wetzer et al., 1997</w:t>
            </w:r>
            <w:r>
              <w:rPr>
                <w:rFonts w:ascii="Arial" w:hAnsi="Arial" w:cs="Arial"/>
                <w:sz w:val="18"/>
                <w:szCs w:val="18"/>
              </w:rPr>
              <w:fldChar w:fldCharType="end"/>
            </w:r>
          </w:p>
        </w:tc>
        <w:tc>
          <w:tcPr>
            <w:tcW w:w="3005" w:type="dxa"/>
            <w:vAlign w:val="center"/>
          </w:tcPr>
          <w:p w14:paraId="1E4D128E" w14:textId="5111B03C" w:rsidR="0007575C" w:rsidRPr="004F1BFA" w:rsidRDefault="00C56A59" w:rsidP="004F1BFA">
            <w:pPr>
              <w:jc w:val="center"/>
              <w:rPr>
                <w:rFonts w:ascii="Arial" w:hAnsi="Arial" w:cs="Arial"/>
                <w:sz w:val="18"/>
                <w:szCs w:val="18"/>
              </w:rPr>
            </w:pPr>
            <w:r>
              <w:rPr>
                <w:rFonts w:ascii="Arial" w:hAnsi="Arial" w:cs="Arial"/>
                <w:sz w:val="18"/>
                <w:szCs w:val="18"/>
              </w:rPr>
              <w:t xml:space="preserve">Santa </w:t>
            </w:r>
            <w:r w:rsidR="00460764">
              <w:rPr>
                <w:rFonts w:ascii="Arial" w:hAnsi="Arial" w:cs="Arial"/>
                <w:sz w:val="18"/>
                <w:szCs w:val="18"/>
              </w:rPr>
              <w:t>M</w:t>
            </w:r>
            <w:r>
              <w:rPr>
                <w:rFonts w:ascii="Arial" w:hAnsi="Arial" w:cs="Arial"/>
                <w:sz w:val="18"/>
                <w:szCs w:val="18"/>
              </w:rPr>
              <w:t xml:space="preserve">aria Basin and </w:t>
            </w:r>
            <w:r w:rsidR="00543B68">
              <w:rPr>
                <w:rFonts w:ascii="Arial" w:hAnsi="Arial" w:cs="Arial"/>
                <w:sz w:val="18"/>
                <w:szCs w:val="18"/>
              </w:rPr>
              <w:t xml:space="preserve">Western </w:t>
            </w:r>
            <w:r>
              <w:rPr>
                <w:rFonts w:ascii="Arial" w:hAnsi="Arial" w:cs="Arial"/>
                <w:sz w:val="18"/>
                <w:szCs w:val="18"/>
              </w:rPr>
              <w:t>Santa Barbara</w:t>
            </w:r>
            <w:r w:rsidR="00543B68">
              <w:rPr>
                <w:rFonts w:ascii="Arial" w:hAnsi="Arial" w:cs="Arial"/>
                <w:sz w:val="18"/>
                <w:szCs w:val="18"/>
              </w:rPr>
              <w:t xml:space="preserve"> Channel</w:t>
            </w:r>
          </w:p>
        </w:tc>
        <w:tc>
          <w:tcPr>
            <w:tcW w:w="3006" w:type="dxa"/>
            <w:vAlign w:val="center"/>
          </w:tcPr>
          <w:p w14:paraId="0DCD9F5D" w14:textId="1CF74C16" w:rsidR="0007575C" w:rsidRPr="004F1BFA" w:rsidRDefault="0007575C" w:rsidP="004F1BFA">
            <w:pPr>
              <w:jc w:val="center"/>
              <w:rPr>
                <w:rFonts w:ascii="Arial" w:hAnsi="Arial" w:cs="Arial"/>
                <w:sz w:val="18"/>
                <w:szCs w:val="18"/>
              </w:rPr>
            </w:pPr>
            <w:r>
              <w:rPr>
                <w:rFonts w:ascii="Arial" w:hAnsi="Arial" w:cs="Arial"/>
                <w:sz w:val="18"/>
                <w:szCs w:val="18"/>
              </w:rPr>
              <w:t>14</w:t>
            </w:r>
          </w:p>
        </w:tc>
      </w:tr>
      <w:tr w:rsidR="00952388" w14:paraId="26D3A496" w14:textId="77777777" w:rsidTr="004F1BFA">
        <w:trPr>
          <w:trHeight w:val="454"/>
        </w:trPr>
        <w:tc>
          <w:tcPr>
            <w:tcW w:w="3005" w:type="dxa"/>
            <w:vAlign w:val="center"/>
          </w:tcPr>
          <w:p w14:paraId="194CE084" w14:textId="132531E9"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{"citationItems":[{"id":"ITEM-1","itemData":{"abstract":"Literature dealing with isopods from the east Pacific is reviewed. Marine and brackish water species reported at least once in the Eastern Tropical Pacific zoogeographic subregion, which extends from Magdalena Bay, on the west coast of Southern Baja California, Mexico, to Paita, in northern Peru, are listed, and their ranges along the Pacific coast of America are provided. Unpublished records, based on material kept in the collections of the authors, were also considered, to modify previously published distribution ranges within the study area. A total of 124 species, belonging to 68 genera, is included in the checklist and new records or new distribution data are provided for 19 species. A list of names of species and subspecies currently recognized as invalid for the area is also included.","author":[{"dropping-particle":"","family":"Carmen Espinosa-Pérez","given":"M.","non-dropping-particle":"del","parse-names":false,"suffix":""},{"dropping-particle":"","family":"Hendrickx","given":"M.E.","non-dropping-particle":"","parse-names":false,"suffix":""}],"container-title":"Belgian Journal of Zoology","id":"ITEM-1","issue":"1","issued":{"date-parts":[["2001"]]},"page":"43-56","title":"Checklist of isopods (Crustacea: Peracarida: Isopoda) from the eastern tropical Pacific","type":"article-journal","volume":"131"},"uris":["http://www.mendeley.com/documents/?uuid=b1aea596-32b6-3a35-8d87-58dc7465350a"]}],"mendeley":{"formattedCitation":"(del Carmen Espinosa-Pérez &amp; Hendrickx, 2001)","manualFormatting":"del Carmen Espinosa-Pérez &amp; Hendrickx, 2001","plainTextFormattedCitation":"(del Carmen Espinosa-Pérez &amp; Hendrickx, 2001)","previouslyFormattedCitation":"(del Carmen Espinosa-Pérez &amp; Hendrickx, 2001)"},"properties":{"noteIndex":0},"schema":"https://github.com/citation-style-language/schema/raw/master/csl-citation.json"}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del Carmen Espinosa-Pérez &amp; Hendrickx, 2001</w:t>
            </w:r>
            <w:r>
              <w:rPr>
                <w:rFonts w:ascii="Arial" w:hAnsi="Arial" w:cs="Arial"/>
                <w:sz w:val="18"/>
                <w:szCs w:val="18"/>
              </w:rPr>
              <w:fldChar w:fldCharType="end"/>
            </w:r>
          </w:p>
        </w:tc>
        <w:tc>
          <w:tcPr>
            <w:tcW w:w="3005" w:type="dxa"/>
            <w:vAlign w:val="center"/>
          </w:tcPr>
          <w:p w14:paraId="354DF7FA" w14:textId="7F800DE1" w:rsidR="00952388" w:rsidRPr="004F1BFA" w:rsidRDefault="009E37C2" w:rsidP="004F1BFA">
            <w:pPr>
              <w:jc w:val="center"/>
              <w:rPr>
                <w:rFonts w:ascii="Arial" w:hAnsi="Arial" w:cs="Arial"/>
                <w:sz w:val="18"/>
                <w:szCs w:val="18"/>
              </w:rPr>
            </w:pPr>
            <w:r w:rsidRPr="004F1BFA">
              <w:rPr>
                <w:rFonts w:ascii="Arial" w:hAnsi="Arial" w:cs="Arial"/>
                <w:sz w:val="18"/>
                <w:szCs w:val="18"/>
              </w:rPr>
              <w:t>Eastern Tropical Pacific</w:t>
            </w:r>
          </w:p>
        </w:tc>
        <w:tc>
          <w:tcPr>
            <w:tcW w:w="3006" w:type="dxa"/>
            <w:vAlign w:val="center"/>
          </w:tcPr>
          <w:p w14:paraId="0B2F0B5D" w14:textId="01A4E518" w:rsidR="00952388" w:rsidRPr="004F1BFA" w:rsidRDefault="009E37C2" w:rsidP="004F1BFA">
            <w:pPr>
              <w:jc w:val="center"/>
              <w:rPr>
                <w:rFonts w:ascii="Arial" w:hAnsi="Arial" w:cs="Arial"/>
                <w:sz w:val="18"/>
                <w:szCs w:val="18"/>
              </w:rPr>
            </w:pPr>
            <w:r w:rsidRPr="004F1BFA">
              <w:rPr>
                <w:rFonts w:ascii="Arial" w:hAnsi="Arial" w:cs="Arial"/>
                <w:sz w:val="18"/>
                <w:szCs w:val="18"/>
              </w:rPr>
              <w:t>8</w:t>
            </w:r>
          </w:p>
        </w:tc>
      </w:tr>
      <w:tr w:rsidR="00952388" w14:paraId="78BED0D5" w14:textId="77777777" w:rsidTr="004F1BFA">
        <w:trPr>
          <w:trHeight w:val="454"/>
        </w:trPr>
        <w:tc>
          <w:tcPr>
            <w:tcW w:w="3005" w:type="dxa"/>
            <w:vAlign w:val="center"/>
          </w:tcPr>
          <w:p w14:paraId="205DD201" w14:textId="16BFC137"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{"citationItems":[{"id":"ITEM-1","itemData":{"DOI":"10.1007/S12526-018-0877-6","ISSN":"1867-1624","abstract":"Eurycope producta Sars, 1868 and Eurycope inermis Hansen, 1916 are two widely distributed and highly abundant isopod species complexes within Icelandic waters, a region known for its highly variable environment. The two species complexes have bathymetric depth ranges from 103 to 2029&amp;nbsp;m (E. producta) and from 302 to 2113&amp;nbsp;m (E. inermis). Molecular evidence was used for species delimitation within these species complexes by analyzing nuclear (18S rDNA, H3) and mitochondrial (16S rDNA, COI) sequence data. Tree-based methods (BI and ML) and four species delimitation methods (ABGD, GMYC, NDT, PTP) were applied, in order to disentangle the two species complexes. A total of eight and four species clades could be identified within samples of the E. producta and E. inermis complexes and respectively included the closely related species E. dahli Svavarsson, 1987; E. hanseni Ohlin, 1901; and E. cornuta Sars, 1864. The morphological findings coincide with the observed molecular species clades. The elucidated species clades were geographically and bathymetrically much more restricted than previously assumed. Eight species clades featured depth spans of less than 400&amp;nbsp;m and only four species clades featured depth spans of 1000 to 1500&amp;nbsp;m. Only two species clades (E. producta sensu stricto and E. inermis sensu stricto) were found on both sides of the Greenland-Scotland Ridge. Further, species distribution maps were generated using random forest, to predict potential distributional patterns for the resolved species clades of the two species complexes. We present the first attempt of combining morphological, molecular, and species distribution models in marine isopods thus far.","author":[{"dropping-particle":"","family":"Schnurr","given":"S.","non-dropping-particle":"","parse-names":false,"suffix":""},{"dropping-particle":"","family":"Osborn","given":"K.J.","non-dropping-particle":"","parse-names":false,"suffix":""},{"dropping-particle":"","family":"Malyutina","given":"M.","non-dropping-particle":"","parse-names":false,"suffix":""},{"dropping-particle":"","family":"Jennings","given":"R.M.","non-dropping-particle":"","parse-names":false,"suffix":""},{"dropping-particle":"","family":"Brix","given":"S.","non-dropping-particle":"","parse-names":false,"suffix":""},{"dropping-particle":"","family":"Driskell","given":"A.","non-dropping-particle":"","parse-names":false,"suffix":""},{"dropping-particle":"","family":"Svavarsson","given":"J.","non-dropping-particle":"","parse-names":false,"suffix":""},{"dropping-particle":"","family":"Martinez Arbizu","given":"P.","non-dropping-particle":"","parse-names":false,"suffix":""}],"container-title":"Marine Biodiversity","id":"ITEM-1","issue":"2","issued":{"date-parts":[["2018","4","23"]]},"page":"813-843","publisher":"Springer","title":"Hidden diversity in two species complexes of munnopsid isopods (Crustacea) at the transition between the northernmost North Atlantic and the Nordic Seas","type":"article-journal","volume":"48"},"uris":["http://www.mendeley.com/documents/?uuid=d7ad0c51-0e80-3fd9-b5e7-d53d8701c8c4"]}],"mendeley":{"formattedCitation":"(Schnurr et al., 2018)","manualFormatting":"Schnurr et al., 2018","plainTextFormattedCitation":"(Schnurr et al., 2018)","previouslyFormattedCitation":"(Schnurr et al., 2018)"},"properties":{"noteIndex":0},"schema":"https://github.com/citation-style-language/schema/raw/master/csl-citation.json"}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Schnurr et al., 2018</w:t>
            </w:r>
            <w:r>
              <w:rPr>
                <w:rFonts w:ascii="Arial" w:hAnsi="Arial" w:cs="Arial"/>
                <w:sz w:val="18"/>
                <w:szCs w:val="18"/>
              </w:rPr>
              <w:fldChar w:fldCharType="end"/>
            </w:r>
            <w:r w:rsidR="009E37C2" w:rsidRPr="004F1BFA">
              <w:rPr>
                <w:rFonts w:ascii="Arial" w:hAnsi="Arial" w:cs="Arial"/>
                <w:sz w:val="18"/>
                <w:szCs w:val="18"/>
              </w:rPr>
              <w:t xml:space="preserve"> (genetic study)</w:t>
            </w:r>
          </w:p>
        </w:tc>
        <w:tc>
          <w:tcPr>
            <w:tcW w:w="3005" w:type="dxa"/>
            <w:vAlign w:val="center"/>
          </w:tcPr>
          <w:p w14:paraId="4A4E3D17" w14:textId="5D99F9A9" w:rsidR="00952388" w:rsidRPr="004F1BFA" w:rsidRDefault="009E37C2" w:rsidP="004F1BFA">
            <w:pPr>
              <w:jc w:val="center"/>
              <w:rPr>
                <w:rFonts w:ascii="Arial" w:hAnsi="Arial" w:cs="Arial"/>
                <w:sz w:val="18"/>
                <w:szCs w:val="18"/>
              </w:rPr>
            </w:pPr>
            <w:r w:rsidRPr="004F1BFA">
              <w:rPr>
                <w:rFonts w:ascii="Arial" w:hAnsi="Arial" w:cs="Arial"/>
                <w:sz w:val="18"/>
                <w:szCs w:val="18"/>
              </w:rPr>
              <w:t>Transition zone btw. North Atlantic and Nordic Seas</w:t>
            </w:r>
          </w:p>
        </w:tc>
        <w:tc>
          <w:tcPr>
            <w:tcW w:w="3006" w:type="dxa"/>
            <w:vAlign w:val="center"/>
          </w:tcPr>
          <w:p w14:paraId="368A7532" w14:textId="6EA17B6E" w:rsidR="00952388" w:rsidRPr="004F1BFA" w:rsidRDefault="009E37C2" w:rsidP="004F1BFA">
            <w:pPr>
              <w:jc w:val="center"/>
              <w:rPr>
                <w:rFonts w:ascii="Arial" w:hAnsi="Arial" w:cs="Arial"/>
                <w:sz w:val="18"/>
                <w:szCs w:val="18"/>
              </w:rPr>
            </w:pPr>
            <w:r w:rsidRPr="004F1BFA">
              <w:rPr>
                <w:rFonts w:ascii="Arial" w:hAnsi="Arial" w:cs="Arial"/>
                <w:sz w:val="18"/>
                <w:szCs w:val="18"/>
              </w:rPr>
              <w:t>7</w:t>
            </w:r>
          </w:p>
        </w:tc>
      </w:tr>
      <w:tr w:rsidR="00952388" w14:paraId="51DD9630" w14:textId="77777777" w:rsidTr="004F1BFA">
        <w:trPr>
          <w:trHeight w:val="454"/>
        </w:trPr>
        <w:tc>
          <w:tcPr>
            <w:tcW w:w="3005" w:type="dxa"/>
            <w:vAlign w:val="center"/>
          </w:tcPr>
          <w:p w14:paraId="4B5E7B22" w14:textId="77730C43"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uthor":[{"dropping-particle":"","family":"Bunkley-Williams","given":"L.","non-dropping-particle":"","parse-names":false,"suffix":""},{"dropping-particle":"","family":"Williams","given":"E.H.","non-dropping-particle":"","parse-names":false,"suffix":""},{"dropping-particle":"","family":"Bashirullah","given":"A.K.","non-dropping-particle":"","parse-names":false,"suffix":""}],"container-title":"Revista de Biología Tropical","id":"ITEM-1","issued":{"date-parts":[["2006"]]},"page":"175-188","title":"Isopods (Isopoda: Aegidae, Cymothoidae, Gnathiidae) associated with Venezuelan marine fishes (Elasmobranchii, Actinopterygii)","type":"article-journal","volume":"54"},"uris":["http://www.mendeley.com/documents/?uuid=5751d64b-d8d3-3089-b45f-362944a03d51"]}],"mendeley":{"formattedCitation":"(Bunkley-Williams et al., 2006)","manualFormatting":"Bunkley-Williams et al., 2006","plainTextFormattedCitation":"(Bunkley-Williams et al., 2006)","previouslyFormattedCitation":"(Bunkley-Williams et al., 2006)"},"properties":{"noteIndex":0},"schema":"https://github.com/citation-style-language/schema/raw/master/csl-citation.json"}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Bunkley-Williams et al., 2006</w:t>
            </w:r>
            <w:r>
              <w:rPr>
                <w:rFonts w:ascii="Arial" w:hAnsi="Arial" w:cs="Arial"/>
                <w:sz w:val="18"/>
                <w:szCs w:val="18"/>
              </w:rPr>
              <w:fldChar w:fldCharType="end"/>
            </w:r>
          </w:p>
        </w:tc>
        <w:tc>
          <w:tcPr>
            <w:tcW w:w="3005" w:type="dxa"/>
            <w:vAlign w:val="center"/>
          </w:tcPr>
          <w:p w14:paraId="02A695A8" w14:textId="07410CDF" w:rsidR="00952388" w:rsidRPr="004F1BFA" w:rsidRDefault="009E37C2" w:rsidP="004F1BFA">
            <w:pPr>
              <w:jc w:val="center"/>
              <w:rPr>
                <w:rFonts w:ascii="Arial" w:hAnsi="Arial" w:cs="Arial"/>
                <w:sz w:val="18"/>
                <w:szCs w:val="18"/>
              </w:rPr>
            </w:pPr>
            <w:r w:rsidRPr="004F1BFA">
              <w:rPr>
                <w:rFonts w:ascii="Arial" w:hAnsi="Arial" w:cs="Arial"/>
                <w:sz w:val="18"/>
                <w:szCs w:val="18"/>
              </w:rPr>
              <w:t>Venezuela, marine</w:t>
            </w:r>
          </w:p>
        </w:tc>
        <w:tc>
          <w:tcPr>
            <w:tcW w:w="3006" w:type="dxa"/>
            <w:vAlign w:val="center"/>
          </w:tcPr>
          <w:p w14:paraId="4BC7FA63" w14:textId="15A76853" w:rsidR="00952388" w:rsidRPr="004F1BFA" w:rsidRDefault="009E37C2" w:rsidP="004F1BFA">
            <w:pPr>
              <w:jc w:val="center"/>
              <w:rPr>
                <w:rFonts w:ascii="Arial" w:hAnsi="Arial" w:cs="Arial"/>
                <w:sz w:val="18"/>
                <w:szCs w:val="18"/>
              </w:rPr>
            </w:pPr>
            <w:r w:rsidRPr="004F1BFA">
              <w:rPr>
                <w:rFonts w:ascii="Arial" w:hAnsi="Arial" w:cs="Arial"/>
                <w:sz w:val="18"/>
                <w:szCs w:val="18"/>
              </w:rPr>
              <w:t>Potentially up to 4</w:t>
            </w:r>
          </w:p>
        </w:tc>
      </w:tr>
      <w:tr w:rsidR="00952388" w14:paraId="058E2C7F" w14:textId="77777777" w:rsidTr="004F1BFA">
        <w:trPr>
          <w:trHeight w:val="454"/>
        </w:trPr>
        <w:tc>
          <w:tcPr>
            <w:tcW w:w="3005" w:type="dxa"/>
            <w:vAlign w:val="center"/>
          </w:tcPr>
          <w:p w14:paraId="3CD78156" w14:textId="08161B00"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uthor":[{"dropping-particle":"","family":"Graening","given":"G.","non-dropping-particle":"","parse-names":false,"suffix":""},{"dropping-particle":"","family":"Rogers","given":"D.C.","non-dropping-particle":"","parse-names":false,"suffix":""}],"container-title":"California Fish and Game","id":"ITEM-1","issue":"4","issued":{"date-parts":[["2013"]]},"page":"176-192","title":"Checklist of inland aquatic Isopoda (Crustacea: Malacostraca) of California","type":"article-journal","volume":"99"},"uris":["http://www.mendeley.com/documents/?uuid=887791bc-a572-3697-8ac2-de21dd7c35f2"]}],"mendeley":{"formattedCitation":"(Graening &amp; Rogers, 2013)","manualFormatting":"Graening &amp; Rogers, 2013","plainTextFormattedCitation":"(Graening &amp; Rogers, 2013)","previouslyFormattedCitation":"(Graening &amp; Rogers, 2013)"},"properties":{"noteIndex":0},"schema":"https://github.com/citation-style-language/schema/raw/master/csl-citation.json"}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Graening &amp; Rogers, 2013</w:t>
            </w:r>
            <w:r>
              <w:rPr>
                <w:rFonts w:ascii="Arial" w:hAnsi="Arial" w:cs="Arial"/>
                <w:sz w:val="18"/>
                <w:szCs w:val="18"/>
              </w:rPr>
              <w:fldChar w:fldCharType="end"/>
            </w:r>
          </w:p>
        </w:tc>
        <w:tc>
          <w:tcPr>
            <w:tcW w:w="3005" w:type="dxa"/>
            <w:vAlign w:val="center"/>
          </w:tcPr>
          <w:p w14:paraId="3289882D" w14:textId="11F8727F" w:rsidR="00952388" w:rsidRPr="004F1BFA" w:rsidRDefault="009E37C2" w:rsidP="004F1BFA">
            <w:pPr>
              <w:jc w:val="center"/>
              <w:rPr>
                <w:rFonts w:ascii="Arial" w:hAnsi="Arial" w:cs="Arial"/>
                <w:sz w:val="18"/>
                <w:szCs w:val="18"/>
              </w:rPr>
            </w:pPr>
            <w:r w:rsidRPr="004F1BFA">
              <w:rPr>
                <w:rFonts w:ascii="Arial" w:hAnsi="Arial" w:cs="Arial"/>
                <w:sz w:val="18"/>
                <w:szCs w:val="18"/>
              </w:rPr>
              <w:t>California, terrestrial</w:t>
            </w:r>
          </w:p>
        </w:tc>
        <w:tc>
          <w:tcPr>
            <w:tcW w:w="3006" w:type="dxa"/>
            <w:vAlign w:val="center"/>
          </w:tcPr>
          <w:p w14:paraId="6139E835" w14:textId="7AAE7884" w:rsidR="00952388" w:rsidRPr="004F1BFA" w:rsidRDefault="009E37C2" w:rsidP="004F1BFA">
            <w:pPr>
              <w:jc w:val="center"/>
              <w:rPr>
                <w:rFonts w:ascii="Arial" w:hAnsi="Arial" w:cs="Arial"/>
                <w:sz w:val="18"/>
                <w:szCs w:val="18"/>
              </w:rPr>
            </w:pPr>
            <w:r w:rsidRPr="004F1BFA">
              <w:rPr>
                <w:rFonts w:ascii="Arial" w:hAnsi="Arial" w:cs="Arial"/>
                <w:sz w:val="18"/>
                <w:szCs w:val="18"/>
              </w:rPr>
              <w:t>Potentially up to 4</w:t>
            </w:r>
          </w:p>
        </w:tc>
      </w:tr>
      <w:tr w:rsidR="00952388" w14:paraId="48FDBF62" w14:textId="77777777" w:rsidTr="004F1BFA">
        <w:trPr>
          <w:trHeight w:val="454"/>
        </w:trPr>
        <w:tc>
          <w:tcPr>
            <w:tcW w:w="3005" w:type="dxa"/>
            <w:vAlign w:val="center"/>
          </w:tcPr>
          <w:p w14:paraId="3A4DC58D" w14:textId="7B3EB4A8"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4E1797">
              <w:rPr>
                <w:rFonts w:ascii="Arial" w:hAnsi="Arial" w:cs="Arial"/>
                <w:sz w:val="18"/>
                <w:szCs w:val="18"/>
              </w:rPr>
              <w:instrText>ADDIN CSL_CITATION {"citationItems":[{"id":"ITEM-1","itemData":{"author":[{"dropping-particle":"","family":"Bluhm","given":"B.A.","non-dropping-particle":"","parse-names":false,"suffix":""},{"dropping-particle":"","family":"MacDonald","given":"I.R.","non-dropping-particle":"","parse-names":false,"suffix":""},{"dropping-particle":"","family":"Debenham","given":"C.","non-dropping-particle":"","parse-names":false,"suffix":""},{"dropping-particle":"","family":"Iken","given":"K.","non-dropping-particle":"","parse-names":false,"suffix":""}],"container-title":"Polar Biology","id":"ITEM-1","issue":"3","issued":{"date-parts":[["2005"]]},"page":"218-231","title":"Macro- and megabenthic communities in the high Arctic Canada Basin: Initial findings","type":"article-journal","volume":"28"},"uris":["http://www.mendeley.com/documents/?uuid=84268581-5f16-3473-99e7-6a97c833eef6"]}],"mendeley":{"formattedCitation":"(Bluhm et al., 2005)","manualFormatting":"Bluhm et al., 2005","plainTextFormattedCitation":"(Bluhm et al., 2005)","previouslyFormattedCitation":"(Bluhm et al., 2005)"},"properties":{"noteIndex":0},"schema":"https://github.com/citation-style-language/schema/raw/master/csl-citation.json"}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Bluhm et al., 2005</w:t>
            </w:r>
            <w:r>
              <w:rPr>
                <w:rFonts w:ascii="Arial" w:hAnsi="Arial" w:cs="Arial"/>
                <w:sz w:val="18"/>
                <w:szCs w:val="18"/>
              </w:rPr>
              <w:fldChar w:fldCharType="end"/>
            </w:r>
          </w:p>
        </w:tc>
        <w:tc>
          <w:tcPr>
            <w:tcW w:w="3005" w:type="dxa"/>
            <w:vAlign w:val="center"/>
          </w:tcPr>
          <w:p w14:paraId="54A07BA7" w14:textId="551FDE02" w:rsidR="00952388" w:rsidRPr="004F1BFA" w:rsidRDefault="009E37C2" w:rsidP="004F1BFA">
            <w:pPr>
              <w:jc w:val="center"/>
              <w:rPr>
                <w:rFonts w:ascii="Arial" w:hAnsi="Arial" w:cs="Arial"/>
                <w:sz w:val="18"/>
                <w:szCs w:val="18"/>
              </w:rPr>
            </w:pPr>
            <w:r w:rsidRPr="004F1BFA">
              <w:rPr>
                <w:rFonts w:ascii="Arial" w:hAnsi="Arial" w:cs="Arial"/>
                <w:sz w:val="18"/>
                <w:szCs w:val="18"/>
              </w:rPr>
              <w:t>Canada Basin, deep sea</w:t>
            </w:r>
          </w:p>
        </w:tc>
        <w:tc>
          <w:tcPr>
            <w:tcW w:w="3006" w:type="dxa"/>
            <w:vAlign w:val="center"/>
          </w:tcPr>
          <w:p w14:paraId="2BB48FCF" w14:textId="034D3C2B" w:rsidR="00952388" w:rsidRPr="004F1BFA" w:rsidRDefault="009E37C2" w:rsidP="004F1BFA">
            <w:pPr>
              <w:jc w:val="center"/>
              <w:rPr>
                <w:rFonts w:ascii="Arial" w:hAnsi="Arial" w:cs="Arial"/>
                <w:sz w:val="18"/>
                <w:szCs w:val="18"/>
              </w:rPr>
            </w:pPr>
            <w:r w:rsidRPr="004F1BFA">
              <w:rPr>
                <w:rFonts w:ascii="Arial" w:hAnsi="Arial" w:cs="Arial"/>
                <w:sz w:val="18"/>
                <w:szCs w:val="18"/>
              </w:rPr>
              <w:t>3</w:t>
            </w:r>
          </w:p>
        </w:tc>
      </w:tr>
      <w:tr w:rsidR="00952388" w14:paraId="1ADD53FC" w14:textId="77777777" w:rsidTr="004F1BFA">
        <w:trPr>
          <w:trHeight w:val="454"/>
        </w:trPr>
        <w:tc>
          <w:tcPr>
            <w:tcW w:w="3005" w:type="dxa"/>
            <w:vAlign w:val="center"/>
          </w:tcPr>
          <w:p w14:paraId="49A3DB82" w14:textId="0155D110"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uthor":[{"dropping-particle":"","family":"Boyko","given":"C.B.","non-dropping-particle":"","parse-names":false,"suffix":""},{"dropping-particle":"","family":"Williams","given":"J.D.","non-dropping-particle":"","parse-names":false,"suffix":""}],"container-title":"Bulletin of Marine Science","id":"ITEM-1","issue":"2","issued":{"date-parts":[["2004"]]},"page":"353-383","title":"New records of marine isopods (Crustacea: Peracarida) from the Bahamas, with descriptions of two new species of epicarideans","type":"article-journal","volume":"74"},"uris":["http://www.mendeley.com/documents/?uuid=f569eb99-1c2e-3e61-96fb-fdb7bd27bf14"]}],"mendeley":{"formattedCitation":"(Boyko &amp; Williams, 2004)","manualFormatting":"Boyko &amp; Williams, 2004","plainTextFormattedCitation":"(Boyko &amp; Williams, 2004)","previouslyFormattedCitation":"(Boyko &amp; Williams, 2004)"},"properties":{"noteIndex":0},"schema":"https://github.com/citation-style-language/schema/raw/master/csl-citation.json"}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Boyko &amp; Williams, 2004</w:t>
            </w:r>
            <w:r>
              <w:rPr>
                <w:rFonts w:ascii="Arial" w:hAnsi="Arial" w:cs="Arial"/>
                <w:sz w:val="18"/>
                <w:szCs w:val="18"/>
              </w:rPr>
              <w:fldChar w:fldCharType="end"/>
            </w:r>
          </w:p>
        </w:tc>
        <w:tc>
          <w:tcPr>
            <w:tcW w:w="3005" w:type="dxa"/>
            <w:vAlign w:val="center"/>
          </w:tcPr>
          <w:p w14:paraId="2E28D9F4" w14:textId="11352611" w:rsidR="00952388" w:rsidRPr="004F1BFA" w:rsidRDefault="00A03631" w:rsidP="004F1BFA">
            <w:pPr>
              <w:jc w:val="center"/>
              <w:rPr>
                <w:rFonts w:ascii="Arial" w:hAnsi="Arial" w:cs="Arial"/>
                <w:sz w:val="18"/>
                <w:szCs w:val="18"/>
              </w:rPr>
            </w:pPr>
            <w:r w:rsidRPr="004F1BFA">
              <w:rPr>
                <w:rFonts w:ascii="Arial" w:hAnsi="Arial" w:cs="Arial"/>
                <w:sz w:val="18"/>
                <w:szCs w:val="18"/>
              </w:rPr>
              <w:t>Bahamas, shallow marine waters</w:t>
            </w:r>
          </w:p>
        </w:tc>
        <w:tc>
          <w:tcPr>
            <w:tcW w:w="3006" w:type="dxa"/>
            <w:vAlign w:val="center"/>
          </w:tcPr>
          <w:p w14:paraId="703E234E" w14:textId="4294C419" w:rsidR="00952388" w:rsidRPr="004F1BFA" w:rsidRDefault="009E37C2" w:rsidP="004F1BFA">
            <w:pPr>
              <w:jc w:val="center"/>
              <w:rPr>
                <w:rFonts w:ascii="Arial" w:hAnsi="Arial" w:cs="Arial"/>
                <w:sz w:val="18"/>
                <w:szCs w:val="18"/>
              </w:rPr>
            </w:pPr>
            <w:r w:rsidRPr="004F1BFA">
              <w:rPr>
                <w:rFonts w:ascii="Arial" w:hAnsi="Arial" w:cs="Arial"/>
                <w:sz w:val="18"/>
                <w:szCs w:val="18"/>
              </w:rPr>
              <w:t>2</w:t>
            </w:r>
          </w:p>
        </w:tc>
      </w:tr>
      <w:tr w:rsidR="008814B2" w14:paraId="068F82ED" w14:textId="77777777" w:rsidTr="004F1BFA">
        <w:trPr>
          <w:trHeight w:val="454"/>
        </w:trPr>
        <w:tc>
          <w:tcPr>
            <w:tcW w:w="3005" w:type="dxa"/>
            <w:vAlign w:val="center"/>
          </w:tcPr>
          <w:p w14:paraId="2EDBD2B9" w14:textId="14742483" w:rsidR="008814B2" w:rsidRPr="004F1BFA" w:rsidRDefault="008814B2"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{"citationItems":[{"id":"ITEM-1","itemData":{"DOI":"10.11646/zootaxa.1370.1.5","ISSN":"11755334","abstract":"Pseudarachna nohinohi n. sp. from the Challenger Plateau, New Zealand is described. A further two undescribed species are recorded from Australian waters in the Tasman Sea, showing that this formerly monotypic North Atlantic genus is more widely distributed than previously thought. A revised diagnosis of the genus is presented. Copyright © 2006 Magnolia Press.","author":[{"dropping-particle":"","family":"Merrin","given":"K.L.","non-dropping-particle":"","parse-names":false,"suffix":""}],"container-title":"Zootaxa","id":"ITEM-1","issue":"1370","issued":{"date-parts":[["2006"]]},"page":"59-68","title":"The first record of the crustacean isopod genus Pseudarachna Sars, 1897 (Isopoda: Asellota: Munnopsidae) from the Southern Hemisphere, with description of a new species from New Zealand","type":"article-journal"},"uris":["http://www.mendeley.com/documents/?uuid=b060bc3b-a18e-47d5-b7b1-32b4f01480a0"]}],"mendeley":{"formattedCitation":"(Merrin, 2006)","manualFormatting":"Merrin, 2006","plainTextFormattedCitation":"(Merrin, 2006)","previouslyFormattedCitation":"(Merrin, 2006)"},"properties":{"noteIndex":0},"schema":"https://github.com/citation-style-language/schema/raw/master/csl-citation.json"}</w:instrText>
            </w:r>
            <w:r>
              <w:rPr>
                <w:rFonts w:ascii="Arial" w:hAnsi="Arial" w:cs="Arial"/>
                <w:sz w:val="18"/>
                <w:szCs w:val="18"/>
              </w:rPr>
              <w:fldChar w:fldCharType="separate"/>
            </w:r>
            <w:r w:rsidRPr="008814B2">
              <w:rPr>
                <w:rFonts w:ascii="Arial" w:hAnsi="Arial" w:cs="Arial"/>
                <w:noProof/>
                <w:sz w:val="18"/>
                <w:szCs w:val="18"/>
              </w:rPr>
              <w:t>Merrin, 2006</w:t>
            </w:r>
            <w:r>
              <w:rPr>
                <w:rFonts w:ascii="Arial" w:hAnsi="Arial" w:cs="Arial"/>
                <w:sz w:val="18"/>
                <w:szCs w:val="18"/>
              </w:rPr>
              <w:fldChar w:fldCharType="end"/>
            </w:r>
          </w:p>
        </w:tc>
        <w:tc>
          <w:tcPr>
            <w:tcW w:w="3005" w:type="dxa"/>
            <w:vAlign w:val="center"/>
          </w:tcPr>
          <w:p w14:paraId="422FE00B" w14:textId="7AA0F633" w:rsidR="008814B2" w:rsidRPr="004F1BFA" w:rsidRDefault="008653D0" w:rsidP="004F1BFA">
            <w:pPr>
              <w:jc w:val="center"/>
              <w:rPr>
                <w:rFonts w:ascii="Arial" w:hAnsi="Arial" w:cs="Arial"/>
                <w:sz w:val="18"/>
                <w:szCs w:val="18"/>
              </w:rPr>
            </w:pPr>
            <w:r>
              <w:rPr>
                <w:rFonts w:ascii="Arial" w:hAnsi="Arial" w:cs="Arial"/>
                <w:sz w:val="18"/>
                <w:szCs w:val="18"/>
              </w:rPr>
              <w:t>Tasman Sea</w:t>
            </w:r>
          </w:p>
        </w:tc>
        <w:tc>
          <w:tcPr>
            <w:tcW w:w="3006" w:type="dxa"/>
            <w:vAlign w:val="center"/>
          </w:tcPr>
          <w:p w14:paraId="41B2E1DC" w14:textId="4A9E74F2" w:rsidR="008814B2" w:rsidRPr="004F1BFA" w:rsidRDefault="008814B2" w:rsidP="004F1BFA">
            <w:pPr>
              <w:jc w:val="center"/>
              <w:rPr>
                <w:rFonts w:ascii="Arial" w:hAnsi="Arial" w:cs="Arial"/>
                <w:sz w:val="18"/>
                <w:szCs w:val="18"/>
              </w:rPr>
            </w:pPr>
            <w:r>
              <w:rPr>
                <w:rFonts w:ascii="Arial" w:hAnsi="Arial" w:cs="Arial"/>
                <w:sz w:val="18"/>
                <w:szCs w:val="18"/>
              </w:rPr>
              <w:t>2</w:t>
            </w:r>
          </w:p>
        </w:tc>
      </w:tr>
      <w:tr w:rsidR="00952388" w14:paraId="0E9B6976" w14:textId="77777777" w:rsidTr="004F1BFA">
        <w:trPr>
          <w:trHeight w:val="454"/>
        </w:trPr>
        <w:tc>
          <w:tcPr>
            <w:tcW w:w="3005" w:type="dxa"/>
            <w:vAlign w:val="center"/>
          </w:tcPr>
          <w:p w14:paraId="37EBACB6" w14:textId="2E015EC3"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uthor":[{"dropping-particle":"","family":"Magrini","given":"M.J.","non-dropping-particle":"","parse-names":false,"suffix":""},{"dropping-particle":"","family":"Araujo","given":"P.B.","non-dropping-particle":"","parse-names":false,"suffix":""},{"dropping-particle":"","family":"Uehara-Prado","given":"M.","non-dropping-particle":"","parse-names":false,"suffix":""}],"container-title":"Check List","id":"ITEM-1","issue":"2","issued":{"date-parts":[["2010"]]},"page":"217-219","title":"Crustacea, Isopoda, Oniscidea Latreille, 1802: New continent record and distribution extension in Brazil","type":"article-journal","volume":"6"},"uris":["http://www.mendeley.com/documents/?uuid=8b46d392-cdc2-3b35-8f25-808514ca86db"]}],"mendeley":{"formattedCitation":"(Magrini et al., 2010)","manualFormatting":"Magrini et al., 2010","plainTextFormattedCitation":"(Magrini et al., 2010)","previouslyFormattedCitation":"(Magrini et al., 2010)"},"properties":{"noteIndex":0},"schema":"https://github.com/citation-style-language/schema/raw/master/csl-citation.json"}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Magrini et al., 2010</w:t>
            </w:r>
            <w:r>
              <w:rPr>
                <w:rFonts w:ascii="Arial" w:hAnsi="Arial" w:cs="Arial"/>
                <w:sz w:val="18"/>
                <w:szCs w:val="18"/>
              </w:rPr>
              <w:fldChar w:fldCharType="end"/>
            </w:r>
          </w:p>
        </w:tc>
        <w:tc>
          <w:tcPr>
            <w:tcW w:w="3005" w:type="dxa"/>
            <w:vAlign w:val="center"/>
          </w:tcPr>
          <w:p w14:paraId="674D8480" w14:textId="0FD5A4AF" w:rsidR="00952388" w:rsidRPr="004F1BFA" w:rsidRDefault="00A03631" w:rsidP="004F1BFA">
            <w:pPr>
              <w:jc w:val="center"/>
              <w:rPr>
                <w:rFonts w:ascii="Arial" w:hAnsi="Arial" w:cs="Arial"/>
                <w:sz w:val="18"/>
                <w:szCs w:val="18"/>
              </w:rPr>
            </w:pPr>
            <w:r w:rsidRPr="004F1BFA">
              <w:rPr>
                <w:rFonts w:ascii="Arial" w:hAnsi="Arial" w:cs="Arial"/>
                <w:sz w:val="18"/>
                <w:szCs w:val="18"/>
              </w:rPr>
              <w:t>Brazil, terrestrial</w:t>
            </w:r>
          </w:p>
        </w:tc>
        <w:tc>
          <w:tcPr>
            <w:tcW w:w="3006" w:type="dxa"/>
            <w:vAlign w:val="center"/>
          </w:tcPr>
          <w:p w14:paraId="23E12028" w14:textId="1BDF9EC0" w:rsidR="00952388" w:rsidRPr="004F1BFA" w:rsidRDefault="00A03631" w:rsidP="004F1BFA">
            <w:pPr>
              <w:jc w:val="center"/>
              <w:rPr>
                <w:rFonts w:ascii="Arial" w:hAnsi="Arial" w:cs="Arial"/>
                <w:sz w:val="18"/>
                <w:szCs w:val="18"/>
              </w:rPr>
            </w:pPr>
            <w:r w:rsidRPr="004F1BFA">
              <w:rPr>
                <w:rFonts w:ascii="Arial" w:hAnsi="Arial" w:cs="Arial"/>
                <w:sz w:val="18"/>
                <w:szCs w:val="18"/>
              </w:rPr>
              <w:t>1 or 2</w:t>
            </w:r>
          </w:p>
        </w:tc>
      </w:tr>
      <w:tr w:rsidR="00952388" w14:paraId="170E2292" w14:textId="77777777" w:rsidTr="004F1BFA">
        <w:trPr>
          <w:trHeight w:val="454"/>
        </w:trPr>
        <w:tc>
          <w:tcPr>
            <w:tcW w:w="3005" w:type="dxa"/>
            <w:vAlign w:val="center"/>
          </w:tcPr>
          <w:p w14:paraId="7B299FEB" w14:textId="0338AE81"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{"citationItems":[{"id":"ITEM-1","itemData":{"author":[{"dropping-particle":"","family":"Held","given":"C.","non-dropping-particle":"","parse-names":false,"suffix":""}],"container-title":"Antarctic Biology in a Global Context","id":"ITEM-1","issued":{"date-parts":[["2003"]]},"publisher":"Backhuys Publishers","publisher-place":"Leiden, The Netherlands","title":"Molecular evidence for cryptic speciation within the widespread Antarctic crustacean Ceratoserolis trilobitoides (Crustacea, Isopoda)","type":"chapter"},"uris":["http://www.mendeley.com/documents/?uuid=9428fae1-4ad5-3689-9332-3430548f4b76"]}],"mendeley":{"formattedCitation":"(Held, 2003)","manualFormatting":"Held, 2003","plainTextFormattedCitation":"(Held, 2003)","previouslyFormattedCitation":"(Held, 2003)"},"properties":{"noteIndex":0},"schema":"https://github.com/citation-style-language/schema/raw/master/csl-citation.json"}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Held, 2003</w:t>
            </w:r>
            <w:r>
              <w:rPr>
                <w:rFonts w:ascii="Arial" w:hAnsi="Arial" w:cs="Arial"/>
                <w:sz w:val="18"/>
                <w:szCs w:val="18"/>
              </w:rPr>
              <w:fldChar w:fldCharType="end"/>
            </w:r>
            <w:r w:rsidR="00A03631" w:rsidRPr="004F1BFA">
              <w:rPr>
                <w:rFonts w:ascii="Arial" w:hAnsi="Arial" w:cs="Arial"/>
                <w:sz w:val="18"/>
                <w:szCs w:val="18"/>
              </w:rPr>
              <w:t xml:space="preserve"> (genetic study)</w:t>
            </w:r>
          </w:p>
        </w:tc>
        <w:tc>
          <w:tcPr>
            <w:tcW w:w="3005" w:type="dxa"/>
            <w:vAlign w:val="center"/>
          </w:tcPr>
          <w:p w14:paraId="06E8E23A" w14:textId="356666E2" w:rsidR="00952388" w:rsidRPr="004F1BFA" w:rsidRDefault="00A03631" w:rsidP="004F1BFA">
            <w:pPr>
              <w:jc w:val="center"/>
              <w:rPr>
                <w:rFonts w:ascii="Arial" w:hAnsi="Arial" w:cs="Arial"/>
                <w:sz w:val="18"/>
                <w:szCs w:val="18"/>
              </w:rPr>
            </w:pPr>
            <w:r w:rsidRPr="004F1BFA">
              <w:rPr>
                <w:rFonts w:ascii="Arial" w:hAnsi="Arial" w:cs="Arial"/>
                <w:sz w:val="18"/>
                <w:szCs w:val="18"/>
              </w:rPr>
              <w:t>Antarctic, shallow marine waters</w:t>
            </w:r>
          </w:p>
        </w:tc>
        <w:tc>
          <w:tcPr>
            <w:tcW w:w="3006" w:type="dxa"/>
            <w:vAlign w:val="center"/>
          </w:tcPr>
          <w:p w14:paraId="2F3B7542" w14:textId="3485B1A3" w:rsidR="00952388" w:rsidRPr="004F1BFA" w:rsidRDefault="00A03631" w:rsidP="004F1BFA">
            <w:pPr>
              <w:jc w:val="center"/>
              <w:rPr>
                <w:rFonts w:ascii="Arial" w:hAnsi="Arial" w:cs="Arial"/>
                <w:sz w:val="18"/>
                <w:szCs w:val="18"/>
              </w:rPr>
            </w:pPr>
            <w:r w:rsidRPr="004F1BFA">
              <w:rPr>
                <w:rFonts w:ascii="Arial" w:hAnsi="Arial" w:cs="Arial"/>
                <w:sz w:val="18"/>
                <w:szCs w:val="18"/>
              </w:rPr>
              <w:t>1</w:t>
            </w:r>
          </w:p>
        </w:tc>
      </w:tr>
      <w:tr w:rsidR="00952388" w14:paraId="45FE8437" w14:textId="77777777" w:rsidTr="004F1BFA">
        <w:trPr>
          <w:trHeight w:val="454"/>
        </w:trPr>
        <w:tc>
          <w:tcPr>
            <w:tcW w:w="3005" w:type="dxa"/>
            <w:vAlign w:val="center"/>
          </w:tcPr>
          <w:p w14:paraId="1450FA5B" w14:textId="705241AE"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{"citationItems":[{"id":"ITEM-1","itemData":{"author":[{"dropping-particle":"","family":"Brockerhoff","given":"A.M.","non-dropping-particle":"","parse-names":false,"suffix":""}],"container-title":"Journal of Parasitology","id":"ITEM-1","issue":"6","issued":{"date-parts":[["2004"]]},"page":"1338-1344","title":"Occurrence of the internal parasite Portunion sp. (Isopoda: Entoniscidae) and its effect on reproduction in intertidal crabs (Decapoda: Grapsidae) from New Zealand","type":"article-journal","volume":"90"},"uris":["http://www.mendeley.com/documents/?uuid=e6611c4d-e73e-36ac-88b6-89ecdea1f3c9"]}],"mendeley":{"formattedCitation":"(Brockerhoff, 2004)","manualFormatting":"Brockerhoff, 2004","plainTextFormattedCitation":"(Brockerhoff, 2004)","previouslyFormattedCitation":"(Brockerhoff, 2004)"},"properties":{"noteIndex":0},"schema":"https://github.com/citation-style-language/schema/raw/master/csl-citation.json"}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Brockerhoff, 2004</w:t>
            </w:r>
            <w:r>
              <w:rPr>
                <w:rFonts w:ascii="Arial" w:hAnsi="Arial" w:cs="Arial"/>
                <w:sz w:val="18"/>
                <w:szCs w:val="18"/>
              </w:rPr>
              <w:fldChar w:fldCharType="end"/>
            </w:r>
          </w:p>
        </w:tc>
        <w:tc>
          <w:tcPr>
            <w:tcW w:w="3005" w:type="dxa"/>
            <w:vAlign w:val="center"/>
          </w:tcPr>
          <w:p w14:paraId="01A13B32" w14:textId="52A8D85C" w:rsidR="00952388" w:rsidRPr="004F1BFA" w:rsidRDefault="00A03631" w:rsidP="004F1BFA">
            <w:pPr>
              <w:jc w:val="center"/>
              <w:rPr>
                <w:rFonts w:ascii="Arial" w:hAnsi="Arial" w:cs="Arial"/>
                <w:sz w:val="18"/>
                <w:szCs w:val="18"/>
              </w:rPr>
            </w:pPr>
            <w:r w:rsidRPr="004F1BFA">
              <w:rPr>
                <w:rFonts w:ascii="Arial" w:hAnsi="Arial" w:cs="Arial"/>
                <w:sz w:val="18"/>
                <w:szCs w:val="18"/>
              </w:rPr>
              <w:t>New Zealand, intertidal</w:t>
            </w:r>
          </w:p>
        </w:tc>
        <w:tc>
          <w:tcPr>
            <w:tcW w:w="3006" w:type="dxa"/>
            <w:vAlign w:val="center"/>
          </w:tcPr>
          <w:p w14:paraId="2168A13E" w14:textId="07FC8346" w:rsidR="00952388" w:rsidRPr="004F1BFA" w:rsidRDefault="00A03631" w:rsidP="004F1BFA">
            <w:pPr>
              <w:jc w:val="center"/>
              <w:rPr>
                <w:rFonts w:ascii="Arial" w:hAnsi="Arial" w:cs="Arial"/>
                <w:sz w:val="18"/>
                <w:szCs w:val="18"/>
              </w:rPr>
            </w:pPr>
            <w:r w:rsidRPr="004F1BFA">
              <w:rPr>
                <w:rFonts w:ascii="Arial" w:hAnsi="Arial" w:cs="Arial"/>
                <w:sz w:val="18"/>
                <w:szCs w:val="18"/>
              </w:rPr>
              <w:t>1</w:t>
            </w:r>
          </w:p>
        </w:tc>
      </w:tr>
      <w:tr w:rsidR="00952388" w14:paraId="2940803B" w14:textId="77777777" w:rsidTr="004F1BFA">
        <w:trPr>
          <w:trHeight w:val="454"/>
        </w:trPr>
        <w:tc>
          <w:tcPr>
            <w:tcW w:w="3005" w:type="dxa"/>
            <w:vAlign w:val="center"/>
          </w:tcPr>
          <w:p w14:paraId="50231C44" w14:textId="16C01FAA"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uthor":[{"dropping-particle":"","family":"Xavier","given":"R.","non-dropping-particle":"","parse-names":false,"suffix":""},{"dropping-particle":"","family":"Santos","given":"A.M.","non-dropping-particle":"","parse-names":false,"suffix":""},{"dropping-particle":"","family":"Harris","given":"D.J.","non-dropping-particle":"","parse-names":false,"suffix":""},{"dropping-particle":"","family":"Sezgin","given":"M.","non-dropping-particle":"","parse-names":false,"suffix":""},{"dropping-particle":"","family":"Machado","given":"M.","non-dropping-particle":"","parse-names":false,"suffix":""},{"dropping-particle":"","family":"Branco","given":"M.","non-dropping-particle":"","parse-names":false,"suffix":""}],"container-title":"Zoologica Scripta","id":"ITEM-1","issue":"4","issued":{"date-parts":[["2012"]]},"page":"386-399","title":"Phylogenetic analysis of the north</w:instrText>
            </w:r>
            <w:r w:rsidR="00221EE7">
              <w:rPr>
                <w:rFonts w:ascii="Cambria Math" w:hAnsi="Cambria Math" w:cs="Cambria Math"/>
                <w:sz w:val="18"/>
                <w:szCs w:val="18"/>
              </w:rPr>
              <w:instrText>‐</w:instrText>
            </w:r>
            <w:r w:rsidR="00221EE7">
              <w:rPr>
                <w:rFonts w:ascii="Arial" w:hAnsi="Arial" w:cs="Arial"/>
                <w:sz w:val="18"/>
                <w:szCs w:val="18"/>
              </w:rPr>
              <w:instrText>east Atlantic and Mediterranean species of the genus Stenosoma (Isopoda, Valvifera, Idoteidae)","type":"article-journal","volume":"41"},"uris":["http://www.mendeley.com/documents/?uuid=eee5bbdf-4176-3448-8170-068c17abf7a7"]}],"mendeley":{"formattedCitation":"(Xavier et al., 2012)","manualFormatting":"Xavier et al., 2012","plainTextFormattedCitation":"(Xavier et al., 2012)","previouslyFormattedCitation":"(Xavier et al., 2012)"},"properties":{"noteIndex":0},"schema":"https://github.com/citation-style-language/schema/raw/master/csl-citation.json"}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Xavier et al., 2012</w:t>
            </w:r>
            <w:r>
              <w:rPr>
                <w:rFonts w:ascii="Arial" w:hAnsi="Arial" w:cs="Arial"/>
                <w:sz w:val="18"/>
                <w:szCs w:val="18"/>
              </w:rPr>
              <w:fldChar w:fldCharType="end"/>
            </w:r>
            <w:r w:rsidR="00A03631" w:rsidRPr="004F1BFA">
              <w:rPr>
                <w:rFonts w:ascii="Arial" w:hAnsi="Arial" w:cs="Arial"/>
                <w:sz w:val="18"/>
                <w:szCs w:val="18"/>
              </w:rPr>
              <w:t xml:space="preserve"> (genetic study)</w:t>
            </w:r>
          </w:p>
        </w:tc>
        <w:tc>
          <w:tcPr>
            <w:tcW w:w="3005" w:type="dxa"/>
            <w:vAlign w:val="center"/>
          </w:tcPr>
          <w:p w14:paraId="6E003C9C" w14:textId="44FAC291" w:rsidR="00952388" w:rsidRPr="004F1BFA" w:rsidRDefault="00A03631" w:rsidP="004F1BFA">
            <w:pPr>
              <w:jc w:val="center"/>
              <w:rPr>
                <w:rFonts w:ascii="Arial" w:hAnsi="Arial" w:cs="Arial"/>
                <w:sz w:val="18"/>
                <w:szCs w:val="18"/>
              </w:rPr>
            </w:pPr>
            <w:r w:rsidRPr="004F1BFA">
              <w:rPr>
                <w:rFonts w:ascii="Arial" w:hAnsi="Arial" w:cs="Arial"/>
                <w:sz w:val="18"/>
                <w:szCs w:val="18"/>
              </w:rPr>
              <w:t>North-east Atlantic and Mediterranean</w:t>
            </w:r>
          </w:p>
        </w:tc>
        <w:tc>
          <w:tcPr>
            <w:tcW w:w="3006" w:type="dxa"/>
            <w:vAlign w:val="center"/>
          </w:tcPr>
          <w:p w14:paraId="1A2219B2" w14:textId="32812B99" w:rsidR="00952388" w:rsidRPr="004F1BFA" w:rsidRDefault="00A03631" w:rsidP="004F1BFA">
            <w:pPr>
              <w:jc w:val="center"/>
              <w:rPr>
                <w:rFonts w:ascii="Arial" w:hAnsi="Arial" w:cs="Arial"/>
                <w:sz w:val="18"/>
                <w:szCs w:val="18"/>
              </w:rPr>
            </w:pPr>
            <w:r w:rsidRPr="004F1BFA">
              <w:rPr>
                <w:rFonts w:ascii="Arial" w:hAnsi="Arial" w:cs="Arial"/>
                <w:sz w:val="18"/>
                <w:szCs w:val="18"/>
              </w:rPr>
              <w:t>1</w:t>
            </w:r>
          </w:p>
        </w:tc>
      </w:tr>
      <w:tr w:rsidR="00952388" w14:paraId="2891EFB4" w14:textId="77777777" w:rsidTr="004F1BFA">
        <w:trPr>
          <w:trHeight w:val="454"/>
        </w:trPr>
        <w:tc>
          <w:tcPr>
            <w:tcW w:w="3005" w:type="dxa"/>
            <w:vAlign w:val="center"/>
          </w:tcPr>
          <w:p w14:paraId="2A84249D" w14:textId="4C089DA4" w:rsidR="00952388" w:rsidRPr="004F1BFA" w:rsidRDefault="004F0446" w:rsidP="004F1BFA">
            <w:pPr>
              <w:rPr>
                <w:rFonts w:ascii="Arial" w:hAnsi="Arial" w:cs="Arial"/>
                <w:sz w:val="18"/>
                <w:szCs w:val="18"/>
              </w:rPr>
            </w:pPr>
            <w:r>
              <w:rPr>
                <w:rFonts w:ascii="Arial" w:hAnsi="Arial" w:cs="Arial"/>
                <w:sz w:val="18"/>
                <w:szCs w:val="18"/>
              </w:rPr>
              <w:fldChar w:fldCharType="begin" w:fldLock="1"/>
            </w:r>
            <w:r w:rsidR="00221EE7">
              <w:rPr>
                <w:rFonts w:ascii="Arial" w:hAnsi="Arial" w:cs="Arial"/>
                <w:sz w:val="18"/>
                <w:szCs w:val="18"/>
              </w:rPr>
              <w:instrText>ADDIN CSL_CITATION {"citationItems":[{"id":"ITEM-1","itemData":{"author":[{"dropping-particle":"","family":"Golovan","given":"O.A.","non-dropping-particle":"","parse-names":false,"suffix":""},{"dropping-particle":"","family":"Malyutina","given":"M.","non-dropping-particle":"","parse-names":false,"suffix":""}],"container-title":"Deep Sea Research Part II: Topical Studies in Oceanography","id":"ITEM-1","issued":{"date-parts":[["2022"]]},"title":"The first record of the family Paramunnidae (Isopoda: Asellota) from the bathyal of the Bering Sea with descriptions of two new species of Munnogonium","type":"article-journal","volume":"105095"},"uris":["http://www.mendeley.com/documents/?uuid=6fa27c1f-b124-3231-b231-49b3e15b04c0"]}],"mendeley":{"formattedCitation":"(Golovan &amp; Malyutina, 2022)","manualFormatting":"Golovan &amp; Malyutina, 2022","plainTextFormattedCitation":"(Golovan &amp; Malyutina, 2022)","previouslyFormattedCitation":"(Golovan &amp; Malyutina, 2022)"},"properties":{"noteIndex":0},"schema":"https://github.com/citation-style-language/schema/raw/master/csl-citation.json"}</w:instrText>
            </w:r>
            <w:r>
              <w:rPr>
                <w:rFonts w:ascii="Arial" w:hAnsi="Arial" w:cs="Arial"/>
                <w:sz w:val="18"/>
                <w:szCs w:val="18"/>
              </w:rPr>
              <w:fldChar w:fldCharType="separate"/>
            </w:r>
            <w:r w:rsidRPr="004F0446">
              <w:rPr>
                <w:rFonts w:ascii="Arial" w:hAnsi="Arial" w:cs="Arial"/>
                <w:noProof/>
                <w:sz w:val="18"/>
                <w:szCs w:val="18"/>
              </w:rPr>
              <w:t>Golovan &amp; Malyutina, 2022</w:t>
            </w:r>
            <w:r>
              <w:rPr>
                <w:rFonts w:ascii="Arial" w:hAnsi="Arial" w:cs="Arial"/>
                <w:sz w:val="18"/>
                <w:szCs w:val="18"/>
              </w:rPr>
              <w:fldChar w:fldCharType="end"/>
            </w:r>
          </w:p>
        </w:tc>
        <w:tc>
          <w:tcPr>
            <w:tcW w:w="3005" w:type="dxa"/>
            <w:vAlign w:val="center"/>
          </w:tcPr>
          <w:p w14:paraId="2A7D51F6" w14:textId="24C8155D" w:rsidR="00952388" w:rsidRPr="004F1BFA" w:rsidRDefault="00A03631" w:rsidP="004F1BFA">
            <w:pPr>
              <w:jc w:val="center"/>
              <w:rPr>
                <w:rFonts w:ascii="Arial" w:hAnsi="Arial" w:cs="Arial"/>
                <w:sz w:val="18"/>
                <w:szCs w:val="18"/>
              </w:rPr>
            </w:pPr>
            <w:r w:rsidRPr="004F1BFA">
              <w:rPr>
                <w:rFonts w:ascii="Arial" w:hAnsi="Arial" w:cs="Arial"/>
                <w:sz w:val="18"/>
                <w:szCs w:val="18"/>
              </w:rPr>
              <w:t>Bering Sea, deep sea</w:t>
            </w:r>
          </w:p>
        </w:tc>
        <w:tc>
          <w:tcPr>
            <w:tcW w:w="3006" w:type="dxa"/>
            <w:vAlign w:val="center"/>
          </w:tcPr>
          <w:p w14:paraId="24BE0351" w14:textId="2AE84A68" w:rsidR="00952388" w:rsidRPr="004F1BFA" w:rsidRDefault="00A03631" w:rsidP="004F1BFA">
            <w:pPr>
              <w:jc w:val="center"/>
              <w:rPr>
                <w:rFonts w:ascii="Arial" w:hAnsi="Arial" w:cs="Arial"/>
                <w:sz w:val="18"/>
                <w:szCs w:val="18"/>
              </w:rPr>
            </w:pPr>
            <w:r w:rsidRPr="004F1BFA">
              <w:rPr>
                <w:rFonts w:ascii="Arial" w:hAnsi="Arial" w:cs="Arial"/>
                <w:sz w:val="18"/>
                <w:szCs w:val="18"/>
              </w:rPr>
              <w:t>1</w:t>
            </w:r>
          </w:p>
        </w:tc>
      </w:tr>
    </w:tbl>
    <w:p w14:paraId="7B39565A" w14:textId="6F1949E9" w:rsidR="00952388" w:rsidRDefault="00952388"/>
    <w:p w14:paraId="38355805" w14:textId="717E92B4" w:rsidR="004975EC" w:rsidRDefault="004975EC"/>
    <w:p w14:paraId="1FCEE9E5" w14:textId="77777777" w:rsidR="004975EC" w:rsidRDefault="004975EC"/>
    <w:p w14:paraId="4F9A8EB1" w14:textId="44EAF9C7" w:rsidR="004F0446" w:rsidRPr="00225818" w:rsidRDefault="004F0446">
      <w:pPr>
        <w:rPr>
          <w:rFonts w:ascii="Times New Roman" w:hAnsi="Times New Roman" w:cs="Times New Roman"/>
          <w:b/>
          <w:bCs/>
          <w:sz w:val="24"/>
          <w:szCs w:val="24"/>
        </w:rPr>
      </w:pPr>
      <w:r w:rsidRPr="00225818">
        <w:rPr>
          <w:rFonts w:ascii="Times New Roman" w:hAnsi="Times New Roman" w:cs="Times New Roman"/>
          <w:b/>
          <w:bCs/>
          <w:sz w:val="24"/>
          <w:szCs w:val="24"/>
        </w:rPr>
        <w:t>References</w:t>
      </w:r>
    </w:p>
    <w:p w14:paraId="5925D249" w14:textId="27C1AFB4" w:rsidR="004E1797" w:rsidRPr="004E1797" w:rsidRDefault="004F0446"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1D0AB0">
        <w:rPr>
          <w:rFonts w:ascii="Times New Roman" w:hAnsi="Times New Roman" w:cs="Times New Roman"/>
          <w:sz w:val="20"/>
          <w:szCs w:val="20"/>
        </w:rPr>
        <w:fldChar w:fldCharType="begin" w:fldLock="1"/>
      </w:r>
      <w:r w:rsidRPr="001D0AB0">
        <w:rPr>
          <w:rFonts w:ascii="Times New Roman" w:hAnsi="Times New Roman" w:cs="Times New Roman"/>
          <w:sz w:val="20"/>
          <w:szCs w:val="20"/>
        </w:rPr>
        <w:instrText xml:space="preserve">ADDIN Mendeley Bibliography CSL_BIBLIOGRAPHY </w:instrText>
      </w:r>
      <w:r w:rsidRPr="001D0AB0">
        <w:rPr>
          <w:rFonts w:ascii="Times New Roman" w:hAnsi="Times New Roman" w:cs="Times New Roman"/>
          <w:sz w:val="20"/>
          <w:szCs w:val="20"/>
        </w:rPr>
        <w:fldChar w:fldCharType="separate"/>
      </w:r>
      <w:r w:rsidR="004E1797" w:rsidRPr="004E1797">
        <w:rPr>
          <w:rFonts w:ascii="Times New Roman" w:hAnsi="Times New Roman" w:cs="Times New Roman"/>
          <w:noProof/>
          <w:sz w:val="20"/>
          <w:szCs w:val="24"/>
        </w:rPr>
        <w:t xml:space="preserve">Bluhm, B. A., MacDonald, I. R., Debenham, C., &amp; Iken, K. (2005). Macro- and megabenthic communities in the high Arctic Canada Basin: Initial findings. </w:t>
      </w:r>
      <w:r w:rsidR="004E1797" w:rsidRPr="004E1797">
        <w:rPr>
          <w:rFonts w:ascii="Times New Roman" w:hAnsi="Times New Roman" w:cs="Times New Roman"/>
          <w:i/>
          <w:iCs/>
          <w:noProof/>
          <w:sz w:val="20"/>
          <w:szCs w:val="24"/>
        </w:rPr>
        <w:t>Polar Biology</w:t>
      </w:r>
      <w:r w:rsidR="004E1797" w:rsidRPr="004E1797">
        <w:rPr>
          <w:rFonts w:ascii="Times New Roman" w:hAnsi="Times New Roman" w:cs="Times New Roman"/>
          <w:noProof/>
          <w:sz w:val="20"/>
          <w:szCs w:val="24"/>
        </w:rPr>
        <w:t xml:space="preserve">, </w:t>
      </w:r>
      <w:r w:rsidR="004E1797" w:rsidRPr="004E1797">
        <w:rPr>
          <w:rFonts w:ascii="Times New Roman" w:hAnsi="Times New Roman" w:cs="Times New Roman"/>
          <w:i/>
          <w:iCs/>
          <w:noProof/>
          <w:sz w:val="20"/>
          <w:szCs w:val="24"/>
        </w:rPr>
        <w:t>28</w:t>
      </w:r>
      <w:r w:rsidR="004E1797" w:rsidRPr="004E1797">
        <w:rPr>
          <w:rFonts w:ascii="Times New Roman" w:hAnsi="Times New Roman" w:cs="Times New Roman"/>
          <w:noProof/>
          <w:sz w:val="20"/>
          <w:szCs w:val="24"/>
        </w:rPr>
        <w:t>(3), 218–231.</w:t>
      </w:r>
    </w:p>
    <w:p w14:paraId="1B01102A"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Boyko, C. B., &amp; Williams, J. D. (2004). New records of marine isopods (Crustacea: Peracarida) from the Bahamas, with descriptions of two new species of epicarideans. </w:t>
      </w:r>
      <w:r w:rsidRPr="004E1797">
        <w:rPr>
          <w:rFonts w:ascii="Times New Roman" w:hAnsi="Times New Roman" w:cs="Times New Roman"/>
          <w:i/>
          <w:iCs/>
          <w:noProof/>
          <w:sz w:val="20"/>
          <w:szCs w:val="24"/>
        </w:rPr>
        <w:t>Bulletin of Marine Science</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74</w:t>
      </w:r>
      <w:r w:rsidRPr="004E1797">
        <w:rPr>
          <w:rFonts w:ascii="Times New Roman" w:hAnsi="Times New Roman" w:cs="Times New Roman"/>
          <w:noProof/>
          <w:sz w:val="20"/>
          <w:szCs w:val="24"/>
        </w:rPr>
        <w:t>(2), 353–383.</w:t>
      </w:r>
    </w:p>
    <w:p w14:paraId="12D5E657"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Brandt, A., Brix, S., Brökeland, W., Choudhury, M., Kaiser, S., &amp; Malyutina, M. (2007). Deep-sea isopod biodiversity, abundance, and endemism in the Atlantic sector of the Southern Ocean — Results from the ANDEEP I–III expeditions. </w:t>
      </w:r>
      <w:r w:rsidRPr="004E1797">
        <w:rPr>
          <w:rFonts w:ascii="Times New Roman" w:hAnsi="Times New Roman" w:cs="Times New Roman"/>
          <w:i/>
          <w:iCs/>
          <w:noProof/>
          <w:sz w:val="20"/>
          <w:szCs w:val="24"/>
        </w:rPr>
        <w:t>Deep Sea Research Part II: Topical Studies in Oceanography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54</w:t>
      </w:r>
      <w:r w:rsidRPr="004E1797">
        <w:rPr>
          <w:rFonts w:ascii="Times New Roman" w:hAnsi="Times New Roman" w:cs="Times New Roman"/>
          <w:noProof/>
          <w:sz w:val="20"/>
          <w:szCs w:val="24"/>
        </w:rPr>
        <w:t>(16–17), 1760–1775. https://doi.org/10.1016/J.DSR2.2007.07.015</w:t>
      </w:r>
    </w:p>
    <w:p w14:paraId="32F24B3B"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Brockerhoff, A. M. (2004). Occurrence of the internal parasite </w:t>
      </w:r>
      <w:r w:rsidRPr="00EC0851">
        <w:rPr>
          <w:rFonts w:ascii="Times New Roman" w:hAnsi="Times New Roman" w:cs="Times New Roman"/>
          <w:i/>
          <w:iCs/>
          <w:noProof/>
          <w:sz w:val="20"/>
          <w:szCs w:val="24"/>
        </w:rPr>
        <w:t>Portunion</w:t>
      </w:r>
      <w:r w:rsidRPr="004E1797">
        <w:rPr>
          <w:rFonts w:ascii="Times New Roman" w:hAnsi="Times New Roman" w:cs="Times New Roman"/>
          <w:noProof/>
          <w:sz w:val="20"/>
          <w:szCs w:val="24"/>
        </w:rPr>
        <w:t xml:space="preserve"> sp. (Isopoda: Entoniscidae) and its effect on reproduction in intertidal crabs (Decapoda: Grapsidae) from New Zealand. </w:t>
      </w:r>
      <w:r w:rsidRPr="004E1797">
        <w:rPr>
          <w:rFonts w:ascii="Times New Roman" w:hAnsi="Times New Roman" w:cs="Times New Roman"/>
          <w:i/>
          <w:iCs/>
          <w:noProof/>
          <w:sz w:val="20"/>
          <w:szCs w:val="24"/>
        </w:rPr>
        <w:t>Journal of Parasitology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90</w:t>
      </w:r>
      <w:r w:rsidRPr="004E1797">
        <w:rPr>
          <w:rFonts w:ascii="Times New Roman" w:hAnsi="Times New Roman" w:cs="Times New Roman"/>
          <w:noProof/>
          <w:sz w:val="20"/>
          <w:szCs w:val="24"/>
        </w:rPr>
        <w:t>(6), 1338–1344.</w:t>
      </w:r>
    </w:p>
    <w:p w14:paraId="143CF60C"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Bunkley-Williams, L., Williams, E. H., &amp; Bashirullah, A. K. (2006). Isopods (Isopoda: Aegidae, Cymothoidae, Gnathiidae) associated with Venezuelan marine fishes (Elasmobranchii, Actinopterygii). </w:t>
      </w:r>
      <w:r w:rsidRPr="004E1797">
        <w:rPr>
          <w:rFonts w:ascii="Times New Roman" w:hAnsi="Times New Roman" w:cs="Times New Roman"/>
          <w:i/>
          <w:iCs/>
          <w:noProof/>
          <w:sz w:val="20"/>
          <w:szCs w:val="24"/>
        </w:rPr>
        <w:t>Revista de Biología Tropical</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54</w:t>
      </w:r>
      <w:r w:rsidRPr="004E1797">
        <w:rPr>
          <w:rFonts w:ascii="Times New Roman" w:hAnsi="Times New Roman" w:cs="Times New Roman"/>
          <w:noProof/>
          <w:sz w:val="20"/>
          <w:szCs w:val="24"/>
        </w:rPr>
        <w:t>, 175–188.</w:t>
      </w:r>
    </w:p>
    <w:p w14:paraId="01B7D526"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del Carmen Espinosa-Pérez, M., &amp; Hendrickx, M. E. (2001). Checklist of isopods (Crustacea: Peracarida: Isopoda) from the eastern tropical Pacific. </w:t>
      </w:r>
      <w:r w:rsidRPr="004E1797">
        <w:rPr>
          <w:rFonts w:ascii="Times New Roman" w:hAnsi="Times New Roman" w:cs="Times New Roman"/>
          <w:i/>
          <w:iCs/>
          <w:noProof/>
          <w:sz w:val="20"/>
          <w:szCs w:val="24"/>
        </w:rPr>
        <w:t>Belgian Journal of Zoology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131</w:t>
      </w:r>
      <w:r w:rsidRPr="004E1797">
        <w:rPr>
          <w:rFonts w:ascii="Times New Roman" w:hAnsi="Times New Roman" w:cs="Times New Roman"/>
          <w:noProof/>
          <w:sz w:val="20"/>
          <w:szCs w:val="24"/>
        </w:rPr>
        <w:t>(1), 43–56.</w:t>
      </w:r>
    </w:p>
    <w:p w14:paraId="0478BB6B"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Golovan, O. A. (2018). Desmosomatidae (Isopoda: Asellota) from the Kuril Basin of the Sea of Okhotsk: First data on diversity with the description of the dominant species </w:t>
      </w:r>
      <w:r w:rsidRPr="001A1B9D">
        <w:rPr>
          <w:rFonts w:ascii="Times New Roman" w:hAnsi="Times New Roman" w:cs="Times New Roman"/>
          <w:i/>
          <w:iCs/>
          <w:noProof/>
          <w:sz w:val="20"/>
          <w:szCs w:val="24"/>
        </w:rPr>
        <w:t>Mirabilicoxa biramosa</w:t>
      </w:r>
      <w:r w:rsidRPr="004E1797">
        <w:rPr>
          <w:rFonts w:ascii="Times New Roman" w:hAnsi="Times New Roman" w:cs="Times New Roman"/>
          <w:noProof/>
          <w:sz w:val="20"/>
          <w:szCs w:val="24"/>
        </w:rPr>
        <w:t xml:space="preserve"> sp. nov. </w:t>
      </w:r>
      <w:r w:rsidRPr="004E1797">
        <w:rPr>
          <w:rFonts w:ascii="Times New Roman" w:hAnsi="Times New Roman" w:cs="Times New Roman"/>
          <w:i/>
          <w:iCs/>
          <w:noProof/>
          <w:sz w:val="20"/>
          <w:szCs w:val="24"/>
        </w:rPr>
        <w:t>Deep Sea Research Part II: Topical Studies in Oceanography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154</w:t>
      </w:r>
      <w:r w:rsidRPr="004E1797">
        <w:rPr>
          <w:rFonts w:ascii="Times New Roman" w:hAnsi="Times New Roman" w:cs="Times New Roman"/>
          <w:noProof/>
          <w:sz w:val="20"/>
          <w:szCs w:val="24"/>
        </w:rPr>
        <w:t>, 292–307. https://doi.org/10.1016/J.DSR2.2018.01.008</w:t>
      </w:r>
    </w:p>
    <w:p w14:paraId="26BABC96"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Golovan, O. A., &amp; Malyutina, M. (2022). The first record of the family Paramunnidae (Isopoda: Asellota) from the bathyal of the Bering Sea with descriptions of two new species of </w:t>
      </w:r>
      <w:r w:rsidRPr="001A1B9D">
        <w:rPr>
          <w:rFonts w:ascii="Times New Roman" w:hAnsi="Times New Roman" w:cs="Times New Roman"/>
          <w:i/>
          <w:iCs/>
          <w:noProof/>
          <w:sz w:val="20"/>
          <w:szCs w:val="24"/>
        </w:rPr>
        <w:t>Munnogonium</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Deep Sea Research Part II: Topical Studies in Oceanography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105095</w:t>
      </w:r>
      <w:r w:rsidRPr="004E1797">
        <w:rPr>
          <w:rFonts w:ascii="Times New Roman" w:hAnsi="Times New Roman" w:cs="Times New Roman"/>
          <w:noProof/>
          <w:sz w:val="20"/>
          <w:szCs w:val="24"/>
        </w:rPr>
        <w:t>.</w:t>
      </w:r>
    </w:p>
    <w:p w14:paraId="64E18040"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Graening, G., &amp; Rogers, D. C. (2013). Checklist of inland aquatic Isopoda (Crustacea: Malacostraca) of California. </w:t>
      </w:r>
      <w:r w:rsidRPr="004E1797">
        <w:rPr>
          <w:rFonts w:ascii="Times New Roman" w:hAnsi="Times New Roman" w:cs="Times New Roman"/>
          <w:i/>
          <w:iCs/>
          <w:noProof/>
          <w:sz w:val="20"/>
          <w:szCs w:val="24"/>
        </w:rPr>
        <w:t>California Fish and Game</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99</w:t>
      </w:r>
      <w:r w:rsidRPr="004E1797">
        <w:rPr>
          <w:rFonts w:ascii="Times New Roman" w:hAnsi="Times New Roman" w:cs="Times New Roman"/>
          <w:noProof/>
          <w:sz w:val="20"/>
          <w:szCs w:val="24"/>
        </w:rPr>
        <w:t>(4), 176–192.</w:t>
      </w:r>
    </w:p>
    <w:p w14:paraId="3A0209EE"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Guzik, M. T., Stringer, D. N., Murphy, N. P., Cooper, S. J. B., Taiti, S., King, R. A., Humphreys, W. F., &amp; Austin, A. D. (2019). Molecular phylogenetic analysis of Australian arid-zone oniscidean isopods (Crustacea: </w:t>
      </w:r>
      <w:r w:rsidRPr="001A1B9D">
        <w:rPr>
          <w:rFonts w:ascii="Times New Roman" w:hAnsi="Times New Roman" w:cs="Times New Roman"/>
          <w:i/>
          <w:iCs/>
          <w:noProof/>
          <w:sz w:val="20"/>
          <w:szCs w:val="24"/>
        </w:rPr>
        <w:t>Haloniscus</w:t>
      </w:r>
      <w:r w:rsidRPr="004E1797">
        <w:rPr>
          <w:rFonts w:ascii="Times New Roman" w:hAnsi="Times New Roman" w:cs="Times New Roman"/>
          <w:noProof/>
          <w:sz w:val="20"/>
          <w:szCs w:val="24"/>
        </w:rPr>
        <w:t xml:space="preserve">) reveals strong regional endemicity and new putative species. </w:t>
      </w:r>
      <w:r w:rsidRPr="004E1797">
        <w:rPr>
          <w:rFonts w:ascii="Times New Roman" w:hAnsi="Times New Roman" w:cs="Times New Roman"/>
          <w:i/>
          <w:iCs/>
          <w:noProof/>
          <w:sz w:val="20"/>
          <w:szCs w:val="24"/>
        </w:rPr>
        <w:t>Invertebrate Systematics</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33</w:t>
      </w:r>
      <w:r w:rsidRPr="004E1797">
        <w:rPr>
          <w:rFonts w:ascii="Times New Roman" w:hAnsi="Times New Roman" w:cs="Times New Roman"/>
          <w:noProof/>
          <w:sz w:val="20"/>
          <w:szCs w:val="24"/>
        </w:rPr>
        <w:t>(3), 556–574. https://doi.org/10.1071/IS18070</w:t>
      </w:r>
    </w:p>
    <w:p w14:paraId="7B43B631"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Held, C. (2003). Molecular evidence for cryptic speciation within the widespread Antarctic crustacean </w:t>
      </w:r>
      <w:r w:rsidRPr="001A1B9D">
        <w:rPr>
          <w:rFonts w:ascii="Times New Roman" w:hAnsi="Times New Roman" w:cs="Times New Roman"/>
          <w:i/>
          <w:iCs/>
          <w:noProof/>
          <w:sz w:val="20"/>
          <w:szCs w:val="24"/>
        </w:rPr>
        <w:t>Ceratoserolis trilobitoides</w:t>
      </w:r>
      <w:r w:rsidRPr="004E1797">
        <w:rPr>
          <w:rFonts w:ascii="Times New Roman" w:hAnsi="Times New Roman" w:cs="Times New Roman"/>
          <w:noProof/>
          <w:sz w:val="20"/>
          <w:szCs w:val="24"/>
        </w:rPr>
        <w:t xml:space="preserve"> (Crustacea, Isopoda). In </w:t>
      </w:r>
      <w:r w:rsidRPr="004E1797">
        <w:rPr>
          <w:rFonts w:ascii="Times New Roman" w:hAnsi="Times New Roman" w:cs="Times New Roman"/>
          <w:i/>
          <w:iCs/>
          <w:noProof/>
          <w:sz w:val="20"/>
          <w:szCs w:val="24"/>
        </w:rPr>
        <w:t>Antarctic Biology in a Global Context</w:t>
      </w:r>
      <w:r w:rsidRPr="004E1797">
        <w:rPr>
          <w:rFonts w:ascii="Times New Roman" w:hAnsi="Times New Roman" w:cs="Times New Roman"/>
          <w:noProof/>
          <w:sz w:val="20"/>
          <w:szCs w:val="24"/>
        </w:rPr>
        <w:t>. Backhuys Publishers.</w:t>
      </w:r>
    </w:p>
    <w:p w14:paraId="6FB1619F"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Jennings, R. M., Golovan, O. A., &amp; Brix, S. (2020). Integrative species delimitation of desmosomatid and nannoniscid isopods from the Kuril-Kamchatka trench, with description of a hadal species. </w:t>
      </w:r>
      <w:r w:rsidRPr="004E1797">
        <w:rPr>
          <w:rFonts w:ascii="Times New Roman" w:hAnsi="Times New Roman" w:cs="Times New Roman"/>
          <w:i/>
          <w:iCs/>
          <w:noProof/>
          <w:sz w:val="20"/>
          <w:szCs w:val="24"/>
        </w:rPr>
        <w:t>Progress in Oceanography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182</w:t>
      </w:r>
      <w:r w:rsidRPr="004E1797">
        <w:rPr>
          <w:rFonts w:ascii="Times New Roman" w:hAnsi="Times New Roman" w:cs="Times New Roman"/>
          <w:noProof/>
          <w:sz w:val="20"/>
          <w:szCs w:val="24"/>
        </w:rPr>
        <w:t>, 102236. https://doi.org/10.1016/J.POCEAN.2019.102236</w:t>
      </w:r>
    </w:p>
    <w:p w14:paraId="02FAF94A"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Kavanagh, F. A. (2009). A catalogue of the Asellota (Crustacea: Isopoda) off the west coast of Ireland and Britain, from 100–5000 m. </w:t>
      </w:r>
      <w:r w:rsidRPr="004E1797">
        <w:rPr>
          <w:rFonts w:ascii="Times New Roman" w:hAnsi="Times New Roman" w:cs="Times New Roman"/>
          <w:i/>
          <w:iCs/>
          <w:noProof/>
          <w:sz w:val="20"/>
          <w:szCs w:val="24"/>
        </w:rPr>
        <w:t>Bulletin of the Irish Biogeographical Society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33</w:t>
      </w:r>
      <w:r w:rsidRPr="004E1797">
        <w:rPr>
          <w:rFonts w:ascii="Times New Roman" w:hAnsi="Times New Roman" w:cs="Times New Roman"/>
          <w:noProof/>
          <w:sz w:val="20"/>
          <w:szCs w:val="24"/>
        </w:rPr>
        <w:t>, 14–75.</w:t>
      </w:r>
    </w:p>
    <w:p w14:paraId="713A4E57"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Magrini, M. J., Araujo, P. B., &amp; Uehara-Prado, M. (2010). Crustacea, Isopoda, Oniscidea Latreille, 1802: New continent record and distribution extension in Brazil. </w:t>
      </w:r>
      <w:r w:rsidRPr="004E1797">
        <w:rPr>
          <w:rFonts w:ascii="Times New Roman" w:hAnsi="Times New Roman" w:cs="Times New Roman"/>
          <w:i/>
          <w:iCs/>
          <w:noProof/>
          <w:sz w:val="20"/>
          <w:szCs w:val="24"/>
        </w:rPr>
        <w:t>Check List</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6</w:t>
      </w:r>
      <w:r w:rsidRPr="004E1797">
        <w:rPr>
          <w:rFonts w:ascii="Times New Roman" w:hAnsi="Times New Roman" w:cs="Times New Roman"/>
          <w:noProof/>
          <w:sz w:val="20"/>
          <w:szCs w:val="24"/>
        </w:rPr>
        <w:t>(2), 217–219.</w:t>
      </w:r>
    </w:p>
    <w:p w14:paraId="64DC643B"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Merrin, K. L. (2006). The first record of the crustacean isopod genus </w:t>
      </w:r>
      <w:r w:rsidRPr="005858B7">
        <w:rPr>
          <w:rFonts w:ascii="Times New Roman" w:hAnsi="Times New Roman" w:cs="Times New Roman"/>
          <w:i/>
          <w:iCs/>
          <w:noProof/>
          <w:sz w:val="20"/>
          <w:szCs w:val="24"/>
        </w:rPr>
        <w:t>Pseudarachna</w:t>
      </w:r>
      <w:r w:rsidRPr="004E1797">
        <w:rPr>
          <w:rFonts w:ascii="Times New Roman" w:hAnsi="Times New Roman" w:cs="Times New Roman"/>
          <w:noProof/>
          <w:sz w:val="20"/>
          <w:szCs w:val="24"/>
        </w:rPr>
        <w:t xml:space="preserve"> Sars, 1897 (Isopoda: Asellota: Munnopsidae) from the Southern Hemisphere, with description of a new species from New Zealand. </w:t>
      </w:r>
      <w:r w:rsidRPr="004E1797">
        <w:rPr>
          <w:rFonts w:ascii="Times New Roman" w:hAnsi="Times New Roman" w:cs="Times New Roman"/>
          <w:i/>
          <w:iCs/>
          <w:noProof/>
          <w:sz w:val="20"/>
          <w:szCs w:val="24"/>
        </w:rPr>
        <w:t>Zootaxa</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1370</w:t>
      </w:r>
      <w:r w:rsidRPr="004E1797">
        <w:rPr>
          <w:rFonts w:ascii="Times New Roman" w:hAnsi="Times New Roman" w:cs="Times New Roman"/>
          <w:noProof/>
          <w:sz w:val="20"/>
          <w:szCs w:val="24"/>
        </w:rPr>
        <w:t>, 59–68. https://doi.org/10.11646/zootaxa.1370.1.5</w:t>
      </w:r>
    </w:p>
    <w:p w14:paraId="75FE0951"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Poore, G. C. B., Avery, L., Błażewicz-Paszkowycz, M., Browne, J., Bruce, N. L., Gerken, S., Glasby, C. J., Greaves, </w:t>
      </w:r>
      <w:r w:rsidRPr="004E1797">
        <w:rPr>
          <w:rFonts w:ascii="Times New Roman" w:hAnsi="Times New Roman" w:cs="Times New Roman"/>
          <w:noProof/>
          <w:sz w:val="20"/>
          <w:szCs w:val="24"/>
        </w:rPr>
        <w:lastRenderedPageBreak/>
        <w:t xml:space="preserve">E., McCallum, A. W., Staples, D., Syme, A., Taylor, J., Walker-Smith, G., Warne, M., Watson, C., Williams, A., Wilson, R. S., &amp; Woolley, S. (2015). Invertebrate diversity of the unexplored marine western margin of Australia: Taxonomy and implications for global biodiversity. </w:t>
      </w:r>
      <w:r w:rsidRPr="004E1797">
        <w:rPr>
          <w:rFonts w:ascii="Times New Roman" w:hAnsi="Times New Roman" w:cs="Times New Roman"/>
          <w:i/>
          <w:iCs/>
          <w:noProof/>
          <w:sz w:val="20"/>
          <w:szCs w:val="24"/>
        </w:rPr>
        <w:t>Marine Biodiversity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45</w:t>
      </w:r>
      <w:r w:rsidRPr="004E1797">
        <w:rPr>
          <w:rFonts w:ascii="Times New Roman" w:hAnsi="Times New Roman" w:cs="Times New Roman"/>
          <w:noProof/>
          <w:sz w:val="20"/>
          <w:szCs w:val="24"/>
        </w:rPr>
        <w:t>(2), 271–286. https://doi.org/10.1007/S12526-014-0255-Y/FIGURES/5</w:t>
      </w:r>
    </w:p>
    <w:p w14:paraId="2DB8591F"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Poore, G. C. B., Just, J., &amp; Cohen, B. F. (1994). Composition and diversity of Crustacea Isopoda of the southeastern Australian continental slope. </w:t>
      </w:r>
      <w:r w:rsidRPr="004E1797">
        <w:rPr>
          <w:rFonts w:ascii="Times New Roman" w:hAnsi="Times New Roman" w:cs="Times New Roman"/>
          <w:i/>
          <w:iCs/>
          <w:noProof/>
          <w:sz w:val="20"/>
          <w:szCs w:val="24"/>
        </w:rPr>
        <w:t>Deep Sea Research Part I: Oceanographic Research Papers</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41</w:t>
      </w:r>
      <w:r w:rsidRPr="004E1797">
        <w:rPr>
          <w:rFonts w:ascii="Times New Roman" w:hAnsi="Times New Roman" w:cs="Times New Roman"/>
          <w:noProof/>
          <w:sz w:val="20"/>
          <w:szCs w:val="24"/>
        </w:rPr>
        <w:t>(4), 677–693. https://doi.org/10.1016/0967-0637(94)90049-3</w:t>
      </w:r>
    </w:p>
    <w:p w14:paraId="143FB4EF"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Schnurr, S., Osborn, K. J., Malyutina, M., Jennings, R. M., Brix, S., Driskell, A., Svavarsson, J., &amp; Martinez Arbizu, P. (2018). Hidden diversity in two species complexes of munnopsid isopods (Crustacea) at the transition between the northernmost North Atlantic and the Nordic Seas. </w:t>
      </w:r>
      <w:r w:rsidRPr="004E1797">
        <w:rPr>
          <w:rFonts w:ascii="Times New Roman" w:hAnsi="Times New Roman" w:cs="Times New Roman"/>
          <w:i/>
          <w:iCs/>
          <w:noProof/>
          <w:sz w:val="20"/>
          <w:szCs w:val="24"/>
        </w:rPr>
        <w:t>Marine Biodiversity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48</w:t>
      </w:r>
      <w:r w:rsidRPr="004E1797">
        <w:rPr>
          <w:rFonts w:ascii="Times New Roman" w:hAnsi="Times New Roman" w:cs="Times New Roman"/>
          <w:noProof/>
          <w:sz w:val="20"/>
          <w:szCs w:val="24"/>
        </w:rPr>
        <w:t>(2), 813–843. https://doi.org/10.1007/S12526-018-0877-6</w:t>
      </w:r>
    </w:p>
    <w:p w14:paraId="6B0CF0EA"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Wetzer, R., Brusca, R. C., &amp; Wilson, G. D. F. (1997). The Crustacea Part 2 - The Isopoda, Cumacea and Tanaidacea. In J. A. Blake &amp; P. H. Scott (Eds.), </w:t>
      </w:r>
      <w:r w:rsidRPr="004E1797">
        <w:rPr>
          <w:rFonts w:ascii="Times New Roman" w:hAnsi="Times New Roman" w:cs="Times New Roman"/>
          <w:i/>
          <w:iCs/>
          <w:noProof/>
          <w:sz w:val="20"/>
          <w:szCs w:val="24"/>
        </w:rPr>
        <w:t>Taxonomic Atlas of the Benthic Fauna of the Santa Maria Basin and Western Santa Barbara Channel</w:t>
      </w:r>
      <w:r w:rsidRPr="004E1797">
        <w:rPr>
          <w:rFonts w:ascii="Times New Roman" w:hAnsi="Times New Roman" w:cs="Times New Roman"/>
          <w:noProof/>
          <w:sz w:val="20"/>
          <w:szCs w:val="24"/>
        </w:rPr>
        <w:t xml:space="preserve"> (Vol. 11). Santa Barbara Museum of Natural History.</w:t>
      </w:r>
    </w:p>
    <w:p w14:paraId="6A8334C5"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szCs w:val="24"/>
        </w:rPr>
      </w:pPr>
      <w:r w:rsidRPr="004E1797">
        <w:rPr>
          <w:rFonts w:ascii="Times New Roman" w:hAnsi="Times New Roman" w:cs="Times New Roman"/>
          <w:noProof/>
          <w:sz w:val="20"/>
          <w:szCs w:val="24"/>
        </w:rPr>
        <w:t xml:space="preserve">Wilson, G. D. F. (2008). Local and regional species diversity of benthic Isopoda (Crustacea) in the deep Gulf of Mexico. </w:t>
      </w:r>
      <w:r w:rsidRPr="004E1797">
        <w:rPr>
          <w:rFonts w:ascii="Times New Roman" w:hAnsi="Times New Roman" w:cs="Times New Roman"/>
          <w:i/>
          <w:iCs/>
          <w:noProof/>
          <w:sz w:val="20"/>
          <w:szCs w:val="24"/>
        </w:rPr>
        <w:t>Deep Sea Research Part II: Topical Studies in Oceanography</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55</w:t>
      </w:r>
      <w:r w:rsidRPr="004E1797">
        <w:rPr>
          <w:rFonts w:ascii="Times New Roman" w:hAnsi="Times New Roman" w:cs="Times New Roman"/>
          <w:noProof/>
          <w:sz w:val="20"/>
          <w:szCs w:val="24"/>
        </w:rPr>
        <w:t>(24–26), 2634–2649.</w:t>
      </w:r>
    </w:p>
    <w:p w14:paraId="468C5BD5" w14:textId="77777777" w:rsidR="004E1797" w:rsidRPr="004E1797" w:rsidRDefault="004E1797" w:rsidP="004E1797">
      <w:pPr>
        <w:widowControl w:val="0"/>
        <w:autoSpaceDE w:val="0"/>
        <w:autoSpaceDN w:val="0"/>
        <w:adjustRightInd w:val="0"/>
        <w:spacing w:line="240" w:lineRule="auto"/>
        <w:ind w:left="480" w:hanging="480"/>
        <w:rPr>
          <w:rFonts w:ascii="Times New Roman" w:hAnsi="Times New Roman" w:cs="Times New Roman"/>
          <w:noProof/>
          <w:sz w:val="20"/>
        </w:rPr>
      </w:pPr>
      <w:r w:rsidRPr="004E1797">
        <w:rPr>
          <w:rFonts w:ascii="Times New Roman" w:hAnsi="Times New Roman" w:cs="Times New Roman"/>
          <w:noProof/>
          <w:sz w:val="20"/>
          <w:szCs w:val="24"/>
        </w:rPr>
        <w:t xml:space="preserve">Xavier, R., Santos, A. M., Harris, D. J., Sezgin, M., Machado, M., &amp; Branco, M. (2012). Phylogenetic analysis of the north‐east Atlantic and Mediterranean species of the genus </w:t>
      </w:r>
      <w:r w:rsidRPr="00042216">
        <w:rPr>
          <w:rFonts w:ascii="Times New Roman" w:hAnsi="Times New Roman" w:cs="Times New Roman"/>
          <w:i/>
          <w:iCs/>
          <w:noProof/>
          <w:sz w:val="20"/>
          <w:szCs w:val="24"/>
        </w:rPr>
        <w:t>Stenosoma</w:t>
      </w:r>
      <w:r w:rsidRPr="004E1797">
        <w:rPr>
          <w:rFonts w:ascii="Times New Roman" w:hAnsi="Times New Roman" w:cs="Times New Roman"/>
          <w:noProof/>
          <w:sz w:val="20"/>
          <w:szCs w:val="24"/>
        </w:rPr>
        <w:t xml:space="preserve"> (Isopoda, Valvifera, Idoteidae). </w:t>
      </w:r>
      <w:r w:rsidRPr="004E1797">
        <w:rPr>
          <w:rFonts w:ascii="Times New Roman" w:hAnsi="Times New Roman" w:cs="Times New Roman"/>
          <w:i/>
          <w:iCs/>
          <w:noProof/>
          <w:sz w:val="20"/>
          <w:szCs w:val="24"/>
        </w:rPr>
        <w:t>Zoologica Scripta</w:t>
      </w:r>
      <w:r w:rsidRPr="004E1797">
        <w:rPr>
          <w:rFonts w:ascii="Times New Roman" w:hAnsi="Times New Roman" w:cs="Times New Roman"/>
          <w:noProof/>
          <w:sz w:val="20"/>
          <w:szCs w:val="24"/>
        </w:rPr>
        <w:t xml:space="preserve">, </w:t>
      </w:r>
      <w:r w:rsidRPr="004E1797">
        <w:rPr>
          <w:rFonts w:ascii="Times New Roman" w:hAnsi="Times New Roman" w:cs="Times New Roman"/>
          <w:i/>
          <w:iCs/>
          <w:noProof/>
          <w:sz w:val="20"/>
          <w:szCs w:val="24"/>
        </w:rPr>
        <w:t>41</w:t>
      </w:r>
      <w:r w:rsidRPr="004E1797">
        <w:rPr>
          <w:rFonts w:ascii="Times New Roman" w:hAnsi="Times New Roman" w:cs="Times New Roman"/>
          <w:noProof/>
          <w:sz w:val="20"/>
          <w:szCs w:val="24"/>
        </w:rPr>
        <w:t>(4), 386–399.</w:t>
      </w:r>
    </w:p>
    <w:p w14:paraId="605136B9" w14:textId="4801499F" w:rsidR="00C96C57" w:rsidRDefault="004F0446">
      <w:r w:rsidRPr="001D0AB0">
        <w:rPr>
          <w:rFonts w:ascii="Times New Roman" w:hAnsi="Times New Roman" w:cs="Times New Roman"/>
          <w:sz w:val="20"/>
          <w:szCs w:val="20"/>
        </w:rPr>
        <w:fldChar w:fldCharType="end"/>
      </w:r>
    </w:p>
    <w:sectPr w:rsidR="00C96C57" w:rsidSect="004975E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sjA2MDcxNzAxsjRV0lEKTi0uzszPAymwqAUASJcWpywAAAA="/>
  </w:docVars>
  <w:rsids>
    <w:rsidRoot w:val="00DC1C65"/>
    <w:rsid w:val="000009A1"/>
    <w:rsid w:val="00005786"/>
    <w:rsid w:val="00011F63"/>
    <w:rsid w:val="00014D4D"/>
    <w:rsid w:val="00024887"/>
    <w:rsid w:val="00033AA8"/>
    <w:rsid w:val="00036EEB"/>
    <w:rsid w:val="00042216"/>
    <w:rsid w:val="00043A74"/>
    <w:rsid w:val="000563E5"/>
    <w:rsid w:val="00074624"/>
    <w:rsid w:val="00074B87"/>
    <w:rsid w:val="0007575C"/>
    <w:rsid w:val="000B0EF4"/>
    <w:rsid w:val="000B1ACD"/>
    <w:rsid w:val="000B496A"/>
    <w:rsid w:val="000B68E6"/>
    <w:rsid w:val="000C173C"/>
    <w:rsid w:val="000C40FB"/>
    <w:rsid w:val="000D5278"/>
    <w:rsid w:val="000E1ADA"/>
    <w:rsid w:val="000E7DD8"/>
    <w:rsid w:val="000F5DFE"/>
    <w:rsid w:val="000F71D4"/>
    <w:rsid w:val="00110E21"/>
    <w:rsid w:val="00114177"/>
    <w:rsid w:val="0012466E"/>
    <w:rsid w:val="00143454"/>
    <w:rsid w:val="00143F8E"/>
    <w:rsid w:val="001466AC"/>
    <w:rsid w:val="00151929"/>
    <w:rsid w:val="00183546"/>
    <w:rsid w:val="001835C3"/>
    <w:rsid w:val="00190DFA"/>
    <w:rsid w:val="001A1B9D"/>
    <w:rsid w:val="001B5EED"/>
    <w:rsid w:val="001C71F7"/>
    <w:rsid w:val="001D0AB0"/>
    <w:rsid w:val="001E066B"/>
    <w:rsid w:val="001E55DD"/>
    <w:rsid w:val="001F282A"/>
    <w:rsid w:val="00201F20"/>
    <w:rsid w:val="00220667"/>
    <w:rsid w:val="00221EE7"/>
    <w:rsid w:val="00223262"/>
    <w:rsid w:val="00223E60"/>
    <w:rsid w:val="0022442D"/>
    <w:rsid w:val="00225818"/>
    <w:rsid w:val="002369B9"/>
    <w:rsid w:val="002470A8"/>
    <w:rsid w:val="00253760"/>
    <w:rsid w:val="0026635E"/>
    <w:rsid w:val="00267EA3"/>
    <w:rsid w:val="00270D58"/>
    <w:rsid w:val="00270FAA"/>
    <w:rsid w:val="00271BA8"/>
    <w:rsid w:val="00272737"/>
    <w:rsid w:val="00277D15"/>
    <w:rsid w:val="00294932"/>
    <w:rsid w:val="00297E89"/>
    <w:rsid w:val="002B7465"/>
    <w:rsid w:val="002C2E41"/>
    <w:rsid w:val="002C7015"/>
    <w:rsid w:val="002D2374"/>
    <w:rsid w:val="002D36C6"/>
    <w:rsid w:val="002E0E11"/>
    <w:rsid w:val="002E7320"/>
    <w:rsid w:val="002E7BB8"/>
    <w:rsid w:val="002F438E"/>
    <w:rsid w:val="002F4663"/>
    <w:rsid w:val="00301996"/>
    <w:rsid w:val="00301A70"/>
    <w:rsid w:val="00302AF9"/>
    <w:rsid w:val="00317AB7"/>
    <w:rsid w:val="00323916"/>
    <w:rsid w:val="00325013"/>
    <w:rsid w:val="00333856"/>
    <w:rsid w:val="00334627"/>
    <w:rsid w:val="00343091"/>
    <w:rsid w:val="00343E07"/>
    <w:rsid w:val="00346C00"/>
    <w:rsid w:val="00347464"/>
    <w:rsid w:val="00355C49"/>
    <w:rsid w:val="00356A92"/>
    <w:rsid w:val="00365A4F"/>
    <w:rsid w:val="00376F47"/>
    <w:rsid w:val="00384CCB"/>
    <w:rsid w:val="003864EA"/>
    <w:rsid w:val="00391C1E"/>
    <w:rsid w:val="003A20DB"/>
    <w:rsid w:val="003A2E54"/>
    <w:rsid w:val="003A33F6"/>
    <w:rsid w:val="003A4C35"/>
    <w:rsid w:val="003A7861"/>
    <w:rsid w:val="003A7982"/>
    <w:rsid w:val="003B0E36"/>
    <w:rsid w:val="003B74B3"/>
    <w:rsid w:val="003E2F23"/>
    <w:rsid w:val="003E4E60"/>
    <w:rsid w:val="003E6AA6"/>
    <w:rsid w:val="003F69F3"/>
    <w:rsid w:val="003F7F2C"/>
    <w:rsid w:val="0040555E"/>
    <w:rsid w:val="0040742D"/>
    <w:rsid w:val="004125EE"/>
    <w:rsid w:val="00413A9F"/>
    <w:rsid w:val="00422BB9"/>
    <w:rsid w:val="00451FDA"/>
    <w:rsid w:val="00453FE4"/>
    <w:rsid w:val="00457F69"/>
    <w:rsid w:val="00460764"/>
    <w:rsid w:val="00462B6E"/>
    <w:rsid w:val="00464728"/>
    <w:rsid w:val="0046612E"/>
    <w:rsid w:val="0046630D"/>
    <w:rsid w:val="0049267C"/>
    <w:rsid w:val="004945D4"/>
    <w:rsid w:val="00497317"/>
    <w:rsid w:val="004975EC"/>
    <w:rsid w:val="004B753E"/>
    <w:rsid w:val="004C36DB"/>
    <w:rsid w:val="004D1BAF"/>
    <w:rsid w:val="004E1797"/>
    <w:rsid w:val="004E35FD"/>
    <w:rsid w:val="004E7B7A"/>
    <w:rsid w:val="004F0446"/>
    <w:rsid w:val="004F05FD"/>
    <w:rsid w:val="004F1BFA"/>
    <w:rsid w:val="004F2EDC"/>
    <w:rsid w:val="00502C68"/>
    <w:rsid w:val="00503CD3"/>
    <w:rsid w:val="005104EB"/>
    <w:rsid w:val="00516423"/>
    <w:rsid w:val="00517BD1"/>
    <w:rsid w:val="00524211"/>
    <w:rsid w:val="00525C46"/>
    <w:rsid w:val="00527BBE"/>
    <w:rsid w:val="005352E5"/>
    <w:rsid w:val="00536B3F"/>
    <w:rsid w:val="00543B68"/>
    <w:rsid w:val="00561D6A"/>
    <w:rsid w:val="00572D65"/>
    <w:rsid w:val="0058023F"/>
    <w:rsid w:val="005858B7"/>
    <w:rsid w:val="00590F4B"/>
    <w:rsid w:val="00593F8D"/>
    <w:rsid w:val="00596558"/>
    <w:rsid w:val="005A5302"/>
    <w:rsid w:val="005A6DBA"/>
    <w:rsid w:val="005B14F4"/>
    <w:rsid w:val="005B3615"/>
    <w:rsid w:val="005B4C64"/>
    <w:rsid w:val="005B751E"/>
    <w:rsid w:val="005C2234"/>
    <w:rsid w:val="005D2B36"/>
    <w:rsid w:val="005D41D7"/>
    <w:rsid w:val="005D5B29"/>
    <w:rsid w:val="005E16F8"/>
    <w:rsid w:val="005E3A4A"/>
    <w:rsid w:val="005E4753"/>
    <w:rsid w:val="005E5F86"/>
    <w:rsid w:val="005F2D7B"/>
    <w:rsid w:val="00615B94"/>
    <w:rsid w:val="00617DEB"/>
    <w:rsid w:val="006212E3"/>
    <w:rsid w:val="00630DCB"/>
    <w:rsid w:val="00633F1A"/>
    <w:rsid w:val="006371AA"/>
    <w:rsid w:val="00642879"/>
    <w:rsid w:val="006450E6"/>
    <w:rsid w:val="00646AEF"/>
    <w:rsid w:val="006521C3"/>
    <w:rsid w:val="00662C84"/>
    <w:rsid w:val="006670F6"/>
    <w:rsid w:val="006671AE"/>
    <w:rsid w:val="00673364"/>
    <w:rsid w:val="006733AD"/>
    <w:rsid w:val="006739A8"/>
    <w:rsid w:val="006807D2"/>
    <w:rsid w:val="00682AF9"/>
    <w:rsid w:val="00691D58"/>
    <w:rsid w:val="00692C60"/>
    <w:rsid w:val="006C0E7F"/>
    <w:rsid w:val="006C5D8A"/>
    <w:rsid w:val="006F18A2"/>
    <w:rsid w:val="00720E37"/>
    <w:rsid w:val="00724C56"/>
    <w:rsid w:val="0072753A"/>
    <w:rsid w:val="007454FE"/>
    <w:rsid w:val="00752568"/>
    <w:rsid w:val="0075455C"/>
    <w:rsid w:val="0076793B"/>
    <w:rsid w:val="00771042"/>
    <w:rsid w:val="00771C6F"/>
    <w:rsid w:val="00786C44"/>
    <w:rsid w:val="00793DA6"/>
    <w:rsid w:val="007A1A7D"/>
    <w:rsid w:val="007A42D4"/>
    <w:rsid w:val="007B4327"/>
    <w:rsid w:val="007B4419"/>
    <w:rsid w:val="007B46F4"/>
    <w:rsid w:val="007C5BB4"/>
    <w:rsid w:val="007D3B83"/>
    <w:rsid w:val="007D570D"/>
    <w:rsid w:val="007E3128"/>
    <w:rsid w:val="007E3D3B"/>
    <w:rsid w:val="007F19BE"/>
    <w:rsid w:val="00800699"/>
    <w:rsid w:val="008018A8"/>
    <w:rsid w:val="0080292F"/>
    <w:rsid w:val="00807525"/>
    <w:rsid w:val="008079F3"/>
    <w:rsid w:val="00810A0D"/>
    <w:rsid w:val="0081236E"/>
    <w:rsid w:val="00812C4C"/>
    <w:rsid w:val="00823CEC"/>
    <w:rsid w:val="00825FD5"/>
    <w:rsid w:val="00827878"/>
    <w:rsid w:val="0083205B"/>
    <w:rsid w:val="00842778"/>
    <w:rsid w:val="00852E22"/>
    <w:rsid w:val="008653D0"/>
    <w:rsid w:val="00866D94"/>
    <w:rsid w:val="00871FAE"/>
    <w:rsid w:val="00877F8C"/>
    <w:rsid w:val="008814B2"/>
    <w:rsid w:val="00883FB4"/>
    <w:rsid w:val="00895641"/>
    <w:rsid w:val="00895A00"/>
    <w:rsid w:val="00897FF9"/>
    <w:rsid w:val="008A1DE0"/>
    <w:rsid w:val="008A5E50"/>
    <w:rsid w:val="008A6FE5"/>
    <w:rsid w:val="008C7438"/>
    <w:rsid w:val="008D72C4"/>
    <w:rsid w:val="008E0B22"/>
    <w:rsid w:val="008E25DE"/>
    <w:rsid w:val="008E34BB"/>
    <w:rsid w:val="008F2840"/>
    <w:rsid w:val="008F74F0"/>
    <w:rsid w:val="00900D85"/>
    <w:rsid w:val="009021EF"/>
    <w:rsid w:val="00902D7C"/>
    <w:rsid w:val="00907FC7"/>
    <w:rsid w:val="009134F4"/>
    <w:rsid w:val="00916A4D"/>
    <w:rsid w:val="00920FA2"/>
    <w:rsid w:val="009410D2"/>
    <w:rsid w:val="00942FE4"/>
    <w:rsid w:val="0094614E"/>
    <w:rsid w:val="00952388"/>
    <w:rsid w:val="00984C26"/>
    <w:rsid w:val="00991DC6"/>
    <w:rsid w:val="0099492C"/>
    <w:rsid w:val="00994EB0"/>
    <w:rsid w:val="009B24FE"/>
    <w:rsid w:val="009B3AB4"/>
    <w:rsid w:val="009B3D51"/>
    <w:rsid w:val="009B5F23"/>
    <w:rsid w:val="009C11EF"/>
    <w:rsid w:val="009C5256"/>
    <w:rsid w:val="009D7F5F"/>
    <w:rsid w:val="009E37C2"/>
    <w:rsid w:val="009F79CF"/>
    <w:rsid w:val="00A03631"/>
    <w:rsid w:val="00A03BC6"/>
    <w:rsid w:val="00A07ED2"/>
    <w:rsid w:val="00A23470"/>
    <w:rsid w:val="00A23E3F"/>
    <w:rsid w:val="00A316D1"/>
    <w:rsid w:val="00A352E1"/>
    <w:rsid w:val="00A35C17"/>
    <w:rsid w:val="00A42C36"/>
    <w:rsid w:val="00A44F03"/>
    <w:rsid w:val="00A54318"/>
    <w:rsid w:val="00A54E9D"/>
    <w:rsid w:val="00A57152"/>
    <w:rsid w:val="00A66087"/>
    <w:rsid w:val="00A70D27"/>
    <w:rsid w:val="00A7479D"/>
    <w:rsid w:val="00A859B5"/>
    <w:rsid w:val="00A93F5C"/>
    <w:rsid w:val="00A94A20"/>
    <w:rsid w:val="00AB1487"/>
    <w:rsid w:val="00AC54BA"/>
    <w:rsid w:val="00AD5465"/>
    <w:rsid w:val="00AD6583"/>
    <w:rsid w:val="00AF7062"/>
    <w:rsid w:val="00B00800"/>
    <w:rsid w:val="00B2381A"/>
    <w:rsid w:val="00B31D65"/>
    <w:rsid w:val="00B3243B"/>
    <w:rsid w:val="00B36A26"/>
    <w:rsid w:val="00B4487D"/>
    <w:rsid w:val="00B4573E"/>
    <w:rsid w:val="00B51FC2"/>
    <w:rsid w:val="00B5488F"/>
    <w:rsid w:val="00B652FA"/>
    <w:rsid w:val="00B73F10"/>
    <w:rsid w:val="00B759EE"/>
    <w:rsid w:val="00B768A7"/>
    <w:rsid w:val="00B85B12"/>
    <w:rsid w:val="00B91B50"/>
    <w:rsid w:val="00B96879"/>
    <w:rsid w:val="00BB3F55"/>
    <w:rsid w:val="00BB4278"/>
    <w:rsid w:val="00BD0B57"/>
    <w:rsid w:val="00BD70B8"/>
    <w:rsid w:val="00BD74E0"/>
    <w:rsid w:val="00BE0C97"/>
    <w:rsid w:val="00BE12F8"/>
    <w:rsid w:val="00BE4D15"/>
    <w:rsid w:val="00BF0FAC"/>
    <w:rsid w:val="00BF40A0"/>
    <w:rsid w:val="00BF686A"/>
    <w:rsid w:val="00BF6FC7"/>
    <w:rsid w:val="00C012D8"/>
    <w:rsid w:val="00C01B71"/>
    <w:rsid w:val="00C04021"/>
    <w:rsid w:val="00C04112"/>
    <w:rsid w:val="00C14E11"/>
    <w:rsid w:val="00C2283D"/>
    <w:rsid w:val="00C34A4C"/>
    <w:rsid w:val="00C35203"/>
    <w:rsid w:val="00C4414F"/>
    <w:rsid w:val="00C44953"/>
    <w:rsid w:val="00C54FED"/>
    <w:rsid w:val="00C56A59"/>
    <w:rsid w:val="00C60999"/>
    <w:rsid w:val="00C7261D"/>
    <w:rsid w:val="00C74E90"/>
    <w:rsid w:val="00C84052"/>
    <w:rsid w:val="00C956E6"/>
    <w:rsid w:val="00C96596"/>
    <w:rsid w:val="00C96C57"/>
    <w:rsid w:val="00CA3DA1"/>
    <w:rsid w:val="00CA4791"/>
    <w:rsid w:val="00CA5BC1"/>
    <w:rsid w:val="00CA6CCE"/>
    <w:rsid w:val="00CA71F6"/>
    <w:rsid w:val="00CA746B"/>
    <w:rsid w:val="00CA7DB4"/>
    <w:rsid w:val="00CB0771"/>
    <w:rsid w:val="00CC1469"/>
    <w:rsid w:val="00CD556E"/>
    <w:rsid w:val="00CE209D"/>
    <w:rsid w:val="00CF080A"/>
    <w:rsid w:val="00CF0B38"/>
    <w:rsid w:val="00CF432E"/>
    <w:rsid w:val="00D05687"/>
    <w:rsid w:val="00D06ECF"/>
    <w:rsid w:val="00D10296"/>
    <w:rsid w:val="00D172A1"/>
    <w:rsid w:val="00D22903"/>
    <w:rsid w:val="00D2612D"/>
    <w:rsid w:val="00D26A64"/>
    <w:rsid w:val="00D30CF0"/>
    <w:rsid w:val="00D30EB9"/>
    <w:rsid w:val="00D419F0"/>
    <w:rsid w:val="00D44028"/>
    <w:rsid w:val="00D53697"/>
    <w:rsid w:val="00D53B44"/>
    <w:rsid w:val="00D63635"/>
    <w:rsid w:val="00D645E0"/>
    <w:rsid w:val="00D706BB"/>
    <w:rsid w:val="00D9049C"/>
    <w:rsid w:val="00D93762"/>
    <w:rsid w:val="00D95014"/>
    <w:rsid w:val="00DA112E"/>
    <w:rsid w:val="00DA3F7B"/>
    <w:rsid w:val="00DC1C65"/>
    <w:rsid w:val="00DC5EAF"/>
    <w:rsid w:val="00DD0C1E"/>
    <w:rsid w:val="00DD2F9B"/>
    <w:rsid w:val="00DD5CFE"/>
    <w:rsid w:val="00DE37C7"/>
    <w:rsid w:val="00E0083E"/>
    <w:rsid w:val="00E01064"/>
    <w:rsid w:val="00E1367A"/>
    <w:rsid w:val="00E15140"/>
    <w:rsid w:val="00E22590"/>
    <w:rsid w:val="00E300BE"/>
    <w:rsid w:val="00E30FE3"/>
    <w:rsid w:val="00E34BE8"/>
    <w:rsid w:val="00E36F14"/>
    <w:rsid w:val="00E378C3"/>
    <w:rsid w:val="00E42BE5"/>
    <w:rsid w:val="00E54F35"/>
    <w:rsid w:val="00E61EB7"/>
    <w:rsid w:val="00E62766"/>
    <w:rsid w:val="00E64257"/>
    <w:rsid w:val="00E77BDD"/>
    <w:rsid w:val="00E8291C"/>
    <w:rsid w:val="00EA5AF8"/>
    <w:rsid w:val="00EB000C"/>
    <w:rsid w:val="00EB3425"/>
    <w:rsid w:val="00EB4C82"/>
    <w:rsid w:val="00EC0851"/>
    <w:rsid w:val="00EC3E95"/>
    <w:rsid w:val="00ED1029"/>
    <w:rsid w:val="00ED3D4B"/>
    <w:rsid w:val="00EE5929"/>
    <w:rsid w:val="00EF148D"/>
    <w:rsid w:val="00F15EA2"/>
    <w:rsid w:val="00F17374"/>
    <w:rsid w:val="00F2076F"/>
    <w:rsid w:val="00F20BDE"/>
    <w:rsid w:val="00F24CAB"/>
    <w:rsid w:val="00F25C5C"/>
    <w:rsid w:val="00F25E86"/>
    <w:rsid w:val="00F3125F"/>
    <w:rsid w:val="00F328D8"/>
    <w:rsid w:val="00F34685"/>
    <w:rsid w:val="00F4083B"/>
    <w:rsid w:val="00F42C69"/>
    <w:rsid w:val="00F50F63"/>
    <w:rsid w:val="00F51C85"/>
    <w:rsid w:val="00F523D8"/>
    <w:rsid w:val="00F75EE0"/>
    <w:rsid w:val="00F77725"/>
    <w:rsid w:val="00F95F56"/>
    <w:rsid w:val="00FA4F34"/>
    <w:rsid w:val="00FA5FD9"/>
    <w:rsid w:val="00FB177A"/>
    <w:rsid w:val="00FB3698"/>
    <w:rsid w:val="00FB6B3B"/>
    <w:rsid w:val="00FB77CA"/>
    <w:rsid w:val="00FC0297"/>
    <w:rsid w:val="00FC50EA"/>
    <w:rsid w:val="00FC6ACA"/>
    <w:rsid w:val="00FD6529"/>
    <w:rsid w:val="00FD7ECD"/>
    <w:rsid w:val="00FE497B"/>
    <w:rsid w:val="00FE5435"/>
    <w:rsid w:val="00FE71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161B"/>
  <w15:chartTrackingRefBased/>
  <w15:docId w15:val="{20255961-575B-4115-B47B-5CC2580C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6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DC1C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52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A0363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A036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4F1B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BB024B58403B41A08B540519F60710" ma:contentTypeVersion="9" ma:contentTypeDescription="Create a new document." ma:contentTypeScope="" ma:versionID="e477a67d653686b5ccb7c7b0586c00f3">
  <xsd:schema xmlns:xsd="http://www.w3.org/2001/XMLSchema" xmlns:xs="http://www.w3.org/2001/XMLSchema" xmlns:p="http://schemas.microsoft.com/office/2006/metadata/properties" xmlns:ns3="e56ddf14-af55-47e5-87b3-7e65ebb8d24a" targetNamespace="http://schemas.microsoft.com/office/2006/metadata/properties" ma:root="true" ma:fieldsID="c3ad59177f16fca6199b14d41dd7226b" ns3:_="">
    <xsd:import namespace="e56ddf14-af55-47e5-87b3-7e65ebb8d2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ddf14-af55-47e5-87b3-7e65ebb8d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AFEF6-552B-433C-A4B0-A9EDDE5599DF}">
  <ds:schemaRefs>
    <ds:schemaRef ds:uri="http://schemas.openxmlformats.org/officeDocument/2006/bibliography"/>
  </ds:schemaRefs>
</ds:datastoreItem>
</file>

<file path=customXml/itemProps2.xml><?xml version="1.0" encoding="utf-8"?>
<ds:datastoreItem xmlns:ds="http://schemas.openxmlformats.org/officeDocument/2006/customXml" ds:itemID="{7888FEF3-E45B-40DE-9366-4C6E41046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FC76E-F342-42AE-AADB-2EE933255D58}">
  <ds:schemaRefs>
    <ds:schemaRef ds:uri="http://schemas.microsoft.com/sharepoint/v3/contenttype/forms"/>
  </ds:schemaRefs>
</ds:datastoreItem>
</file>

<file path=customXml/itemProps4.xml><?xml version="1.0" encoding="utf-8"?>
<ds:datastoreItem xmlns:ds="http://schemas.openxmlformats.org/officeDocument/2006/customXml" ds:itemID="{AD441155-5EBD-47F6-AF9A-1EC41F8B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ddf14-af55-47e5-87b3-7e65ebb8d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7606</Words>
  <Characters>43357</Characters>
  <Application>Microsoft Office Word</Application>
  <DocSecurity>0</DocSecurity>
  <Lines>361</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University of Auckland</Company>
  <LinksUpToDate>false</LinksUpToDate>
  <CharactersWithSpaces>50862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Hartebrodt</dc:creator>
  <cp:keywords/>
  <dc:description/>
  <cp:lastModifiedBy>Lena Hartebrodt</cp:lastModifiedBy>
  <cp:revision>39</cp:revision>
  <dcterms:created xsi:type="dcterms:W3CDTF">2021-06-21T06:14:00Z</dcterms:created>
  <dcterms:modified xsi:type="dcterms:W3CDTF">2023-07-17T01:06:00Z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0x010100AABB024B58403B41A08B540519F60710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72e365b5-9e50-3492-804d-7b1881305e3e</vt:lpwstr>
  </property>
  <property fmtid="{D5CDD505-2E9C-101B-9397-08002B2CF9AE}" pid="25" name="Mendeley Citation Style_1">
    <vt:lpwstr>http://www.zotero.org/styles/apa</vt:lpwstr>
  </property>
</Properties>
</file>