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A50" w:rsidRDefault="00CD2C9E">
      <w:pPr>
        <w:rPr>
          <w:b/>
          <w:sz w:val="28"/>
          <w:szCs w:val="28"/>
        </w:rPr>
      </w:pPr>
      <w:r w:rsidRPr="00CD2C9E">
        <w:rPr>
          <w:b/>
          <w:sz w:val="28"/>
          <w:szCs w:val="28"/>
        </w:rPr>
        <w:t>Supporting Information</w:t>
      </w:r>
    </w:p>
    <w:p w:rsidR="00CD2C9E" w:rsidRDefault="00CD2C9E">
      <w:pPr>
        <w:rPr>
          <w:b/>
        </w:rPr>
      </w:pPr>
      <w:bookmarkStart w:id="0" w:name="_GoBack"/>
      <w:bookmarkEnd w:id="0"/>
    </w:p>
    <w:p w:rsidR="006D3B35" w:rsidRDefault="006D3B35">
      <w:pPr>
        <w:rPr>
          <w:b/>
        </w:rPr>
      </w:pPr>
      <w:r w:rsidRPr="006D3B35">
        <w:rPr>
          <w:b/>
        </w:rPr>
        <w:t xml:space="preserve">DEVOUR: </w:t>
      </w:r>
      <w:r w:rsidRPr="006D3B35">
        <w:t>Deleterious Variants on Uncovered Regions</w:t>
      </w:r>
    </w:p>
    <w:p w:rsidR="00EA7A50" w:rsidRDefault="006D3B35">
      <w:r>
        <w:t xml:space="preserve">Erdem Türk, </w:t>
      </w:r>
      <w:proofErr w:type="spellStart"/>
      <w:r>
        <w:t>Ayhan</w:t>
      </w:r>
      <w:proofErr w:type="spellEnd"/>
      <w:r>
        <w:t xml:space="preserve"> </w:t>
      </w:r>
      <w:proofErr w:type="spellStart"/>
      <w:r>
        <w:t>Yüksek</w:t>
      </w:r>
      <w:proofErr w:type="spellEnd"/>
      <w:r>
        <w:t xml:space="preserve">, </w:t>
      </w:r>
      <w:proofErr w:type="spellStart"/>
      <w:r>
        <w:t>Akif</w:t>
      </w:r>
      <w:proofErr w:type="spellEnd"/>
      <w:r>
        <w:t xml:space="preserve"> </w:t>
      </w:r>
      <w:proofErr w:type="spellStart"/>
      <w:r>
        <w:t>Ayaz</w:t>
      </w:r>
      <w:proofErr w:type="spellEnd"/>
      <w:r>
        <w:t xml:space="preserve"> and Barış Ethem </w:t>
      </w:r>
      <w:proofErr w:type="spellStart"/>
      <w:r>
        <w:t>Süzek</w:t>
      </w:r>
      <w:proofErr w:type="spellEnd"/>
    </w:p>
    <w:p w:rsidR="00EA7A50" w:rsidRDefault="00EA7A50"/>
    <w:p w:rsidR="006D3B35" w:rsidRDefault="006D3B35">
      <w:r>
        <w:rPr>
          <w:u w:val="single"/>
        </w:rPr>
        <w:t>Data Preparation:</w:t>
      </w:r>
      <w:r>
        <w:t xml:space="preserve"> We downloaded </w:t>
      </w:r>
      <w:r w:rsidR="00C45056">
        <w:t xml:space="preserve">one of the WES samples (NCBI SRA: </w:t>
      </w:r>
      <w:hyperlink r:id="rId4" w:history="1">
        <w:r w:rsidR="00C45056" w:rsidRPr="005971C1">
          <w:rPr>
            <w:rStyle w:val="Hyperlink"/>
          </w:rPr>
          <w:t>ERR1840777</w:t>
        </w:r>
      </w:hyperlink>
      <w:r w:rsidR="00C45056">
        <w:t xml:space="preserve">) of </w:t>
      </w:r>
      <w:r w:rsidR="00A855F5">
        <w:t>the</w:t>
      </w:r>
      <w:r w:rsidR="00C45056">
        <w:t xml:space="preserve"> </w:t>
      </w:r>
      <w:r w:rsidR="00C45056" w:rsidRPr="00C45056">
        <w:t xml:space="preserve">WES project for </w:t>
      </w:r>
      <w:proofErr w:type="spellStart"/>
      <w:r w:rsidR="00C45056" w:rsidRPr="00C45056">
        <w:t>Hirschsprung</w:t>
      </w:r>
      <w:proofErr w:type="spellEnd"/>
      <w:r w:rsidR="00C45056" w:rsidRPr="00C45056">
        <w:t xml:space="preserve"> disease</w:t>
      </w:r>
      <w:r w:rsidR="00C45056">
        <w:t xml:space="preserve"> (NCBI </w:t>
      </w:r>
      <w:proofErr w:type="spellStart"/>
      <w:r w:rsidR="00C45056">
        <w:t>Bioproject</w:t>
      </w:r>
      <w:proofErr w:type="spellEnd"/>
      <w:r w:rsidR="00C45056">
        <w:t xml:space="preserve">: </w:t>
      </w:r>
      <w:hyperlink r:id="rId5" w:history="1">
        <w:r w:rsidR="00C45056" w:rsidRPr="001E58A1">
          <w:rPr>
            <w:rStyle w:val="Hyperlink"/>
          </w:rPr>
          <w:t>PRJEB19327</w:t>
        </w:r>
      </w:hyperlink>
      <w:r w:rsidR="00C45056">
        <w:t xml:space="preserve">) from NCBI SRA and </w:t>
      </w:r>
      <w:r w:rsidR="00C45056" w:rsidRPr="00C45056">
        <w:t xml:space="preserve">aligned </w:t>
      </w:r>
      <w:r w:rsidR="00C45056">
        <w:t xml:space="preserve">it </w:t>
      </w:r>
      <w:r w:rsidR="00C45056" w:rsidRPr="00C45056">
        <w:t>to the reference genome (build 19)</w:t>
      </w:r>
      <w:r w:rsidR="00C45056">
        <w:t xml:space="preserve">. We then fed the resulting alignment file to DEVOUR along with the exome capture kit </w:t>
      </w:r>
      <w:r w:rsidR="009D2428">
        <w:t>(</w:t>
      </w:r>
      <w:hyperlink r:id="rId6" w:history="1">
        <w:r w:rsidR="00A855F5" w:rsidRPr="00A855F5">
          <w:rPr>
            <w:rStyle w:val="Hyperlink"/>
          </w:rPr>
          <w:t>TruSight_One_v1.1.bed</w:t>
        </w:r>
      </w:hyperlink>
      <w:r w:rsidR="009D2428">
        <w:t xml:space="preserve">) </w:t>
      </w:r>
      <w:r w:rsidR="00C45056">
        <w:t xml:space="preserve">used by </w:t>
      </w:r>
      <w:r w:rsidR="000F666A">
        <w:t xml:space="preserve">the </w:t>
      </w:r>
      <w:r w:rsidR="00C45056">
        <w:t>Illumina sequencing platform.</w:t>
      </w:r>
    </w:p>
    <w:p w:rsidR="006D3B35" w:rsidRDefault="006D3B35"/>
    <w:p w:rsidR="00EA7A50" w:rsidRDefault="000F666A">
      <w:r>
        <w:rPr>
          <w:u w:val="single"/>
        </w:rPr>
        <w:t>An e</w:t>
      </w:r>
      <w:r w:rsidR="00BD793F">
        <w:rPr>
          <w:u w:val="single"/>
        </w:rPr>
        <w:t>xa</w:t>
      </w:r>
      <w:r w:rsidR="006D3B35">
        <w:rPr>
          <w:u w:val="single"/>
        </w:rPr>
        <w:t xml:space="preserve">mple </w:t>
      </w:r>
      <w:r w:rsidR="00BD793F">
        <w:rPr>
          <w:u w:val="single"/>
        </w:rPr>
        <w:t>run</w:t>
      </w:r>
      <w:r w:rsidR="006D3B35">
        <w:rPr>
          <w:u w:val="single"/>
        </w:rPr>
        <w:t xml:space="preserve"> for </w:t>
      </w:r>
      <w:r w:rsidR="00A855F5">
        <w:rPr>
          <w:u w:val="single"/>
        </w:rPr>
        <w:t>a WES sample</w:t>
      </w:r>
      <w:r w:rsidR="006D3B35">
        <w:rPr>
          <w:u w:val="single"/>
        </w:rPr>
        <w:t>:</w:t>
      </w:r>
      <w:r w:rsidR="00BD793F">
        <w:t xml:space="preserve"> The following </w:t>
      </w:r>
      <w:r w:rsidR="006D3B35">
        <w:t xml:space="preserve">screenshots illustrate how DEVOUR </w:t>
      </w:r>
      <w:r w:rsidR="0057642D">
        <w:t xml:space="preserve">is used to </w:t>
      </w:r>
      <w:r w:rsidR="00A855F5">
        <w:t>analyze</w:t>
      </w:r>
      <w:r w:rsidR="006D3B35">
        <w:t xml:space="preserve"> a WES sample</w:t>
      </w:r>
      <w:r w:rsidR="00D87B82">
        <w:t xml:space="preserve"> step by step</w:t>
      </w:r>
      <w:r w:rsidR="00A855F5">
        <w:t>.</w:t>
      </w:r>
    </w:p>
    <w:p w:rsidR="00F25C20" w:rsidRDefault="00F25C20"/>
    <w:p w:rsidR="0091466C" w:rsidRDefault="00CD2C9E" w:rsidP="0057642D">
      <w:pPr>
        <w:jc w:val="both"/>
        <w:rPr>
          <w:sz w:val="20"/>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3.75pt;margin-top:0;width:443.25pt;height:342.75pt;z-index:-251657216;mso-position-horizontal:absolute;mso-position-horizontal-relative:text;mso-position-vertical:absolute;mso-position-vertical-relative:text;mso-width-relative:page;mso-height-relative:page" wrapcoords="-37 -47 -37 21600 21637 21600 21637 -47 -37 -47" o:bordertopcolor="yellow pure" o:borderleftcolor="yellow pure" o:borderbottomcolor="yellow pure" o:borderrightcolor="yellow pure" stroked="t" strokecolor="black [3213]">
            <v:imagedata r:id="rId7" o:title="1"/>
            <w10:wrap type="through"/>
          </v:shape>
        </w:pict>
      </w:r>
      <w:r w:rsidR="00D87B82" w:rsidRPr="0057642D">
        <w:rPr>
          <w:b/>
          <w:sz w:val="20"/>
        </w:rPr>
        <w:t>Figure 1.</w:t>
      </w:r>
      <w:r w:rsidR="00D87B82" w:rsidRPr="0057642D">
        <w:rPr>
          <w:sz w:val="20"/>
        </w:rPr>
        <w:t xml:space="preserve"> The graphical user interface for the first step of the analysis. The first step aims to identify potentially uncovered or low coverage genomic regions in a WES experiment.</w:t>
      </w:r>
      <w:r w:rsidR="0057642D" w:rsidRPr="0057642D">
        <w:rPr>
          <w:sz w:val="20"/>
        </w:rPr>
        <w:t xml:space="preserve"> A read alignment file in BAM or SAM format and an exome capture file for the WES kit used in BED format are provided as input files. A read depth threshold in </w:t>
      </w:r>
      <w:r w:rsidR="00046F2E">
        <w:rPr>
          <w:sz w:val="20"/>
        </w:rPr>
        <w:t xml:space="preserve">the </w:t>
      </w:r>
      <w:r w:rsidR="0057642D" w:rsidRPr="0057642D">
        <w:rPr>
          <w:sz w:val="20"/>
        </w:rPr>
        <w:t>range 0</w:t>
      </w:r>
      <w:r w:rsidR="00046F2E">
        <w:rPr>
          <w:sz w:val="20"/>
        </w:rPr>
        <w:t xml:space="preserve"> </w:t>
      </w:r>
      <w:r w:rsidR="0057642D" w:rsidRPr="0057642D">
        <w:rPr>
          <w:sz w:val="20"/>
        </w:rPr>
        <w:t xml:space="preserve">(no coverage regions) to 15 and the human reference genome release name are also set as input.  </w:t>
      </w:r>
    </w:p>
    <w:p w:rsidR="0091466C" w:rsidRDefault="0091466C">
      <w:pPr>
        <w:rPr>
          <w:sz w:val="20"/>
        </w:rPr>
      </w:pPr>
      <w:r>
        <w:rPr>
          <w:sz w:val="20"/>
        </w:rPr>
        <w:br w:type="page"/>
      </w:r>
    </w:p>
    <w:p w:rsidR="0091466C" w:rsidRDefault="00CD2C9E" w:rsidP="0091466C">
      <w:pPr>
        <w:spacing w:after="120" w:line="240" w:lineRule="auto"/>
        <w:jc w:val="both"/>
        <w:rPr>
          <w:sz w:val="20"/>
          <w:szCs w:val="20"/>
        </w:rPr>
      </w:pPr>
      <w:r>
        <w:rPr>
          <w:noProof/>
          <w:sz w:val="20"/>
          <w:szCs w:val="20"/>
        </w:rPr>
        <w:lastRenderedPageBreak/>
        <w:pict>
          <v:shape id="_x0000_s1032" type="#_x0000_t75" style="position:absolute;left:0;text-align:left;margin-left:0;margin-top:-3.75pt;width:443.35pt;height:258.75pt;z-index:-251655168;mso-position-horizontal:center;mso-position-horizontal-relative:text;mso-position-vertical-relative:text;mso-width-relative:page;mso-height-relative:page" wrapcoords="-41 -70 -41 21600 21641 21600 21641 -70 -41 -70" stroked="t" strokecolor="black [3213]">
            <v:imagedata r:id="rId8" o:title="2"/>
            <w10:wrap type="topAndBottom"/>
          </v:shape>
        </w:pict>
      </w:r>
      <w:r w:rsidR="0057642D" w:rsidRPr="0057642D">
        <w:rPr>
          <w:b/>
          <w:sz w:val="20"/>
          <w:szCs w:val="20"/>
        </w:rPr>
        <w:t>F</w:t>
      </w:r>
      <w:r w:rsidR="00D87B82" w:rsidRPr="0057642D">
        <w:rPr>
          <w:b/>
          <w:sz w:val="20"/>
          <w:szCs w:val="20"/>
        </w:rPr>
        <w:t>igure 2.</w:t>
      </w:r>
      <w:r w:rsidR="00D87B82" w:rsidRPr="0057642D">
        <w:rPr>
          <w:sz w:val="20"/>
          <w:szCs w:val="20"/>
        </w:rPr>
        <w:t xml:space="preserve"> The graphical user interface for the second step of the analysis. The second step aims to enrich the low coverage regions with variant annotations as a step toward assessing the clinical significance of variants found on these regions</w:t>
      </w:r>
      <w:r w:rsidR="0057642D" w:rsidRPr="0091466C">
        <w:rPr>
          <w:sz w:val="20"/>
          <w:szCs w:val="20"/>
        </w:rPr>
        <w:t xml:space="preserve">. Variant annotation sources are selected from the list of custom and ANNOVAR-derived </w:t>
      </w:r>
      <w:r w:rsidR="0091466C" w:rsidRPr="0091466C">
        <w:rPr>
          <w:sz w:val="20"/>
          <w:szCs w:val="20"/>
        </w:rPr>
        <w:t xml:space="preserve">configured in </w:t>
      </w:r>
      <w:r w:rsidR="00046F2E">
        <w:rPr>
          <w:sz w:val="20"/>
          <w:szCs w:val="20"/>
        </w:rPr>
        <w:t xml:space="preserve">the </w:t>
      </w:r>
      <w:r w:rsidR="0091466C" w:rsidRPr="0091466C">
        <w:rPr>
          <w:sz w:val="20"/>
          <w:szCs w:val="20"/>
        </w:rPr>
        <w:t>local instance of DEVOUR.</w:t>
      </w:r>
    </w:p>
    <w:p w:rsidR="0091466C" w:rsidRDefault="0091466C">
      <w:pPr>
        <w:rPr>
          <w:sz w:val="20"/>
          <w:szCs w:val="20"/>
        </w:rPr>
      </w:pPr>
      <w:r>
        <w:rPr>
          <w:sz w:val="20"/>
          <w:szCs w:val="20"/>
        </w:rPr>
        <w:br w:type="page"/>
      </w:r>
    </w:p>
    <w:p w:rsidR="00F25C20" w:rsidRPr="0091466C" w:rsidRDefault="00CD2C9E" w:rsidP="00D87B82">
      <w:pPr>
        <w:spacing w:after="240" w:line="348" w:lineRule="auto"/>
        <w:rPr>
          <w:sz w:val="20"/>
          <w:szCs w:val="20"/>
        </w:rPr>
      </w:pPr>
      <w:r>
        <w:rPr>
          <w:noProof/>
          <w:sz w:val="20"/>
          <w:szCs w:val="20"/>
        </w:rPr>
        <w:lastRenderedPageBreak/>
        <w:pict>
          <v:shape id="_x0000_s1033" type="#_x0000_t75" style="position:absolute;margin-left:-4.2pt;margin-top:45.5pt;width:443.35pt;height:395.85pt;z-index:-251653120;mso-position-horizontal-relative:text;mso-position-vertical-relative:page;mso-width-relative:page;mso-height-relative:page" wrapcoords="-42 -47 -42 21600 21642 21600 21642 -47 -42 -47" stroked="t" strokecolor="black [3213]">
            <v:imagedata r:id="rId9" o:title="3"/>
            <w10:wrap type="topAndBottom" anchory="page"/>
          </v:shape>
        </w:pict>
      </w:r>
      <w:r w:rsidR="00F25C20" w:rsidRPr="0091466C">
        <w:rPr>
          <w:b/>
          <w:sz w:val="20"/>
          <w:szCs w:val="20"/>
        </w:rPr>
        <w:t>Figure 3.</w:t>
      </w:r>
      <w:r w:rsidR="00F25C20" w:rsidRPr="0091466C">
        <w:rPr>
          <w:sz w:val="20"/>
          <w:szCs w:val="20"/>
        </w:rPr>
        <w:t xml:space="preserve"> The graphical user interface for the final step of the analysis. The final step aims to provide files to assist clinical diagnosis highlighting the variants on potentially uncovered or low coverage genomic regions with clinical significance (e.g., pathogenicity).</w:t>
      </w:r>
      <w:r w:rsidR="0091466C">
        <w:rPr>
          <w:sz w:val="20"/>
          <w:szCs w:val="20"/>
        </w:rPr>
        <w:t xml:space="preserve"> User</w:t>
      </w:r>
      <w:r w:rsidR="00740798">
        <w:rPr>
          <w:sz w:val="20"/>
          <w:szCs w:val="20"/>
        </w:rPr>
        <w:t>s</w:t>
      </w:r>
      <w:r w:rsidR="0091466C">
        <w:rPr>
          <w:sz w:val="20"/>
          <w:szCs w:val="20"/>
        </w:rPr>
        <w:t xml:space="preserve"> can export the annotations of variants located </w:t>
      </w:r>
      <w:r w:rsidR="0091466C" w:rsidRPr="0091466C">
        <w:rPr>
          <w:sz w:val="20"/>
          <w:szCs w:val="20"/>
        </w:rPr>
        <w:t>on potentially uncovered or low coverage genomic regions</w:t>
      </w:r>
      <w:r w:rsidR="0091466C">
        <w:rPr>
          <w:sz w:val="20"/>
          <w:szCs w:val="20"/>
        </w:rPr>
        <w:t xml:space="preserve"> in TSV or Excel format. </w:t>
      </w:r>
    </w:p>
    <w:sectPr w:rsidR="00F25C20" w:rsidRPr="0091466C" w:rsidSect="00F25C20">
      <w:pgSz w:w="11909" w:h="16834"/>
      <w:pgMar w:top="993" w:right="1440" w:bottom="851"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4"/>
  </w:compat>
  <w:docVars>
    <w:docVar w:name="__Grammarly_42____i" w:val="H4sIAAAAAAAEAKtWckksSQxILCpxzi/NK1GyMqwFAAEhoTITAAAA"/>
    <w:docVar w:name="__Grammarly_42___1" w:val="H4sIAAAAAAAEAKtWcslP9kxRslIyNDayNDc1MjEGkuaGlmamxko6SsGpxcWZ+XkgBSa1APsTbtUsAAAA"/>
  </w:docVars>
  <w:rsids>
    <w:rsidRoot w:val="00EA7A50"/>
    <w:rsid w:val="00046F2E"/>
    <w:rsid w:val="000F666A"/>
    <w:rsid w:val="0057642D"/>
    <w:rsid w:val="006D3B35"/>
    <w:rsid w:val="00740798"/>
    <w:rsid w:val="0091466C"/>
    <w:rsid w:val="009D2428"/>
    <w:rsid w:val="00A33B1B"/>
    <w:rsid w:val="00A855F5"/>
    <w:rsid w:val="00BD793F"/>
    <w:rsid w:val="00C45056"/>
    <w:rsid w:val="00CD2C9E"/>
    <w:rsid w:val="00D87B82"/>
    <w:rsid w:val="00EA7A50"/>
    <w:rsid w:val="00F25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55330796-26AC-4B13-A36D-C59FB23E0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character" w:styleId="Hyperlink">
    <w:name w:val="Hyperlink"/>
    <w:basedOn w:val="DefaultParagraphFont"/>
    <w:unhideWhenUsed/>
    <w:rsid w:val="00C450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pport.illumina.com/content/dam/illumina-support/documents/downloads/productfiles/trusight/trusight-one-file-for-ucsc-browser-v1-1.zip" TargetMode="External"/><Relationship Id="rId11" Type="http://schemas.openxmlformats.org/officeDocument/2006/relationships/theme" Target="theme/theme1.xml"/><Relationship Id="rId5" Type="http://schemas.openxmlformats.org/officeDocument/2006/relationships/hyperlink" Target="https://www.ncbi.nlm.nih.gov/bioproject/?term=PRJEB19327" TargetMode="External"/><Relationship Id="rId10" Type="http://schemas.openxmlformats.org/officeDocument/2006/relationships/fontTable" Target="fontTable.xml"/><Relationship Id="rId4" Type="http://schemas.openxmlformats.org/officeDocument/2006/relationships/hyperlink" Target="https://www.ncbi.nlm.nih.gov/sra/?term=ERR1840777" TargetMode="Externa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Erdem Türk</cp:lastModifiedBy>
  <cp:revision>9</cp:revision>
  <dcterms:created xsi:type="dcterms:W3CDTF">2022-05-20T12:46:00Z</dcterms:created>
  <dcterms:modified xsi:type="dcterms:W3CDTF">2022-08-16T14:39:00Z</dcterms:modified>
</cp:coreProperties>
</file>