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0A7C" w14:textId="13756976" w:rsidR="00C30152" w:rsidRPr="00E54E7A" w:rsidRDefault="00791E94">
      <w:pPr>
        <w:pStyle w:val="MittlereSchattierung1-Akzent21"/>
        <w:ind w:left="720"/>
        <w:rPr>
          <w:b/>
          <w:u w:val="single"/>
          <w:lang w:val="en-US"/>
        </w:rPr>
      </w:pPr>
      <w:r w:rsidRPr="00E54E7A">
        <w:rPr>
          <w:rFonts w:eastAsia="Times New Roman"/>
          <w:b/>
          <w:bCs/>
          <w:sz w:val="28"/>
          <w:szCs w:val="28"/>
          <w:lang w:val="en-US" w:eastAsia="de-DE"/>
        </w:rPr>
        <w:t>Evidence for the utility of cfDNA plasma concentrations to predict disease severity in COVID-19: A pilot study</w:t>
      </w:r>
    </w:p>
    <w:p w14:paraId="15E38F5E" w14:textId="77777777" w:rsidR="00E773A1" w:rsidRPr="00E54E7A" w:rsidRDefault="00E773A1">
      <w:pPr>
        <w:pStyle w:val="MittlereSchattierung1-Akzent21"/>
        <w:ind w:left="720"/>
        <w:rPr>
          <w:b/>
          <w:u w:val="single"/>
          <w:lang w:val="en-US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3368"/>
        <w:gridCol w:w="5844"/>
      </w:tblGrid>
      <w:tr w:rsidR="00C30152" w:rsidRPr="00FB044E" w14:paraId="5305F2F4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0139" w14:textId="07F68DF0" w:rsidR="00C30152" w:rsidRPr="00E54E7A" w:rsidRDefault="00791E94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Title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E12B" w14:textId="6B56E70F" w:rsidR="00C30152" w:rsidRPr="00E54E7A" w:rsidRDefault="00791E94" w:rsidP="003219A8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Evidence for the utility of cfDNA plasma concentrations to predict disease severity in COVID-19: A pilot study</w:t>
            </w:r>
          </w:p>
        </w:tc>
      </w:tr>
      <w:tr w:rsidR="00C30152" w:rsidRPr="00E54E7A" w14:paraId="0D9D9934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3E35" w14:textId="2BB49A77" w:rsidR="00C30152" w:rsidRPr="00E54E7A" w:rsidRDefault="00791E94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Study management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0C" w14:textId="4F132646" w:rsidR="00C30152" w:rsidRPr="00FB044E" w:rsidRDefault="003219A8" w:rsidP="003219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B044E">
              <w:rPr>
                <w:rFonts w:ascii="Arial" w:hAnsi="Arial" w:cs="Arial"/>
                <w:sz w:val="22"/>
              </w:rPr>
              <w:t xml:space="preserve">PD </w:t>
            </w:r>
            <w:r w:rsidR="007C589E" w:rsidRPr="00FB044E">
              <w:rPr>
                <w:rFonts w:ascii="Arial" w:hAnsi="Arial" w:cs="Arial"/>
                <w:sz w:val="22"/>
              </w:rPr>
              <w:t xml:space="preserve">Dr. med. </w:t>
            </w:r>
            <w:r w:rsidRPr="00FB044E">
              <w:rPr>
                <w:rFonts w:ascii="Arial" w:hAnsi="Arial" w:cs="Arial"/>
                <w:sz w:val="22"/>
              </w:rPr>
              <w:t>Marc Bodenstein</w:t>
            </w:r>
          </w:p>
        </w:tc>
      </w:tr>
      <w:tr w:rsidR="00E773A1" w:rsidRPr="00FB044E" w14:paraId="510D848D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63F" w14:textId="0D4A554C" w:rsidR="00E773A1" w:rsidRPr="00E54E7A" w:rsidRDefault="00791E94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Indication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2215" w14:textId="021CADBF" w:rsidR="00E773A1" w:rsidRPr="00E54E7A" w:rsidRDefault="00791E94" w:rsidP="00791E94">
            <w:pPr>
              <w:spacing w:line="276" w:lineRule="auto"/>
              <w:rPr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Correlation of measured cfDNA in blood with clinical parameters in patients with COVID-19 disease.</w:t>
            </w:r>
          </w:p>
        </w:tc>
      </w:tr>
      <w:tr w:rsidR="00E773A1" w:rsidRPr="00FB044E" w14:paraId="26D0AEBD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DF0B" w14:textId="27123F7B" w:rsidR="00E773A1" w:rsidRPr="00E54E7A" w:rsidRDefault="00791E94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Objectives and endpoints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6392" w14:textId="358630C7" w:rsidR="00E773A1" w:rsidRPr="00E54E7A" w:rsidRDefault="003B69E3" w:rsidP="00791E9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</w:t>
            </w:r>
            <w:r w:rsidR="00791E94" w:rsidRPr="00E54E7A">
              <w:rPr>
                <w:rFonts w:ascii="Arial" w:hAnsi="Arial" w:cs="Arial"/>
                <w:sz w:val="22"/>
                <w:lang w:val="en-US"/>
              </w:rPr>
              <w:t xml:space="preserve"> of standard laboratory parameters collected during treatment</w:t>
            </w:r>
            <w:r w:rsidR="003219A8" w:rsidRPr="00E54E7A">
              <w:rPr>
                <w:rFonts w:ascii="Arial" w:hAnsi="Arial" w:cs="Arial"/>
                <w:sz w:val="22"/>
                <w:lang w:val="en-US"/>
              </w:rPr>
              <w:t xml:space="preserve">: </w:t>
            </w:r>
          </w:p>
          <w:p w14:paraId="56E08943" w14:textId="77777777" w:rsidR="003219A8" w:rsidRPr="00E54E7A" w:rsidRDefault="003219A8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LDH</w:t>
            </w:r>
          </w:p>
          <w:p w14:paraId="2BB5951A" w14:textId="6FD90760" w:rsidR="003219A8" w:rsidRPr="00E54E7A" w:rsidRDefault="00791E94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Thrombocytes</w:t>
            </w:r>
          </w:p>
          <w:p w14:paraId="77C3E611" w14:textId="77777777" w:rsidR="003219A8" w:rsidRPr="00E54E7A" w:rsidRDefault="003219A8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D-Dimer</w:t>
            </w:r>
          </w:p>
          <w:p w14:paraId="035D3F06" w14:textId="4F758861" w:rsidR="003219A8" w:rsidRPr="00E54E7A" w:rsidRDefault="00791E94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Leukocytes</w:t>
            </w:r>
          </w:p>
          <w:p w14:paraId="6E0AC748" w14:textId="77777777" w:rsidR="003219A8" w:rsidRPr="00E54E7A" w:rsidRDefault="003219A8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Interleukin 6</w:t>
            </w:r>
          </w:p>
          <w:p w14:paraId="4D8CAE12" w14:textId="77777777" w:rsidR="003219A8" w:rsidRPr="00E54E7A" w:rsidRDefault="00864250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CRP</w:t>
            </w:r>
          </w:p>
          <w:p w14:paraId="28CAAAAA" w14:textId="77777777" w:rsidR="00864250" w:rsidRPr="00E54E7A" w:rsidRDefault="00864250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PCT</w:t>
            </w:r>
          </w:p>
          <w:p w14:paraId="240F0B40" w14:textId="239A5409" w:rsidR="00864250" w:rsidRPr="00E54E7A" w:rsidRDefault="00E54E7A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Creatinine</w:t>
            </w:r>
          </w:p>
          <w:p w14:paraId="61DBA55B" w14:textId="0C886901" w:rsidR="00864250" w:rsidRPr="00E54E7A" w:rsidRDefault="00E54E7A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Bilirubin</w:t>
            </w:r>
          </w:p>
          <w:p w14:paraId="5EF11F34" w14:textId="54A96BE7" w:rsidR="00ED67A8" w:rsidRPr="00E54E7A" w:rsidRDefault="00791E94" w:rsidP="003219A8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Lac</w:t>
            </w:r>
            <w:r w:rsidR="00ED67A8" w:rsidRPr="00E54E7A">
              <w:rPr>
                <w:rFonts w:ascii="Arial" w:hAnsi="Arial" w:cs="Arial"/>
                <w:sz w:val="22"/>
                <w:lang w:val="en-US"/>
              </w:rPr>
              <w:t>tat</w:t>
            </w:r>
            <w:r w:rsidRPr="00E54E7A">
              <w:rPr>
                <w:rFonts w:ascii="Arial" w:hAnsi="Arial" w:cs="Arial"/>
                <w:sz w:val="22"/>
                <w:lang w:val="en-US"/>
              </w:rPr>
              <w:t>e</w:t>
            </w:r>
          </w:p>
          <w:p w14:paraId="4AE23FE4" w14:textId="29530E71" w:rsidR="00D17C3A" w:rsidRPr="00E54E7A" w:rsidRDefault="003B69E3" w:rsidP="00E773A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</w:t>
            </w:r>
            <w:r w:rsidR="00791E94" w:rsidRPr="00E54E7A">
              <w:rPr>
                <w:rFonts w:ascii="Arial" w:hAnsi="Arial" w:cs="Arial"/>
                <w:sz w:val="22"/>
                <w:lang w:val="en-US"/>
              </w:rPr>
              <w:t xml:space="preserve"> of personal data:</w:t>
            </w:r>
          </w:p>
          <w:p w14:paraId="389140FB" w14:textId="20567A80" w:rsidR="00864250" w:rsidRPr="00E54E7A" w:rsidRDefault="00E54E7A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Age</w:t>
            </w:r>
          </w:p>
          <w:p w14:paraId="0CD1D3BA" w14:textId="751FA133" w:rsidR="00864250" w:rsidRPr="00E54E7A" w:rsidRDefault="00791E94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Gender</w:t>
            </w:r>
          </w:p>
          <w:p w14:paraId="64323AE5" w14:textId="0392D176" w:rsidR="00864250" w:rsidRPr="00E54E7A" w:rsidRDefault="00791E94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Weight</w:t>
            </w:r>
          </w:p>
          <w:p w14:paraId="01E56CCE" w14:textId="57F0BC82" w:rsidR="00864250" w:rsidRPr="00E54E7A" w:rsidRDefault="00791E94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Size</w:t>
            </w:r>
          </w:p>
          <w:p w14:paraId="2A037D73" w14:textId="23E2D197" w:rsidR="00864250" w:rsidRPr="00E54E7A" w:rsidRDefault="00791E94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Pre-existing conditions</w:t>
            </w:r>
            <w:r w:rsidR="00864250" w:rsidRPr="00E54E7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  <w:p w14:paraId="3C7BE8B6" w14:textId="0901744D" w:rsidR="00864250" w:rsidRPr="00E54E7A" w:rsidRDefault="00E54E7A" w:rsidP="00864250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Cardiac</w:t>
            </w:r>
          </w:p>
          <w:p w14:paraId="6A31DD3B" w14:textId="63BB21AD" w:rsidR="00864250" w:rsidRPr="00E54E7A" w:rsidRDefault="00864250" w:rsidP="00864250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Renal</w:t>
            </w:r>
          </w:p>
          <w:p w14:paraId="25860E45" w14:textId="58E8053F" w:rsidR="00864250" w:rsidRPr="00E54E7A" w:rsidRDefault="00791E94" w:rsidP="00864250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Pulmona</w:t>
            </w:r>
            <w:r w:rsidR="003E4B7A" w:rsidRPr="00E54E7A">
              <w:rPr>
                <w:rFonts w:ascii="Arial" w:hAnsi="Arial" w:cs="Arial"/>
                <w:sz w:val="22"/>
                <w:lang w:val="en-US"/>
              </w:rPr>
              <w:t>ry</w:t>
            </w:r>
          </w:p>
          <w:p w14:paraId="1D07C902" w14:textId="6A4CF613" w:rsidR="00864250" w:rsidRPr="00E54E7A" w:rsidRDefault="003E4B7A" w:rsidP="00864250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Immunological</w:t>
            </w:r>
          </w:p>
          <w:p w14:paraId="18029C96" w14:textId="08DE8DD9" w:rsidR="00864250" w:rsidRPr="00E54E7A" w:rsidRDefault="00864250" w:rsidP="003E4B7A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COVID-19-Trias: </w:t>
            </w:r>
            <w:r w:rsidR="003E4B7A" w:rsidRPr="00E54E7A">
              <w:rPr>
                <w:rFonts w:ascii="Arial" w:hAnsi="Arial" w:cs="Arial"/>
                <w:sz w:val="22"/>
                <w:lang w:val="en-US"/>
              </w:rPr>
              <w:t xml:space="preserve">arterial </w:t>
            </w:r>
            <w:r w:rsidR="00E54E7A" w:rsidRPr="00E54E7A">
              <w:rPr>
                <w:rFonts w:ascii="Arial" w:hAnsi="Arial" w:cs="Arial"/>
                <w:sz w:val="22"/>
                <w:lang w:val="en-US"/>
              </w:rPr>
              <w:t>hypertension</w:t>
            </w:r>
            <w:r w:rsidR="003E4B7A" w:rsidRPr="00E54E7A">
              <w:rPr>
                <w:rFonts w:ascii="Arial" w:hAnsi="Arial" w:cs="Arial"/>
                <w:sz w:val="22"/>
                <w:lang w:val="en-US"/>
              </w:rPr>
              <w:t>, diabetes mellitus type II, obesity</w:t>
            </w:r>
          </w:p>
          <w:p w14:paraId="373D07C1" w14:textId="15ED1FEE" w:rsidR="00890FCA" w:rsidRPr="00E54E7A" w:rsidRDefault="003E4B7A" w:rsidP="003E4B7A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complications occurring during course of disease</w:t>
            </w:r>
            <w:r w:rsidR="00864250" w:rsidRPr="00E54E7A">
              <w:rPr>
                <w:rFonts w:ascii="Arial" w:hAnsi="Arial" w:cs="Arial"/>
                <w:sz w:val="22"/>
                <w:lang w:val="en-US"/>
              </w:rPr>
              <w:t>:</w:t>
            </w:r>
          </w:p>
          <w:p w14:paraId="3AB87951" w14:textId="74E37602" w:rsidR="00864250" w:rsidRPr="00E54E7A" w:rsidRDefault="003E4B7A" w:rsidP="00864250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Thromboembolic complications</w:t>
            </w:r>
          </w:p>
          <w:p w14:paraId="1B826165" w14:textId="30D24F9A" w:rsidR="00914033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Pulmonary complications (ARDS) defined as</w:t>
            </w:r>
            <w:r w:rsidR="00914033" w:rsidRPr="00E54E7A">
              <w:rPr>
                <w:rFonts w:ascii="Arial" w:hAnsi="Arial" w:cs="Arial"/>
                <w:sz w:val="22"/>
                <w:lang w:val="en-US"/>
              </w:rPr>
              <w:t>:</w:t>
            </w:r>
          </w:p>
          <w:p w14:paraId="6AD98F6C" w14:textId="14C7A2B6" w:rsidR="00ED67A8" w:rsidRPr="00E54E7A" w:rsidRDefault="003E4B7A" w:rsidP="00914033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Requirement of mechanical ventilation </w:t>
            </w:r>
          </w:p>
          <w:p w14:paraId="73DF2899" w14:textId="3C2DE008" w:rsidR="00914033" w:rsidRPr="00E54E7A" w:rsidRDefault="003E4B7A" w:rsidP="003E4B7A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Bipulmonary infiltrates</w:t>
            </w:r>
          </w:p>
          <w:p w14:paraId="0D8AE980" w14:textId="6D7E9E96" w:rsidR="00914033" w:rsidRPr="00E54E7A" w:rsidRDefault="003E4B7A" w:rsidP="003E4B7A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Minimum Horowitz index</w:t>
            </w:r>
          </w:p>
          <w:p w14:paraId="7C416970" w14:textId="60AF8F4C" w:rsidR="00ED67A8" w:rsidRPr="00E54E7A" w:rsidRDefault="003E4B7A" w:rsidP="00914033">
            <w:pPr>
              <w:pStyle w:val="Listenabsatz"/>
              <w:numPr>
                <w:ilvl w:val="2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ECMO therapy</w:t>
            </w:r>
          </w:p>
          <w:p w14:paraId="0CD80ED8" w14:textId="69A31177" w:rsidR="00864250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Renal complications with / without RRT</w:t>
            </w:r>
          </w:p>
          <w:p w14:paraId="74BE091E" w14:textId="6FBA20B4" w:rsidR="00914033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Cardiovascular complications with / without catecholamine therapy and / or resuscitation</w:t>
            </w:r>
          </w:p>
          <w:p w14:paraId="0EAE56BD" w14:textId="1D1C6C4D" w:rsidR="00ED67A8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Neurological complications (delirium)</w:t>
            </w:r>
          </w:p>
          <w:p w14:paraId="7F38FF57" w14:textId="114137A2" w:rsidR="00864250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Long-term mechanical ventilation with need for tracheostomy or re-intubation</w:t>
            </w:r>
          </w:p>
          <w:p w14:paraId="6968521A" w14:textId="5466DE5A" w:rsidR="00864250" w:rsidRPr="00E54E7A" w:rsidRDefault="003E4B7A" w:rsidP="003E4B7A">
            <w:pPr>
              <w:pStyle w:val="Listenabsatz"/>
              <w:numPr>
                <w:ilvl w:val="1"/>
                <w:numId w:val="10"/>
              </w:numPr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lastRenderedPageBreak/>
              <w:t>Other complications (e.g., rhabdomyolysis, myositis, etc.)</w:t>
            </w:r>
          </w:p>
          <w:p w14:paraId="6AFC530E" w14:textId="6BE73C2F" w:rsidR="00ED67A8" w:rsidRPr="00E54E7A" w:rsidRDefault="003B69E3" w:rsidP="003B69E3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the minimum and maximum SOFA score during intensive care stay</w:t>
            </w:r>
          </w:p>
          <w:p w14:paraId="1C664D0F" w14:textId="44D9DC30" w:rsidR="00914033" w:rsidRPr="00E54E7A" w:rsidRDefault="003B69E3" w:rsidP="003B69E3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the length of ICU-stay</w:t>
            </w:r>
          </w:p>
          <w:p w14:paraId="1032A985" w14:textId="25704495" w:rsidR="00914033" w:rsidRPr="00E54E7A" w:rsidRDefault="003B69E3" w:rsidP="00E773A1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readmission to ICU</w:t>
            </w:r>
          </w:p>
          <w:p w14:paraId="1BA7075A" w14:textId="1203A251" w:rsidR="00914033" w:rsidRPr="00E54E7A" w:rsidRDefault="003B69E3" w:rsidP="00E773A1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hospital-stay</w:t>
            </w:r>
          </w:p>
          <w:p w14:paraId="47F54123" w14:textId="4B0D2AA5" w:rsidR="00E773A1" w:rsidRPr="00E54E7A" w:rsidRDefault="003B69E3" w:rsidP="00ED67A8">
            <w:pPr>
              <w:pStyle w:val="Listenabsatz"/>
              <w:numPr>
                <w:ilvl w:val="0"/>
                <w:numId w:val="10"/>
              </w:numPr>
              <w:spacing w:line="276" w:lineRule="auto"/>
              <w:rPr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Recording of in-hospital mortality</w:t>
            </w:r>
          </w:p>
        </w:tc>
      </w:tr>
      <w:tr w:rsidR="00E773A1" w:rsidRPr="00E54E7A" w14:paraId="2BDC494D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5D08" w14:textId="32481EBC" w:rsidR="00E773A1" w:rsidRPr="00E54E7A" w:rsidRDefault="003B69E3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lastRenderedPageBreak/>
              <w:t>Study design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315C" w14:textId="4FEE3192" w:rsidR="00E773A1" w:rsidRPr="00E54E7A" w:rsidRDefault="003B69E3" w:rsidP="003B69E3">
            <w:pPr>
              <w:spacing w:line="276" w:lineRule="auto"/>
              <w:rPr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Monocentric, retrospective data acquisition</w:t>
            </w:r>
          </w:p>
        </w:tc>
      </w:tr>
      <w:tr w:rsidR="00E773A1" w:rsidRPr="00FB044E" w14:paraId="1BA17286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CF43" w14:textId="45E42457" w:rsidR="00E773A1" w:rsidRPr="00E54E7A" w:rsidRDefault="003B69E3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Study population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DB78" w14:textId="127C802C" w:rsidR="00E773A1" w:rsidRPr="00E54E7A" w:rsidRDefault="003B69E3" w:rsidP="00FB044E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In the context of the COVID-19 pandemic, cfDNA was measured experimentally in</w:t>
            </w:r>
            <w:r w:rsidR="00FB044E">
              <w:rPr>
                <w:rFonts w:ascii="Arial" w:hAnsi="Arial" w:cs="Arial"/>
                <w:sz w:val="22"/>
                <w:lang w:val="en-US"/>
              </w:rPr>
              <w:t xml:space="preserve"> excess</w:t>
            </w:r>
            <w:r w:rsidRPr="00E54E7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FB044E">
              <w:rPr>
                <w:rFonts w:ascii="Arial" w:hAnsi="Arial" w:cs="Arial"/>
                <w:sz w:val="22"/>
                <w:lang w:val="en-US"/>
              </w:rPr>
              <w:t xml:space="preserve">biomaterial of </w:t>
            </w:r>
            <w:bookmarkStart w:id="0" w:name="_GoBack"/>
            <w:bookmarkEnd w:id="0"/>
            <w:r w:rsidRPr="00E54E7A">
              <w:rPr>
                <w:rFonts w:ascii="Arial" w:hAnsi="Arial" w:cs="Arial"/>
                <w:sz w:val="22"/>
                <w:lang w:val="en-US"/>
              </w:rPr>
              <w:t>blood samples of 22 patients at freely chosen time points in March, April and May 2020. Clinical outcome parameters (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as described in objectives and endpoints</w:t>
            </w:r>
            <w:r w:rsidRPr="00E54E7A">
              <w:rPr>
                <w:rFonts w:ascii="Arial" w:hAnsi="Arial" w:cs="Arial"/>
                <w:sz w:val="22"/>
                <w:lang w:val="en-US"/>
              </w:rPr>
              <w:t xml:space="preserve">) will now be correlated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with</w:t>
            </w:r>
            <w:r w:rsidRPr="00E54E7A">
              <w:rPr>
                <w:rFonts w:ascii="Arial" w:hAnsi="Arial" w:cs="Arial"/>
                <w:sz w:val="22"/>
                <w:lang w:val="en-US"/>
              </w:rPr>
              <w:t xml:space="preserve"> these measurements.</w:t>
            </w:r>
          </w:p>
        </w:tc>
      </w:tr>
      <w:tr w:rsidR="00E773A1" w:rsidRPr="00FB044E" w14:paraId="5E52CFE3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2FAF" w14:textId="3D3EEFB6" w:rsidR="00E773A1" w:rsidRPr="00E54E7A" w:rsidRDefault="00225B5E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Duration of study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1E79" w14:textId="5710D3B8" w:rsidR="00E773A1" w:rsidRPr="00E54E7A" w:rsidRDefault="00225B5E" w:rsidP="00225B5E">
            <w:pPr>
              <w:spacing w:line="276" w:lineRule="auto"/>
              <w:rPr>
                <w:rFonts w:ascii="Arial" w:hAnsi="Arial" w:cs="Arial"/>
                <w:sz w:val="22"/>
                <w:szCs w:val="28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Data collection will be completed by the end of July 2020</w:t>
            </w:r>
          </w:p>
        </w:tc>
      </w:tr>
      <w:tr w:rsidR="00E773A1" w:rsidRPr="00FB044E" w14:paraId="05182421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1FB1" w14:textId="3D99D1C0" w:rsidR="00E773A1" w:rsidRPr="00E54E7A" w:rsidRDefault="00225B5E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Number of participants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962E" w14:textId="35991AB4" w:rsidR="00E773A1" w:rsidRPr="00E54E7A" w:rsidRDefault="00225B5E" w:rsidP="003F0746">
            <w:pPr>
              <w:spacing w:line="276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The number of patients included in the study is 22.</w:t>
            </w:r>
          </w:p>
        </w:tc>
      </w:tr>
      <w:tr w:rsidR="004852B7" w:rsidRPr="00FB044E" w14:paraId="09590201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C307" w14:textId="5615F21F" w:rsidR="004852B7" w:rsidRPr="00E54E7A" w:rsidRDefault="00225B5E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Data resources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8514" w14:textId="5618B738" w:rsidR="00225B5E" w:rsidRPr="00E54E7A" w:rsidRDefault="004852B7" w:rsidP="004852B7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•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Routinely collected patient records during hospital stay</w:t>
            </w:r>
          </w:p>
          <w:p w14:paraId="769AB727" w14:textId="62E5A5B4" w:rsidR="00225B5E" w:rsidRPr="00E54E7A" w:rsidRDefault="004852B7" w:rsidP="004852B7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•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Routine laboratory parameters collected during hospital stay</w:t>
            </w:r>
          </w:p>
          <w:p w14:paraId="3E8FCA6F" w14:textId="19C8B971" w:rsidR="004852B7" w:rsidRPr="00E54E7A" w:rsidRDefault="004852B7" w:rsidP="004852B7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•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Routine radiological findings obtained during hospital stay</w:t>
            </w:r>
          </w:p>
          <w:p w14:paraId="0D72D4C3" w14:textId="08E4A83A" w:rsidR="004852B7" w:rsidRPr="00E54E7A" w:rsidRDefault="004852B7" w:rsidP="00225B5E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•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cfDNA level obtained from patients’ blood samples</w:t>
            </w:r>
          </w:p>
        </w:tc>
      </w:tr>
      <w:tr w:rsidR="004852B7" w:rsidRPr="00FB044E" w14:paraId="7B8199E9" w14:textId="77777777" w:rsidTr="00E773A1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2508" w14:textId="523396E2" w:rsidR="004852B7" w:rsidRPr="00E54E7A" w:rsidRDefault="00225B5E" w:rsidP="00E773A1">
            <w:pPr>
              <w:spacing w:line="276" w:lineRule="auto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Data collection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DF60" w14:textId="27F2FFD9" w:rsidR="004852B7" w:rsidRPr="00E54E7A" w:rsidRDefault="004852B7" w:rsidP="004852B7">
            <w:pPr>
              <w:spacing w:line="276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 xml:space="preserve">• </w:t>
            </w:r>
            <w:r w:rsidR="00225B5E" w:rsidRPr="00E54E7A">
              <w:rPr>
                <w:rFonts w:ascii="Arial" w:hAnsi="Arial" w:cs="Arial"/>
                <w:sz w:val="22"/>
                <w:lang w:val="en-US"/>
              </w:rPr>
              <w:t>Collection of pseudonymized data from data sources</w:t>
            </w:r>
          </w:p>
          <w:p w14:paraId="7187A2E8" w14:textId="7B800103" w:rsidR="004852B7" w:rsidRPr="00E54E7A" w:rsidRDefault="00225B5E" w:rsidP="00225B5E">
            <w:pPr>
              <w:spacing w:line="276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E54E7A">
              <w:rPr>
                <w:rFonts w:ascii="Arial" w:hAnsi="Arial" w:cs="Arial"/>
                <w:sz w:val="22"/>
                <w:lang w:val="en-US"/>
              </w:rPr>
              <w:t>• Statistical consulting after data collection</w:t>
            </w:r>
          </w:p>
        </w:tc>
      </w:tr>
    </w:tbl>
    <w:p w14:paraId="1E378FE6" w14:textId="26882D27" w:rsidR="00D449AA" w:rsidRPr="00E54E7A" w:rsidRDefault="00D449AA" w:rsidP="0094747C">
      <w:pPr>
        <w:pStyle w:val="MittlereSchattierung1-Akzent21"/>
        <w:rPr>
          <w:sz w:val="15"/>
          <w:szCs w:val="15"/>
          <w:lang w:val="en-US"/>
        </w:rPr>
      </w:pPr>
    </w:p>
    <w:sectPr w:rsidR="00D449AA" w:rsidRPr="00E54E7A" w:rsidSect="007F4E62">
      <w:headerReference w:type="default" r:id="rId8"/>
      <w:footerReference w:type="default" r:id="rId9"/>
      <w:pgSz w:w="12242" w:h="15842" w:code="1"/>
      <w:pgMar w:top="1418" w:right="1418" w:bottom="1134" w:left="1418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7AE6" w14:textId="77777777" w:rsidR="00F20F57" w:rsidRDefault="00F20F57">
      <w:r>
        <w:separator/>
      </w:r>
    </w:p>
  </w:endnote>
  <w:endnote w:type="continuationSeparator" w:id="0">
    <w:p w14:paraId="0A8234BC" w14:textId="77777777" w:rsidR="00F20F57" w:rsidRDefault="00F2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9609" w14:textId="7741E911" w:rsidR="00867151" w:rsidRDefault="00867151">
    <w:pPr>
      <w:pStyle w:val="Fuzeile1"/>
      <w:pBdr>
        <w:top w:val="single" w:sz="4" w:space="1" w:color="000000"/>
      </w:pBdr>
      <w:tabs>
        <w:tab w:val="left" w:pos="3431"/>
      </w:tabs>
    </w:pPr>
    <w:r>
      <w:rPr>
        <w:rFonts w:ascii="Calibri" w:hAnsi="Calibri" w:cs="Calibri"/>
        <w:sz w:val="18"/>
        <w:szCs w:val="18"/>
      </w:rPr>
      <w:t>Studien</w:t>
    </w:r>
    <w:r w:rsidR="003219A8">
      <w:rPr>
        <w:rFonts w:ascii="Calibri" w:hAnsi="Calibri" w:cs="Calibri"/>
        <w:sz w:val="18"/>
        <w:szCs w:val="18"/>
      </w:rPr>
      <w:t>synopsis</w:t>
    </w:r>
    <w:r>
      <w:rPr>
        <w:rFonts w:ascii="Calibri" w:hAnsi="Calibri" w:cs="Calibri"/>
        <w:sz w:val="18"/>
        <w:szCs w:val="18"/>
      </w:rPr>
      <w:t xml:space="preserve"> </w:t>
    </w:r>
    <w:r w:rsidR="00F778A6">
      <w:rPr>
        <w:rFonts w:ascii="Calibri" w:hAnsi="Calibri" w:cs="Calibri"/>
        <w:sz w:val="18"/>
        <w:szCs w:val="18"/>
      </w:rPr>
      <w:t>V1.</w:t>
    </w:r>
    <w:r w:rsidR="003F0746">
      <w:rPr>
        <w:rFonts w:ascii="Calibri" w:hAnsi="Calibri" w:cs="Calibri"/>
        <w:sz w:val="18"/>
        <w:szCs w:val="18"/>
      </w:rPr>
      <w:t>1</w:t>
    </w:r>
    <w:r w:rsidR="00F778A6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 xml:space="preserve">vom </w:t>
    </w:r>
    <w:r w:rsidR="00F778A6">
      <w:rPr>
        <w:rFonts w:ascii="Calibri" w:hAnsi="Calibri" w:cs="Calibri"/>
        <w:sz w:val="18"/>
        <w:szCs w:val="18"/>
      </w:rPr>
      <w:t>2</w:t>
    </w:r>
    <w:r w:rsidR="003F0746">
      <w:rPr>
        <w:rFonts w:ascii="Calibri" w:hAnsi="Calibri" w:cs="Calibri"/>
        <w:sz w:val="18"/>
        <w:szCs w:val="18"/>
      </w:rPr>
      <w:t>6</w:t>
    </w:r>
    <w:r w:rsidR="00F778A6">
      <w:rPr>
        <w:rFonts w:ascii="Calibri" w:hAnsi="Calibri" w:cs="Calibri"/>
        <w:sz w:val="18"/>
        <w:szCs w:val="18"/>
      </w:rPr>
      <w:t>.0</w:t>
    </w:r>
    <w:r w:rsidR="003219A8">
      <w:rPr>
        <w:rFonts w:ascii="Calibri" w:hAnsi="Calibri" w:cs="Calibri"/>
        <w:sz w:val="18"/>
        <w:szCs w:val="18"/>
      </w:rPr>
      <w:t>5</w:t>
    </w:r>
    <w:r w:rsidR="00E773A1">
      <w:rPr>
        <w:rFonts w:ascii="Calibri" w:hAnsi="Calibri" w:cs="Calibri"/>
        <w:sz w:val="18"/>
        <w:szCs w:val="18"/>
      </w:rPr>
      <w:t>.20</w:t>
    </w:r>
    <w:r w:rsidR="00F77F57">
      <w:rPr>
        <w:rFonts w:ascii="Calibri" w:hAnsi="Calibri" w:cs="Calibri"/>
        <w:sz w:val="18"/>
        <w:szCs w:val="18"/>
      </w:rPr>
      <w:t>20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="00F778A6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 xml:space="preserve">Seite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>
      <w:rPr>
        <w:rFonts w:ascii="Calibri" w:hAnsi="Calibri" w:cs="Calibri"/>
        <w:sz w:val="18"/>
        <w:szCs w:val="18"/>
      </w:rPr>
      <w:fldChar w:fldCharType="separate"/>
    </w:r>
    <w:r w:rsidR="007F4E62">
      <w:rPr>
        <w:rFonts w:ascii="Calibri" w:hAnsi="Calibri" w:cs="Calibri"/>
        <w:noProof/>
        <w:sz w:val="18"/>
        <w:szCs w:val="18"/>
      </w:rPr>
      <w:t>1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von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NUMPAGES</w:instrText>
    </w:r>
    <w:r>
      <w:rPr>
        <w:rFonts w:ascii="Calibri" w:hAnsi="Calibri" w:cs="Calibri"/>
        <w:sz w:val="18"/>
        <w:szCs w:val="18"/>
      </w:rPr>
      <w:fldChar w:fldCharType="separate"/>
    </w:r>
    <w:r w:rsidR="007F4E62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EEDDA" w14:textId="77777777" w:rsidR="00F20F57" w:rsidRDefault="00F20F57">
      <w:r>
        <w:separator/>
      </w:r>
    </w:p>
  </w:footnote>
  <w:footnote w:type="continuationSeparator" w:id="0">
    <w:p w14:paraId="18386340" w14:textId="77777777" w:rsidR="00F20F57" w:rsidRDefault="00F2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9"/>
      <w:gridCol w:w="2692"/>
      <w:gridCol w:w="1877"/>
      <w:gridCol w:w="3011"/>
    </w:tblGrid>
    <w:tr w:rsidR="00867151" w14:paraId="5CAEB09B" w14:textId="77777777">
      <w:trPr>
        <w:cantSplit/>
        <w:trHeight w:val="575"/>
      </w:trPr>
      <w:tc>
        <w:tcPr>
          <w:tcW w:w="2229" w:type="dxa"/>
          <w:shd w:val="clear" w:color="auto" w:fill="auto"/>
        </w:tcPr>
        <w:p w14:paraId="4D13CD31" w14:textId="77777777" w:rsidR="00867151" w:rsidRDefault="00867151">
          <w:pPr>
            <w:pStyle w:val="Kopfzeile1"/>
            <w:tabs>
              <w:tab w:val="left" w:pos="6521"/>
            </w:tabs>
            <w:rPr>
              <w:i/>
            </w:rPr>
          </w:pPr>
        </w:p>
      </w:tc>
      <w:tc>
        <w:tcPr>
          <w:tcW w:w="2692" w:type="dxa"/>
          <w:shd w:val="clear" w:color="auto" w:fill="auto"/>
        </w:tcPr>
        <w:p w14:paraId="0BB3A480" w14:textId="77777777" w:rsidR="00867151" w:rsidRDefault="00867151">
          <w:pPr>
            <w:pStyle w:val="Kopfzeile1"/>
            <w:tabs>
              <w:tab w:val="left" w:pos="6521"/>
            </w:tabs>
          </w:pPr>
        </w:p>
      </w:tc>
      <w:tc>
        <w:tcPr>
          <w:tcW w:w="4888" w:type="dxa"/>
          <w:gridSpan w:val="2"/>
          <w:shd w:val="clear" w:color="auto" w:fill="auto"/>
        </w:tcPr>
        <w:p w14:paraId="05BA71DC" w14:textId="77777777" w:rsidR="00867151" w:rsidRDefault="00867151">
          <w:pPr>
            <w:pStyle w:val="Kopfzeile1"/>
            <w:tabs>
              <w:tab w:val="center" w:pos="4252"/>
              <w:tab w:val="left" w:pos="6521"/>
            </w:tabs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E8AEE4E" wp14:editId="42E4FB3B">
                <wp:extent cx="2311400" cy="355600"/>
                <wp:effectExtent l="0" t="0" r="0" b="0"/>
                <wp:docPr id="7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40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7151" w:rsidRPr="005B610E" w14:paraId="69CE87C5" w14:textId="77777777">
      <w:trPr>
        <w:cantSplit/>
        <w:trHeight w:val="411"/>
      </w:trPr>
      <w:tc>
        <w:tcPr>
          <w:tcW w:w="6798" w:type="dxa"/>
          <w:gridSpan w:val="3"/>
          <w:shd w:val="clear" w:color="auto" w:fill="auto"/>
        </w:tcPr>
        <w:p w14:paraId="34BA002D" w14:textId="77777777" w:rsidR="00867151" w:rsidRDefault="00867151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011" w:type="dxa"/>
          <w:shd w:val="clear" w:color="auto" w:fill="auto"/>
        </w:tcPr>
        <w:p w14:paraId="5EA59E54" w14:textId="77777777" w:rsidR="00867151" w:rsidRDefault="00867151">
          <w:pPr>
            <w:pStyle w:val="Kopfzeile1"/>
            <w:tabs>
              <w:tab w:val="left" w:pos="6521"/>
            </w:tabs>
            <w:rPr>
              <w:rFonts w:ascii="Arial" w:hAnsi="Arial" w:cs="Arial"/>
              <w:color w:val="003C76"/>
              <w:sz w:val="18"/>
              <w:szCs w:val="18"/>
            </w:rPr>
          </w:pPr>
          <w:r>
            <w:rPr>
              <w:rFonts w:ascii="Arial" w:hAnsi="Arial" w:cs="Arial"/>
              <w:color w:val="003C76"/>
              <w:sz w:val="18"/>
              <w:szCs w:val="18"/>
            </w:rPr>
            <w:t>Klinik für Anästhesiologie</w:t>
          </w:r>
        </w:p>
        <w:p w14:paraId="12B7F082" w14:textId="77777777" w:rsidR="00867151" w:rsidRDefault="00867151">
          <w:pPr>
            <w:pStyle w:val="Kopfzeile1"/>
            <w:tabs>
              <w:tab w:val="left" w:pos="6521"/>
            </w:tabs>
            <w:rPr>
              <w:rFonts w:ascii="Arial" w:hAnsi="Arial" w:cs="Arial"/>
              <w:color w:val="003C76"/>
              <w:sz w:val="18"/>
              <w:szCs w:val="18"/>
            </w:rPr>
          </w:pPr>
          <w:r>
            <w:rPr>
              <w:rFonts w:ascii="Arial" w:hAnsi="Arial" w:cs="Arial"/>
              <w:color w:val="003C76"/>
              <w:sz w:val="18"/>
              <w:szCs w:val="18"/>
            </w:rPr>
            <w:t>Verantwortliche Studienleitung:</w:t>
          </w:r>
        </w:p>
        <w:p w14:paraId="35926599" w14:textId="43990AB2" w:rsidR="00867151" w:rsidRPr="00E773A1" w:rsidRDefault="005B610E">
          <w:pPr>
            <w:pStyle w:val="Kopfzeile1"/>
            <w:tabs>
              <w:tab w:val="left" w:pos="6521"/>
            </w:tabs>
            <w:rPr>
              <w:rFonts w:ascii="Arial" w:hAnsi="Arial" w:cs="Arial"/>
              <w:color w:val="003C76"/>
              <w:sz w:val="18"/>
              <w:szCs w:val="18"/>
              <w:lang w:val="en-US"/>
            </w:rPr>
          </w:pPr>
          <w:r w:rsidRPr="005B610E">
            <w:rPr>
              <w:rFonts w:ascii="Arial" w:hAnsi="Arial" w:cs="Arial"/>
              <w:color w:val="003C76"/>
              <w:sz w:val="18"/>
              <w:szCs w:val="18"/>
              <w:lang w:val="en-US"/>
            </w:rPr>
            <w:t xml:space="preserve">PD </w:t>
          </w:r>
          <w:r w:rsidR="00867151" w:rsidRPr="00E773A1">
            <w:rPr>
              <w:rFonts w:ascii="Arial" w:hAnsi="Arial" w:cs="Arial"/>
              <w:color w:val="003C76"/>
              <w:sz w:val="18"/>
              <w:szCs w:val="18"/>
              <w:lang w:val="en-US"/>
            </w:rPr>
            <w:t xml:space="preserve">Dr. med. </w:t>
          </w:r>
          <w:r>
            <w:rPr>
              <w:rFonts w:ascii="Arial" w:hAnsi="Arial" w:cs="Arial"/>
              <w:color w:val="003C76"/>
              <w:sz w:val="18"/>
              <w:szCs w:val="18"/>
              <w:lang w:val="en-US"/>
            </w:rPr>
            <w:t>Marc Bodenstein</w:t>
          </w:r>
        </w:p>
        <w:p w14:paraId="4345DA25" w14:textId="77777777" w:rsidR="00867151" w:rsidRPr="00E773A1" w:rsidRDefault="00867151">
          <w:pPr>
            <w:pStyle w:val="Kopfzeile1"/>
            <w:tabs>
              <w:tab w:val="left" w:pos="6521"/>
            </w:tabs>
            <w:rPr>
              <w:rFonts w:ascii="Arial" w:hAnsi="Arial" w:cs="Arial"/>
              <w:color w:val="003C76"/>
              <w:sz w:val="18"/>
              <w:szCs w:val="18"/>
              <w:lang w:val="en-US"/>
            </w:rPr>
          </w:pPr>
        </w:p>
      </w:tc>
    </w:tr>
  </w:tbl>
  <w:p w14:paraId="333B719A" w14:textId="77777777" w:rsidR="00867151" w:rsidRPr="00E773A1" w:rsidRDefault="00867151">
    <w:pPr>
      <w:pStyle w:val="Kopfzeile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15F"/>
    <w:multiLevelType w:val="hybridMultilevel"/>
    <w:tmpl w:val="A4E2246C"/>
    <w:lvl w:ilvl="0" w:tplc="BD54DFB0">
      <w:start w:val="1"/>
      <w:numFmt w:val="decimal"/>
      <w:lvlText w:val="%1.)"/>
      <w:lvlJc w:val="left"/>
      <w:pPr>
        <w:ind w:left="643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1251"/>
    <w:multiLevelType w:val="multilevel"/>
    <w:tmpl w:val="C01A4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5550CB"/>
    <w:multiLevelType w:val="hybridMultilevel"/>
    <w:tmpl w:val="63588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3A0"/>
    <w:multiLevelType w:val="multilevel"/>
    <w:tmpl w:val="8EF6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A8D63BC"/>
    <w:multiLevelType w:val="multilevel"/>
    <w:tmpl w:val="DC1CD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A21F0B"/>
    <w:multiLevelType w:val="multilevel"/>
    <w:tmpl w:val="45180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0F2171"/>
    <w:multiLevelType w:val="hybridMultilevel"/>
    <w:tmpl w:val="0A72F0CE"/>
    <w:lvl w:ilvl="0" w:tplc="D326D3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86F32"/>
    <w:multiLevelType w:val="hybridMultilevel"/>
    <w:tmpl w:val="5AF4D260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7147195"/>
    <w:multiLevelType w:val="multilevel"/>
    <w:tmpl w:val="86EC7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CB484E"/>
    <w:multiLevelType w:val="multilevel"/>
    <w:tmpl w:val="2DD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8654580"/>
    <w:multiLevelType w:val="multilevel"/>
    <w:tmpl w:val="0CF8D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C9A24B9"/>
    <w:multiLevelType w:val="multilevel"/>
    <w:tmpl w:val="1A0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9417522"/>
    <w:multiLevelType w:val="multilevel"/>
    <w:tmpl w:val="DDFEF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464153"/>
    <w:multiLevelType w:val="hybridMultilevel"/>
    <w:tmpl w:val="8A66D256"/>
    <w:lvl w:ilvl="0" w:tplc="BD54DFB0">
      <w:start w:val="1"/>
      <w:numFmt w:val="decimal"/>
      <w:lvlText w:val="%1.)"/>
      <w:lvlJc w:val="left"/>
      <w:pPr>
        <w:ind w:left="1146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dpvtzpkfwaz9eeafspxe9saea5afvaxexp&quot;&gt;My EndNote Library&lt;record-ids&gt;&lt;item&gt;1&lt;/item&gt;&lt;item&gt;3&lt;/item&gt;&lt;item&gt;4&lt;/item&gt;&lt;item&gt;5&lt;/item&gt;&lt;item&gt;6&lt;/item&gt;&lt;item&gt;7&lt;/item&gt;&lt;/record-ids&gt;&lt;/item&gt;&lt;/Libraries&gt;"/>
  </w:docVars>
  <w:rsids>
    <w:rsidRoot w:val="00C30152"/>
    <w:rsid w:val="000056EA"/>
    <w:rsid w:val="000377C8"/>
    <w:rsid w:val="000F6EF9"/>
    <w:rsid w:val="00156AB2"/>
    <w:rsid w:val="00225B5E"/>
    <w:rsid w:val="002E14AB"/>
    <w:rsid w:val="003219A8"/>
    <w:rsid w:val="00364FB1"/>
    <w:rsid w:val="003B69E3"/>
    <w:rsid w:val="003E4B7A"/>
    <w:rsid w:val="003F0746"/>
    <w:rsid w:val="00405BCC"/>
    <w:rsid w:val="00480A8D"/>
    <w:rsid w:val="004852B7"/>
    <w:rsid w:val="004C11C2"/>
    <w:rsid w:val="005429B6"/>
    <w:rsid w:val="005B610E"/>
    <w:rsid w:val="005C6CB0"/>
    <w:rsid w:val="00604DBC"/>
    <w:rsid w:val="00622046"/>
    <w:rsid w:val="00657CC9"/>
    <w:rsid w:val="0067579F"/>
    <w:rsid w:val="00692B1A"/>
    <w:rsid w:val="00725057"/>
    <w:rsid w:val="00740097"/>
    <w:rsid w:val="00791E94"/>
    <w:rsid w:val="007B07EB"/>
    <w:rsid w:val="007C589E"/>
    <w:rsid w:val="007C7342"/>
    <w:rsid w:val="007F4E62"/>
    <w:rsid w:val="00804E29"/>
    <w:rsid w:val="00864250"/>
    <w:rsid w:val="00867151"/>
    <w:rsid w:val="00890FCA"/>
    <w:rsid w:val="008F3B08"/>
    <w:rsid w:val="00914033"/>
    <w:rsid w:val="0094747C"/>
    <w:rsid w:val="00976A94"/>
    <w:rsid w:val="009D5E6B"/>
    <w:rsid w:val="009E07A7"/>
    <w:rsid w:val="00A20A35"/>
    <w:rsid w:val="00AB198C"/>
    <w:rsid w:val="00AB63BF"/>
    <w:rsid w:val="00AC3C2D"/>
    <w:rsid w:val="00AE7934"/>
    <w:rsid w:val="00AF6732"/>
    <w:rsid w:val="00B30590"/>
    <w:rsid w:val="00B6488A"/>
    <w:rsid w:val="00B7041F"/>
    <w:rsid w:val="00BA68D1"/>
    <w:rsid w:val="00C210F6"/>
    <w:rsid w:val="00C30152"/>
    <w:rsid w:val="00C8229E"/>
    <w:rsid w:val="00CF15BB"/>
    <w:rsid w:val="00D17C3A"/>
    <w:rsid w:val="00D449AA"/>
    <w:rsid w:val="00D5568B"/>
    <w:rsid w:val="00D744BD"/>
    <w:rsid w:val="00DA6531"/>
    <w:rsid w:val="00E54E7A"/>
    <w:rsid w:val="00E63372"/>
    <w:rsid w:val="00E773A1"/>
    <w:rsid w:val="00ED67A8"/>
    <w:rsid w:val="00F168F3"/>
    <w:rsid w:val="00F20F57"/>
    <w:rsid w:val="00F41DBB"/>
    <w:rsid w:val="00F6213B"/>
    <w:rsid w:val="00F6388B"/>
    <w:rsid w:val="00F778A6"/>
    <w:rsid w:val="00F77F57"/>
    <w:rsid w:val="00FA49A6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0C2E169"/>
  <w15:docId w15:val="{606E213B-2F5D-4246-8C72-FBC84892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qFormat/>
    <w:rsid w:val="00290729"/>
    <w:rPr>
      <w:sz w:val="16"/>
      <w:szCs w:val="16"/>
    </w:rPr>
  </w:style>
  <w:style w:type="character" w:customStyle="1" w:styleId="explanationZchn">
    <w:name w:val="explanation Zchn"/>
    <w:qFormat/>
    <w:rsid w:val="002C0134"/>
    <w:rPr>
      <w:rFonts w:ascii="Arial" w:hAnsi="Arial"/>
      <w:i/>
      <w:color w:val="FF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Arial" w:hAnsi="Arial" w:cs="Symbol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Symbol"/>
      <w:b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C62753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zeile1">
    <w:name w:val="Kopfzeile1"/>
    <w:basedOn w:val="Standard"/>
    <w:rsid w:val="0042509B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rsid w:val="0042509B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qFormat/>
    <w:rsid w:val="00A54FC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jc w:val="both"/>
      <w:textAlignment w:val="baseline"/>
    </w:pPr>
    <w:rPr>
      <w:b/>
      <w:szCs w:val="20"/>
    </w:rPr>
  </w:style>
  <w:style w:type="paragraph" w:customStyle="1" w:styleId="bodytext">
    <w:name w:val="bodytext"/>
    <w:basedOn w:val="Standard"/>
    <w:qFormat/>
    <w:rsid w:val="00A54FC1"/>
    <w:pPr>
      <w:spacing w:beforeAutospacing="1" w:afterAutospacing="1"/>
    </w:pPr>
  </w:style>
  <w:style w:type="paragraph" w:styleId="Textkrper2">
    <w:name w:val="Body Text 2"/>
    <w:basedOn w:val="Standard"/>
    <w:qFormat/>
    <w:rsid w:val="00244AAF"/>
    <w:pPr>
      <w:spacing w:line="360" w:lineRule="auto"/>
      <w:jc w:val="both"/>
    </w:pPr>
    <w:rPr>
      <w:rFonts w:ascii="Arial" w:hAnsi="Arial" w:cs="Arial"/>
      <w:sz w:val="22"/>
      <w:szCs w:val="20"/>
    </w:rPr>
  </w:style>
  <w:style w:type="paragraph" w:customStyle="1" w:styleId="t5">
    <w:name w:val="t5"/>
    <w:basedOn w:val="Standard"/>
    <w:qFormat/>
    <w:rsid w:val="00C62753"/>
    <w:pPr>
      <w:spacing w:line="420" w:lineRule="atLeast"/>
    </w:pPr>
    <w:rPr>
      <w:szCs w:val="20"/>
    </w:rPr>
  </w:style>
  <w:style w:type="paragraph" w:customStyle="1" w:styleId="c31">
    <w:name w:val="c31"/>
    <w:basedOn w:val="Standard"/>
    <w:qFormat/>
    <w:rsid w:val="00C62753"/>
    <w:pPr>
      <w:spacing w:line="240" w:lineRule="atLeast"/>
      <w:jc w:val="center"/>
    </w:pPr>
    <w:rPr>
      <w:szCs w:val="20"/>
    </w:rPr>
  </w:style>
  <w:style w:type="paragraph" w:styleId="Sprechblasentext">
    <w:name w:val="Balloon Text"/>
    <w:basedOn w:val="Standard"/>
    <w:semiHidden/>
    <w:qFormat/>
    <w:rsid w:val="00162A02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qFormat/>
    <w:rsid w:val="0029072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qFormat/>
    <w:rsid w:val="00290729"/>
    <w:rPr>
      <w:b/>
      <w:bCs/>
    </w:rPr>
  </w:style>
  <w:style w:type="paragraph" w:customStyle="1" w:styleId="MittlereSchattierung1-Akzent21">
    <w:name w:val="Mittlere Schattierung 1 - Akzent 21"/>
    <w:uiPriority w:val="1"/>
    <w:qFormat/>
    <w:rsid w:val="00D37F3A"/>
    <w:rPr>
      <w:rFonts w:ascii="Arial" w:eastAsia="Calibri" w:hAnsi="Arial" w:cs="Arial"/>
      <w:sz w:val="22"/>
      <w:szCs w:val="22"/>
      <w:lang w:eastAsia="en-US"/>
    </w:rPr>
  </w:style>
  <w:style w:type="paragraph" w:customStyle="1" w:styleId="explanation">
    <w:name w:val="explanation"/>
    <w:basedOn w:val="Standard"/>
    <w:qFormat/>
    <w:rsid w:val="002C0134"/>
    <w:pPr>
      <w:spacing w:before="120" w:after="120"/>
      <w:jc w:val="both"/>
    </w:pPr>
    <w:rPr>
      <w:rFonts w:ascii="Arial" w:hAnsi="Arial"/>
      <w:i/>
      <w:color w:val="FF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090494"/>
    <w:pPr>
      <w:ind w:left="720"/>
      <w:contextualSpacing/>
    </w:pPr>
  </w:style>
  <w:style w:type="paragraph" w:styleId="berarbeitung">
    <w:name w:val="Revision"/>
    <w:uiPriority w:val="99"/>
    <w:semiHidden/>
    <w:qFormat/>
    <w:rsid w:val="00414ABE"/>
    <w:rPr>
      <w:sz w:val="24"/>
      <w:szCs w:val="24"/>
    </w:rPr>
  </w:style>
  <w:style w:type="paragraph" w:styleId="Beschriftung">
    <w:name w:val="caption"/>
    <w:basedOn w:val="Standard"/>
    <w:next w:val="Standard"/>
    <w:unhideWhenUsed/>
    <w:qFormat/>
    <w:rsid w:val="00537B3F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42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CF15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15B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F15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15BB"/>
    <w:rPr>
      <w:sz w:val="24"/>
      <w:szCs w:val="24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04E29"/>
  </w:style>
  <w:style w:type="paragraph" w:customStyle="1" w:styleId="EndNoteBibliographyTitle">
    <w:name w:val="EndNote Bibliography Title"/>
    <w:basedOn w:val="Standard"/>
    <w:link w:val="EndNoteBibliographyTitleZchn"/>
    <w:rsid w:val="00976A94"/>
    <w:pPr>
      <w:framePr w:hSpace="141" w:wrap="around" w:vAnchor="page" w:hAnchor="page" w:x="1340" w:y="2228"/>
      <w:jc w:val="center"/>
    </w:pPr>
    <w:rPr>
      <w:rFonts w:ascii="Arial" w:hAnsi="Arial" w:cs="Arial"/>
      <w:sz w:val="22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76A94"/>
    <w:rPr>
      <w:rFonts w:ascii="Arial" w:hAnsi="Arial" w:cs="Arial"/>
      <w:sz w:val="22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976A94"/>
    <w:pPr>
      <w:framePr w:hSpace="141" w:wrap="around" w:vAnchor="page" w:hAnchor="page" w:x="1340" w:y="2228"/>
    </w:pPr>
    <w:rPr>
      <w:rFonts w:ascii="Arial" w:hAnsi="Arial" w:cs="Arial"/>
      <w:sz w:val="22"/>
    </w:rPr>
  </w:style>
  <w:style w:type="character" w:customStyle="1" w:styleId="EndNoteBibliographyZchn">
    <w:name w:val="EndNote Bibliography Zchn"/>
    <w:basedOn w:val="Absatz-Standardschriftart"/>
    <w:link w:val="EndNoteBibliography"/>
    <w:rsid w:val="00976A94"/>
    <w:rPr>
      <w:rFonts w:ascii="Arial" w:hAnsi="Arial" w:cs="Arial"/>
      <w:sz w:val="22"/>
      <w:szCs w:val="24"/>
    </w:rPr>
  </w:style>
  <w:style w:type="character" w:styleId="Hyperlink">
    <w:name w:val="Hyperlink"/>
    <w:basedOn w:val="Absatz-Standardschriftart"/>
    <w:unhideWhenUsed/>
    <w:rsid w:val="008F3B0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8F3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CB249-4712-42E7-94C6-F08DB71D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Klinische Studie</vt:lpstr>
    </vt:vector>
  </TitlesOfParts>
  <Company>Mainz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Klinische Studie</dc:title>
  <dc:creator>kap0b</dc:creator>
  <cp:lastModifiedBy>Beck, Katharina</cp:lastModifiedBy>
  <cp:revision>5</cp:revision>
  <cp:lastPrinted>2015-08-27T11:52:00Z</cp:lastPrinted>
  <dcterms:created xsi:type="dcterms:W3CDTF">2022-12-16T14:58:00Z</dcterms:created>
  <dcterms:modified xsi:type="dcterms:W3CDTF">2022-12-27T11:44:00Z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Mainz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