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76" w:lineRule="auto"/>
        <w:jc w:val="center"/>
        <w:textAlignment w:val="auto"/>
        <w:outlineLvl w:val="1"/>
        <w:rPr>
          <w:rFonts w:hint="default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Calculation of NPP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ANPP is determined based on the absorbed photosynthetically active radiation (APAR) and light-use efficiency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color w:val="auto"/>
          <w:sz w:val="24"/>
        </w:rPr>
        <w:t>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ANPP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>)=APAR(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>) × 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color w:val="auto"/>
          <w:sz w:val="24"/>
        </w:rPr>
        <w:t>,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(1)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where APAR is the incident photosynthetically active radiation (PAR, MJ·m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−2</w:t>
      </w:r>
      <w:r>
        <w:rPr>
          <w:rFonts w:hint="default" w:ascii="Times New Roman" w:hAnsi="Times New Roman" w:cs="Times New Roman"/>
          <w:color w:val="auto"/>
          <w:sz w:val="24"/>
        </w:rPr>
        <w:t xml:space="preserve"> )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spatial location and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 xml:space="preserve">is the time. absorbed by the vegetation per unit time, and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i/>
          <w:iCs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actual light-use efficiency (g·C·MJ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−1</w:t>
      </w:r>
      <w:r>
        <w:rPr>
          <w:rFonts w:hint="default" w:ascii="Times New Roman" w:hAnsi="Times New Roman" w:cs="Times New Roman"/>
          <w:color w:val="auto"/>
          <w:sz w:val="24"/>
        </w:rPr>
        <w:t xml:space="preserve"> ). APAR is calculated from the fraction of the total solar radiation (SOL, </w:t>
      </w:r>
      <w:bookmarkStart w:id="1" w:name="_GoBack"/>
      <w:bookmarkEnd w:id="1"/>
      <w:r>
        <w:rPr>
          <w:rFonts w:hint="default" w:ascii="Times New Roman" w:hAnsi="Times New Roman" w:cs="Times New Roman"/>
          <w:color w:val="auto"/>
          <w:sz w:val="24"/>
        </w:rPr>
        <w:t>MJ·m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−2</w:t>
      </w:r>
      <w:r>
        <w:rPr>
          <w:rFonts w:hint="default" w:ascii="Times New Roman" w:hAnsi="Times New Roman" w:cs="Times New Roman"/>
          <w:color w:val="auto"/>
          <w:sz w:val="24"/>
        </w:rPr>
        <w:t>) accounted for by PAR (FPAR):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APAR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>) = SOL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>) × FPAR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 × 0.5,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(2)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where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</w:rPr>
        <w:t>0.5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proportion of SOL intercepted by the vegetation. Under ideal conditions, the vegetation can achieve its maximum light-use efficiency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max</w:t>
      </w:r>
      <w:r>
        <w:rPr>
          <w:rFonts w:hint="default" w:ascii="Times New Roman" w:hAnsi="Times New Roman" w:cs="Times New Roman"/>
          <w:color w:val="auto"/>
          <w:sz w:val="24"/>
        </w:rPr>
        <w:t>), but in reality, this efficiency is constrained by both the temperature and the soil moisture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(Xiao et al., 2022)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 xml:space="preserve">. FPAR can be calculated from the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</w:rPr>
        <w:t>NDVI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>. These constraints are accounted for as follows: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position w:val="-32"/>
          <w:sz w:val="24"/>
        </w:rPr>
        <w:object>
          <v:shape id="_x0000_i1025" o:spt="75" type="#_x0000_t75" style="height:36pt;width:285.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 w:val="24"/>
        </w:rPr>
        <w:t xml:space="preserve">,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(3)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where NDVI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i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,max</w:t>
      </w:r>
      <w:r>
        <w:rPr>
          <w:rFonts w:hint="eastAsia" w:ascii="Times New Roman" w:hAnsi="Times New Roman" w:cs="Times New Roman"/>
          <w:color w:val="auto"/>
          <w:sz w:val="24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and NDVI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i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,min</w:t>
      </w:r>
      <w:r>
        <w:rPr>
          <w:rFonts w:hint="default" w:ascii="Times New Roman" w:hAnsi="Times New Roman" w:cs="Times New Roman"/>
          <w:color w:val="auto"/>
          <w:sz w:val="24"/>
        </w:rPr>
        <w:t xml:space="preserve"> are the minimum and maximum values of vegetation NDVI, respectively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4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>he values of FPAR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max</w:t>
      </w:r>
      <w:r>
        <w:rPr>
          <w:rFonts w:hint="default" w:ascii="Times New Roman" w:hAnsi="Times New Roman" w:cs="Times New Roman"/>
          <w:color w:val="auto"/>
          <w:sz w:val="24"/>
        </w:rPr>
        <w:t xml:space="preserve"> and FPAR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min</w:t>
      </w:r>
      <w:r>
        <w:rPr>
          <w:rFonts w:hint="default" w:ascii="Times New Roman" w:hAnsi="Times New Roman" w:cs="Times New Roman"/>
          <w:color w:val="auto"/>
          <w:sz w:val="24"/>
        </w:rPr>
        <w:t xml:space="preserve"> are independent of the vegetation type, and are 0.001 and 0.95, respectively; and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accounted for by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color w:val="auto"/>
          <w:sz w:val="24"/>
        </w:rPr>
        <w:t>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 =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 w:val="24"/>
        </w:rPr>
        <w:t>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 ×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 ×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W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ɛ</w:t>
      </w:r>
      <w:r>
        <w:rPr>
          <w:rFonts w:hint="default" w:ascii="Times New Roman" w:hAnsi="Times New Roman" w:cs="Times New Roman"/>
          <w:color w:val="auto"/>
          <w:sz w:val="24"/>
        </w:rPr>
        <w:t xml:space="preserve"> ×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 ×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max</w:t>
      </w:r>
      <w:r>
        <w:rPr>
          <w:rFonts w:hint="default" w:ascii="Times New Roman" w:hAnsi="Times New Roman" w:cs="Times New Roman"/>
          <w:color w:val="auto"/>
          <w:sz w:val="24"/>
        </w:rPr>
        <w:t xml:space="preserve">, 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(4)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in which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1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and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2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are the temperature stress coefficients for light-use efficiency,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W</w:t>
      </w:r>
      <w:r>
        <w:rPr>
          <w:rFonts w:hint="default" w:ascii="Times New Roman" w:hAnsi="Times New Roman" w:cs="Times New Roman"/>
          <w:i/>
          <w:iCs/>
          <w:color w:val="auto"/>
          <w:sz w:val="24"/>
          <w:vertAlign w:val="subscript"/>
        </w:rPr>
        <w:t>ɛ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moisture stress coefficient, and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ɛ</w:t>
      </w:r>
      <w:r>
        <w:rPr>
          <w:rFonts w:hint="default" w:ascii="Times New Roman" w:hAnsi="Times New Roman" w:cs="Times New Roman"/>
          <w:color w:val="auto"/>
          <w:sz w:val="24"/>
          <w:vertAlign w:val="subscript"/>
        </w:rPr>
        <w:t>max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maximum light-use efficiency under ideal conditions.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Yu</w:t>
      </w:r>
      <w:r>
        <w:rPr>
          <w:rFonts w:hint="default" w:ascii="Times New Roman" w:hAnsi="Times New Roman" w:cs="Times New Roman"/>
          <w:color w:val="auto"/>
          <w:sz w:val="24"/>
        </w:rPr>
        <w:t xml:space="preserve"> et al.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(2021)</w:t>
      </w:r>
      <w:r>
        <w:rPr>
          <w:rFonts w:hint="default" w:ascii="Times New Roman" w:hAnsi="Times New Roman" w:cs="Times New Roman"/>
          <w:color w:val="auto"/>
          <w:sz w:val="24"/>
        </w:rPr>
        <w:t xml:space="preserve"> used remote sensing, meteorological, and measured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</w:rPr>
        <w:t>NPP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data to simulate the maximum light energy utilization rate of typical vegetation in China, where grassland is 0.542 g C·MJ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−1</w:t>
      </w:r>
      <w:r>
        <w:rPr>
          <w:rFonts w:hint="default" w:ascii="Times New Roman" w:hAnsi="Times New Roman" w:cs="Times New Roman"/>
          <w:color w:val="auto"/>
          <w:sz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The Thornthwaite Memorial model was established based on the data used in the Miami model, but was modified to include Thornthwaite’s potential evaporation model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(Lieth et al., 1972)</w:t>
      </w:r>
      <w:r>
        <w:rPr>
          <w:rFonts w:hint="default" w:ascii="Times New Roman" w:hAnsi="Times New Roman" w:cs="Times New Roman"/>
          <w:color w:val="auto"/>
          <w:sz w:val="24"/>
        </w:rPr>
        <w:t>. We used the Thornthwaite Memorial model to estimate PNPP (g C 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 xml:space="preserve"> −2</w:t>
      </w:r>
      <w:r>
        <w:rPr>
          <w:rFonts w:hint="default" w:ascii="Times New Roman" w:hAnsi="Times New Roman" w:cs="Times New Roman"/>
          <w:color w:val="auto"/>
          <w:sz w:val="24"/>
        </w:rPr>
        <w:t xml:space="preserve"> yr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 xml:space="preserve"> −1 </w:t>
      </w:r>
      <w:r>
        <w:rPr>
          <w:rFonts w:hint="default" w:ascii="Times New Roman" w:hAnsi="Times New Roman" w:cs="Times New Roman"/>
          <w:color w:val="auto"/>
          <w:sz w:val="24"/>
        </w:rPr>
        <w:t>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479" w:leftChars="228" w:firstLine="0" w:firstLineChars="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position w:val="-10"/>
          <w:sz w:val="24"/>
        </w:rPr>
        <w:object>
          <v:shape id="_x0000_i1026" o:spt="75" type="#_x0000_t75" style="height:18.25pt;width:152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position w:val="-10"/>
          <w:sz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(5)                                                </w:t>
      </w:r>
      <w:r>
        <w:rPr>
          <w:rFonts w:hint="default" w:ascii="Times New Roman" w:hAnsi="Times New Roman" w:cs="Times New Roman"/>
          <w:color w:val="auto"/>
          <w:position w:val="-60"/>
          <w:sz w:val="24"/>
        </w:rPr>
        <w:object>
          <v:shape id="_x0000_i1027" o:spt="75" type="#_x0000_t75" style="height:48.6pt;width:102.9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position w:val="-60"/>
          <w:sz w:val="24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>(6)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left="479" w:leftChars="228" w:firstLine="0" w:firstLineChars="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i/>
          <w:iCs/>
          <w:color w:val="auto"/>
          <w:sz w:val="24"/>
        </w:rPr>
        <w:t>L</w:t>
      </w:r>
      <w:r>
        <w:rPr>
          <w:rFonts w:hint="default" w:ascii="Times New Roman" w:hAnsi="Times New Roman" w:cs="Times New Roman"/>
          <w:color w:val="auto"/>
          <w:sz w:val="24"/>
        </w:rPr>
        <w:t xml:space="preserve"> = 3000 + 25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 + 0.05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3</w:t>
      </w:r>
      <w:r>
        <w:rPr>
          <w:rFonts w:hint="default" w:ascii="Times New Roman" w:hAnsi="Times New Roman" w:cs="Times New Roman"/>
          <w:color w:val="auto"/>
          <w:sz w:val="24"/>
          <w:vertAlign w:val="baseli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auto"/>
          <w:sz w:val="24"/>
          <w:vertAlign w:val="superscript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(7)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jc w:val="left"/>
        <w:rPr>
          <w:rFonts w:hint="default" w:ascii="Times New Roman" w:hAnsi="Times New Roman" w:cs="Times New Roman"/>
          <w:color w:val="auto"/>
          <w:sz w:val="24"/>
        </w:rPr>
      </w:pPr>
      <w:bookmarkStart w:id="0" w:name="OLE_LINK8"/>
      <w:r>
        <w:rPr>
          <w:rFonts w:hint="default" w:ascii="Times New Roman" w:hAnsi="Times New Roman" w:cs="Times New Roman"/>
          <w:color w:val="auto"/>
          <w:sz w:val="24"/>
        </w:rPr>
        <w:t xml:space="preserve">In these equations, </w:t>
      </w:r>
      <w:bookmarkEnd w:id="0"/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time, υ is the annual average actual evaporation volume (mm),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L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annual average evaporation volume (mm),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“</w:t>
      </w:r>
      <w:r>
        <w:rPr>
          <w:rFonts w:hint="default" w:ascii="Times New Roman" w:hAnsi="Times New Roman" w:eastAsia="微软雅黑" w:cs="Times New Roman"/>
          <w:i/>
          <w:iCs/>
          <w:color w:val="auto"/>
          <w:sz w:val="24"/>
        </w:rPr>
        <w:t>γ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lang w:val="en-US"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 xml:space="preserve"> is the annual total precipitation volume (mm).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HNPP (g C·m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−2</w:t>
      </w:r>
      <w:r>
        <w:rPr>
          <w:rFonts w:hint="default" w:ascii="Times New Roman" w:hAnsi="Times New Roman" w:cs="Times New Roman"/>
          <w:color w:val="auto"/>
          <w:sz w:val="24"/>
        </w:rPr>
        <w:t>·yr</w:t>
      </w:r>
      <w:r>
        <w:rPr>
          <w:rFonts w:hint="default" w:ascii="Times New Roman" w:hAnsi="Times New Roman" w:cs="Times New Roman"/>
          <w:color w:val="auto"/>
          <w:sz w:val="24"/>
          <w:vertAlign w:val="superscript"/>
        </w:rPr>
        <w:t>−1</w:t>
      </w:r>
      <w:r>
        <w:rPr>
          <w:rFonts w:hint="default" w:ascii="Times New Roman" w:hAnsi="Times New Roman" w:cs="Times New Roman"/>
          <w:color w:val="auto"/>
          <w:sz w:val="24"/>
        </w:rPr>
        <w:t>) is the difference between PNPP and ANPP, and represents the loss or increment of NPP induced by human activities: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HNPP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>) = PNPP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color w:val="auto"/>
          <w:sz w:val="24"/>
        </w:rPr>
        <w:t xml:space="preserve"> ANPP (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x</w:t>
      </w:r>
      <w:r>
        <w:rPr>
          <w:rFonts w:hint="default" w:ascii="Times New Roman" w:hAnsi="Times New Roman" w:cs="Times New Roman"/>
          <w:color w:val="auto"/>
          <w:sz w:val="24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auto"/>
          <w:sz w:val="24"/>
        </w:rPr>
        <w:t>t</w:t>
      </w:r>
      <w:r>
        <w:rPr>
          <w:rFonts w:hint="default" w:ascii="Times New Roman" w:hAnsi="Times New Roman" w:cs="Times New Roman"/>
          <w:color w:val="auto"/>
          <w:sz w:val="24"/>
        </w:rPr>
        <w:t xml:space="preserve">).          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 xml:space="preserve">  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</w:rPr>
        <w:t xml:space="preserve"> (8)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76" w:lineRule="auto"/>
        <w:ind w:firstLine="480" w:firstLineChars="200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Thus, a positive HNPP value represents an NPP loss induced by human activities and a negative value represents an NPP increment produced by human activities.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TQzYTYwMzFhMDY2M2ZmNTcwYzRjMDI0YWRhNTIifQ=="/>
  </w:docVars>
  <w:rsids>
    <w:rsidRoot w:val="00000000"/>
    <w:rsid w:val="3C2F4917"/>
    <w:rsid w:val="587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2037</Characters>
  <Lines>0</Lines>
  <Paragraphs>0</Paragraphs>
  <TotalTime>1</TotalTime>
  <ScaleCrop>false</ScaleCrop>
  <LinksUpToDate>false</LinksUpToDate>
  <CharactersWithSpaces>2761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2023-06-25T05:22:49Z</dcterms:created>
  <dc:creator>lenovo</dc:creator>
  <cp:lastModifiedBy>小姣～</cp:lastModifiedBy>
  <dcterms:modified xsi:type="dcterms:W3CDTF">2023-06-25T05:29:24Z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80BE41FEABC74F359E663470750DE8FD_12</vt:lpwstr>
  </property>
</Properties>
</file>