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Supplementary File 1</w:t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>Searching strategies</w:t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Pubmed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91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hint="eastAsia" w:ascii="Times New Roman" w:hAnsi="Times New Roman" w:cs="Times New Roman"/>
                <w:sz w:val="20"/>
                <w:szCs w:val="18"/>
              </w:rPr>
              <w:t>1</w:t>
            </w:r>
          </w:p>
        </w:tc>
        <w:tc>
          <w:tcPr>
            <w:tcW w:w="9174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hint="eastAsia" w:ascii="Times New Roman" w:hAnsi="Times New Roman" w:cs="Times New Roman"/>
                <w:sz w:val="20"/>
                <w:szCs w:val="18"/>
              </w:rPr>
              <w:t>"Sepsis"[Mesh]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hint="eastAsia" w:ascii="Times New Roman" w:hAnsi="Times New Roman" w:cs="Times New Roman"/>
                <w:sz w:val="20"/>
                <w:szCs w:val="18"/>
              </w:rPr>
              <w:t>2</w:t>
            </w:r>
          </w:p>
        </w:tc>
        <w:tc>
          <w:tcPr>
            <w:tcW w:w="9174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hint="eastAsia" w:ascii="Times New Roman" w:hAnsi="Times New Roman" w:cs="Times New Roman"/>
                <w:sz w:val="20"/>
                <w:szCs w:val="18"/>
              </w:rPr>
              <w:t>"Shock, Septic"[Mesh]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hint="eastAsia" w:ascii="Times New Roman" w:hAnsi="Times New Roman" w:cs="Times New Roman"/>
                <w:sz w:val="20"/>
                <w:szCs w:val="18"/>
              </w:rPr>
              <w:t>3</w:t>
            </w:r>
          </w:p>
        </w:tc>
        <w:tc>
          <w:tcPr>
            <w:tcW w:w="9174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hint="eastAsia" w:ascii="Times New Roman" w:hAnsi="Times New Roman" w:cs="Times New Roman"/>
                <w:sz w:val="20"/>
                <w:szCs w:val="18"/>
              </w:rPr>
              <w:t>("Shock, Septic"[Mesh]) OR ("Sepsis"[Mesh])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hint="eastAsia" w:ascii="Times New Roman" w:hAnsi="Times New Roman" w:cs="Times New Roman"/>
                <w:sz w:val="20"/>
                <w:szCs w:val="18"/>
              </w:rPr>
              <w:t>4</w:t>
            </w:r>
          </w:p>
        </w:tc>
        <w:tc>
          <w:tcPr>
            <w:tcW w:w="9174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hint="eastAsia" w:ascii="Times New Roman" w:hAnsi="Times New Roman" w:cs="Times New Roman"/>
                <w:sz w:val="20"/>
                <w:szCs w:val="18"/>
              </w:rPr>
              <w:t>(((((((Sepsis) OR (septic)) OR (Pyemia*)) OR (Pyohemia*)) OR (Pyaemia*)) OR (Septicemia*)) OR (Septic shock)) OR (Septic)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hint="eastAsia" w:ascii="Times New Roman" w:hAnsi="Times New Roman" w:cs="Times New Roman"/>
                <w:sz w:val="20"/>
                <w:szCs w:val="18"/>
              </w:rPr>
              <w:t>5</w:t>
            </w:r>
          </w:p>
        </w:tc>
        <w:tc>
          <w:tcPr>
            <w:tcW w:w="9174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hint="eastAsia" w:ascii="Times New Roman" w:hAnsi="Times New Roman" w:cs="Times New Roman"/>
                <w:sz w:val="20"/>
                <w:szCs w:val="18"/>
              </w:rPr>
              <w:t>((((((((Sepsis) OR (septic)) OR (Pyemia*)) OR (Pyohemia*)) OR (Pyaemia*)) OR (Septicemia*)) OR (Septic shock)) OR (Septic)) OR (("Shock, Septic"[Mesh]) OR ("Sepsis"[Mesh]))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hint="eastAsia" w:ascii="Times New Roman" w:hAnsi="Times New Roman" w:cs="Times New Roman"/>
                <w:sz w:val="20"/>
                <w:szCs w:val="18"/>
              </w:rPr>
              <w:t>6</w:t>
            </w:r>
          </w:p>
        </w:tc>
        <w:tc>
          <w:tcPr>
            <w:tcW w:w="9174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hint="eastAsia" w:ascii="Times New Roman" w:hAnsi="Times New Roman" w:cs="Times New Roman"/>
                <w:sz w:val="20"/>
                <w:szCs w:val="18"/>
              </w:rPr>
              <w:t>(Mortality[MeSH Terms]) OR (Death[MeSH Terms])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hint="eastAsia" w:ascii="Times New Roman" w:hAnsi="Times New Roman" w:cs="Times New Roman"/>
                <w:sz w:val="20"/>
                <w:szCs w:val="18"/>
              </w:rPr>
              <w:t>7</w:t>
            </w:r>
          </w:p>
        </w:tc>
        <w:tc>
          <w:tcPr>
            <w:tcW w:w="9174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hint="eastAsia" w:ascii="Times New Roman" w:hAnsi="Times New Roman" w:cs="Times New Roman"/>
                <w:sz w:val="20"/>
                <w:szCs w:val="18"/>
              </w:rPr>
              <w:t>((Mortalit*) OR (Fatalit*)) OR (Death*)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hint="eastAsia" w:ascii="Times New Roman" w:hAnsi="Times New Roman" w:cs="Times New Roman"/>
                <w:sz w:val="20"/>
                <w:szCs w:val="18"/>
              </w:rPr>
              <w:t>8</w:t>
            </w:r>
          </w:p>
        </w:tc>
        <w:tc>
          <w:tcPr>
            <w:tcW w:w="9174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hint="eastAsia" w:ascii="Times New Roman" w:hAnsi="Times New Roman" w:cs="Times New Roman"/>
                <w:sz w:val="20"/>
                <w:szCs w:val="18"/>
              </w:rPr>
              <w:t>((Mortality[MeSH Terms]) OR (Death[MeSH Terms])) OR (((Mortalit*) OR (Fatalit*)) OR (Death*))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hint="eastAsia" w:ascii="Times New Roman" w:hAnsi="Times New Roman" w:cs="Times New Roman"/>
                <w:sz w:val="20"/>
                <w:szCs w:val="18"/>
              </w:rPr>
              <w:t>9</w:t>
            </w:r>
          </w:p>
        </w:tc>
        <w:tc>
          <w:tcPr>
            <w:tcW w:w="9174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hint="eastAsia" w:ascii="Times New Roman" w:hAnsi="Times New Roman" w:cs="Times New Roman"/>
                <w:sz w:val="20"/>
                <w:szCs w:val="18"/>
              </w:rPr>
              <w:t>((Phosphate[MeSH Terms]) OR (Hyperphosphatemia[MeSH Terms])) OR (Hypophosphatemia[MeSH Terms])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hint="eastAsia" w:ascii="Times New Roman" w:hAnsi="Times New Roman" w:cs="Times New Roman"/>
                <w:sz w:val="20"/>
                <w:szCs w:val="18"/>
              </w:rPr>
              <w:t>10</w:t>
            </w:r>
          </w:p>
        </w:tc>
        <w:tc>
          <w:tcPr>
            <w:tcW w:w="9174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hint="eastAsia" w:ascii="Times New Roman" w:hAnsi="Times New Roman" w:cs="Times New Roman"/>
                <w:sz w:val="20"/>
                <w:szCs w:val="18"/>
              </w:rPr>
              <w:t>(((Phosphate*) OR (Orthophosphate*)) OR (Hyperphosphatemia*)) OR (Hypophosphatemia*)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hint="eastAsia" w:ascii="Times New Roman" w:hAnsi="Times New Roman" w:cs="Times New Roman"/>
                <w:sz w:val="20"/>
                <w:szCs w:val="18"/>
              </w:rPr>
              <w:t>11</w:t>
            </w:r>
          </w:p>
        </w:tc>
        <w:tc>
          <w:tcPr>
            <w:tcW w:w="9174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hint="eastAsia" w:ascii="Times New Roman" w:hAnsi="Times New Roman" w:cs="Times New Roman"/>
                <w:sz w:val="20"/>
                <w:szCs w:val="18"/>
              </w:rPr>
              <w:t>(((Phosphate[MeSH Terms]) OR (Hyperphosphatemia[MeSH Terms])) OR (Hypophosphatemia[MeSH Terms])) OR ((((Phosphate*) OR (Orthophosphate*)) OR (Hyperphosphatemia*)) OR (Hypophosphatemia*))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hint="eastAsia" w:ascii="Times New Roman" w:hAnsi="Times New Roman" w:cs="Times New Roman"/>
                <w:sz w:val="20"/>
                <w:szCs w:val="18"/>
              </w:rPr>
              <w:t>12</w:t>
            </w:r>
          </w:p>
        </w:tc>
        <w:tc>
          <w:tcPr>
            <w:tcW w:w="9174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hint="eastAsia" w:ascii="Times New Roman" w:hAnsi="Times New Roman" w:cs="Times New Roman"/>
                <w:sz w:val="20"/>
                <w:szCs w:val="18"/>
              </w:rPr>
              <w:t>(((((Phosphate[MeSH Terms]) OR (Hyperphosphatemia[MeSH Terms])) OR (Hypophosphatemia[MeSH Terms])) OR ((((Phosphate*) OR (Orthophosphate*)) OR (Hyperphosphatemia*)) OR (Hypophosphatemia*))) AND (((Mortality[MeSH Terms]) OR (Death[MeSH Terms])) OR (((Mortalit*) OR (Fatalit*)) OR (Death*)))) AND (((((((((Sepsis) OR (septic)) OR (Pyemia*)) OR (Pyohemia*)) OR (Pyaemia*)) OR (Septicemia*)) OR (Septic shock)) OR (Septic)) OR (("Shock, Septic"[Mesh]) OR ("Sepsis"[Mesh])))</w:t>
            </w:r>
          </w:p>
        </w:tc>
      </w:tr>
    </w:tbl>
    <w:p>
      <w:pPr>
        <w:rPr>
          <w:rFonts w:ascii="Times New Roman" w:hAnsi="Times New Roman" w:cs="Times New Roman"/>
          <w:sz w:val="18"/>
          <w:szCs w:val="18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Cochrane Library</w:t>
      </w:r>
    </w:p>
    <w:tbl>
      <w:tblPr>
        <w:tblStyle w:val="5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45"/>
        <w:gridCol w:w="65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5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#1</w:t>
            </w:r>
          </w:p>
        </w:tc>
        <w:tc>
          <w:tcPr>
            <w:tcW w:w="6531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MeSH descriptor: [Sepsis] explode all trees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5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#2</w:t>
            </w:r>
          </w:p>
        </w:tc>
        <w:tc>
          <w:tcPr>
            <w:tcW w:w="6531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MeSH descriptor: [] explode all trees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5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#3</w:t>
            </w:r>
          </w:p>
        </w:tc>
        <w:tc>
          <w:tcPr>
            <w:tcW w:w="6531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(Sepsis or Pyemia* or Pyohemia* or Pyaemia* or Septicemia* or 'Septic shock' or Septic)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5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#4</w:t>
            </w:r>
          </w:p>
        </w:tc>
        <w:tc>
          <w:tcPr>
            <w:tcW w:w="6531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MeSH descriptor: [Mortality] explode all trees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5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#5</w:t>
            </w:r>
          </w:p>
        </w:tc>
        <w:tc>
          <w:tcPr>
            <w:tcW w:w="6531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MeSH descriptor: [Death] explode all trees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5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#6</w:t>
            </w:r>
          </w:p>
        </w:tc>
        <w:tc>
          <w:tcPr>
            <w:tcW w:w="6531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(Mortalit* or Fatalit* or Death*)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5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#7</w:t>
            </w:r>
          </w:p>
        </w:tc>
        <w:tc>
          <w:tcPr>
            <w:tcW w:w="6531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MeSH descriptor: [Phosphates] explode all trees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5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#8</w:t>
            </w:r>
          </w:p>
        </w:tc>
        <w:tc>
          <w:tcPr>
            <w:tcW w:w="6531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MeSH descriptor: [Hyperphosphatemia] explode all trees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5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#9</w:t>
            </w:r>
          </w:p>
        </w:tc>
        <w:tc>
          <w:tcPr>
            <w:tcW w:w="6531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MeSH descriptor: [Hypophosphatemia] explode all trees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5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#10</w:t>
            </w:r>
          </w:p>
        </w:tc>
        <w:tc>
          <w:tcPr>
            <w:tcW w:w="6531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(Phosphate* or Orthophosphate* or Hyperphosphatemia* or Hypophosphatemia*)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5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#11</w:t>
            </w:r>
          </w:p>
        </w:tc>
        <w:tc>
          <w:tcPr>
            <w:tcW w:w="6531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#1 or #2 or #3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5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#12</w:t>
            </w:r>
          </w:p>
        </w:tc>
        <w:tc>
          <w:tcPr>
            <w:tcW w:w="6531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#4 or #5 or #6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5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#13</w:t>
            </w:r>
          </w:p>
        </w:tc>
        <w:tc>
          <w:tcPr>
            <w:tcW w:w="6531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#7 or #8 or #9 or #10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45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#14</w:t>
            </w:r>
          </w:p>
        </w:tc>
        <w:tc>
          <w:tcPr>
            <w:tcW w:w="6531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18"/>
              </w:rPr>
              <w:t>#11 and #12 and #13</w:t>
            </w:r>
          </w:p>
        </w:tc>
      </w:tr>
    </w:tbl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Web of Science</w:t>
      </w:r>
    </w:p>
    <w:p>
      <w:pPr>
        <w:rPr>
          <w:rFonts w:ascii="Times New Roman" w:hAnsi="Times New Roman" w:cs="Times New Roman"/>
          <w:sz w:val="20"/>
          <w:szCs w:val="18"/>
        </w:rPr>
      </w:pPr>
      <w:r>
        <w:rPr>
          <w:rFonts w:hint="eastAsia" w:ascii="Times New Roman" w:hAnsi="Times New Roman" w:cs="Times New Roman"/>
          <w:sz w:val="20"/>
          <w:szCs w:val="18"/>
        </w:rPr>
        <w:t>'Mortalit*' or 'Fatalit*' or 'Death*' </w:t>
      </w:r>
      <w:r>
        <w:rPr>
          <w:rFonts w:ascii="Times New Roman" w:hAnsi="Times New Roman" w:cs="Times New Roman"/>
          <w:sz w:val="20"/>
          <w:szCs w:val="18"/>
        </w:rPr>
        <w:t xml:space="preserve"> (Topic) </w:t>
      </w:r>
      <w:r>
        <w:rPr>
          <w:rFonts w:hint="eastAsia" w:ascii="Times New Roman" w:hAnsi="Times New Roman" w:cs="Times New Roman"/>
          <w:sz w:val="20"/>
          <w:szCs w:val="18"/>
        </w:rPr>
        <w:t> and Sepsis or Pyemia* or Pyohemia* or Pyaemia* or Septicemia* or 'Septic shock' or Septic</w:t>
      </w:r>
      <w:r>
        <w:rPr>
          <w:rFonts w:ascii="Times New Roman" w:hAnsi="Times New Roman" w:cs="Times New Roman"/>
          <w:sz w:val="20"/>
          <w:szCs w:val="18"/>
        </w:rPr>
        <w:t xml:space="preserve"> (Topic) </w:t>
      </w:r>
      <w:r>
        <w:rPr>
          <w:rFonts w:hint="eastAsia" w:ascii="Times New Roman" w:hAnsi="Times New Roman" w:cs="Times New Roman"/>
          <w:sz w:val="20"/>
          <w:szCs w:val="18"/>
        </w:rPr>
        <w:t> and Phosphate* or Orthophosphate* or Hyperphosphatemia* or Hypophosphatemia* </w:t>
      </w:r>
      <w:r>
        <w:rPr>
          <w:rFonts w:ascii="Times New Roman" w:hAnsi="Times New Roman" w:cs="Times New Roman"/>
          <w:sz w:val="20"/>
          <w:szCs w:val="18"/>
        </w:rPr>
        <w:t xml:space="preserve"> (Topic) </w:t>
      </w:r>
      <w:r>
        <w:rPr>
          <w:rFonts w:hint="eastAsia" w:ascii="Times New Roman" w:hAnsi="Times New Roman" w:cs="Times New Roman"/>
          <w:sz w:val="20"/>
          <w:szCs w:val="18"/>
        </w:rPr>
        <w:t>377</w:t>
      </w: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</w:p>
    <w:p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Embase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90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hint="eastAsia" w:ascii="Times New Roman" w:hAnsi="Times New Roman" w:cs="Times New Roman"/>
                <w:sz w:val="20"/>
                <w:szCs w:val="18"/>
              </w:rPr>
              <w:t>#1</w:t>
            </w:r>
          </w:p>
        </w:tc>
        <w:tc>
          <w:tcPr>
            <w:tcW w:w="9032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hint="eastAsia" w:ascii="Times New Roman" w:hAnsi="Times New Roman" w:cs="Times New Roman"/>
                <w:sz w:val="20"/>
                <w:szCs w:val="18"/>
              </w:rPr>
              <w:t>'sepsis'/exp OR sepsis OR pyemia* OR pyohemia* OR pyaemia* OR septicemia* OR 'septic shock' OR septic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hint="eastAsia" w:ascii="Times New Roman" w:hAnsi="Times New Roman" w:cs="Times New Roman"/>
                <w:sz w:val="20"/>
                <w:szCs w:val="18"/>
              </w:rPr>
              <w:t>#2</w:t>
            </w:r>
          </w:p>
        </w:tc>
        <w:tc>
          <w:tcPr>
            <w:tcW w:w="9032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hint="eastAsia" w:ascii="Times New Roman" w:hAnsi="Times New Roman" w:cs="Times New Roman"/>
                <w:sz w:val="20"/>
                <w:szCs w:val="18"/>
              </w:rPr>
              <w:t>'mortality'/exp OR 'death'/exp OR mortalit* OR fatalit* OR death*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hint="eastAsia" w:ascii="Times New Roman" w:hAnsi="Times New Roman" w:cs="Times New Roman"/>
                <w:sz w:val="20"/>
                <w:szCs w:val="18"/>
              </w:rPr>
              <w:t>#3</w:t>
            </w:r>
          </w:p>
        </w:tc>
        <w:tc>
          <w:tcPr>
            <w:tcW w:w="9032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hint="eastAsia" w:ascii="Times New Roman" w:hAnsi="Times New Roman" w:cs="Times New Roman"/>
                <w:sz w:val="20"/>
                <w:szCs w:val="18"/>
              </w:rPr>
              <w:t>'phosphate'/exp OR 'hyperphosphatemia'/exp OR 'hypophosphatemia'/exp OR phosphate* OR orthophosphate* OR hyperphosphatemia* OR hypophosphatemia*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4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hint="eastAsia" w:ascii="Times New Roman" w:hAnsi="Times New Roman" w:cs="Times New Roman"/>
                <w:sz w:val="20"/>
                <w:szCs w:val="18"/>
              </w:rPr>
              <w:t>#4</w:t>
            </w:r>
          </w:p>
        </w:tc>
        <w:tc>
          <w:tcPr>
            <w:tcW w:w="9032" w:type="dxa"/>
          </w:tcPr>
          <w:p>
            <w:pPr>
              <w:rPr>
                <w:rFonts w:ascii="Times New Roman" w:hAnsi="Times New Roman" w:cs="Times New Roman"/>
                <w:sz w:val="20"/>
                <w:szCs w:val="18"/>
              </w:rPr>
            </w:pPr>
            <w:r>
              <w:rPr>
                <w:rFonts w:hint="eastAsia" w:ascii="Times New Roman" w:hAnsi="Times New Roman" w:cs="Times New Roman"/>
                <w:sz w:val="20"/>
                <w:szCs w:val="18"/>
              </w:rPr>
              <w:t>#1 AND #2 AND #3</w:t>
            </w:r>
          </w:p>
        </w:tc>
      </w:tr>
    </w:tbl>
    <w:p>
      <w:pPr>
        <w:pStyle w:val="8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rPr>
          <w:rFonts w:ascii="Times New Roman" w:hAnsi="Times New Roman" w:cs="Times New Roman"/>
          <w:b/>
          <w:bCs/>
          <w:sz w:val="24"/>
          <w:szCs w:val="24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pStyle w:val="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</w:rPr>
        <w:t>2.Quality assessment</w:t>
      </w:r>
    </w:p>
    <w:tbl>
      <w:tblPr>
        <w:tblStyle w:val="5"/>
        <w:tblW w:w="11765" w:type="dxa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8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1"/>
        <w:gridCol w:w="1134"/>
        <w:gridCol w:w="869"/>
        <w:gridCol w:w="999"/>
        <w:gridCol w:w="1561"/>
        <w:gridCol w:w="1444"/>
        <w:gridCol w:w="999"/>
        <w:gridCol w:w="1112"/>
        <w:gridCol w:w="954"/>
        <w:gridCol w:w="992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" w:hRule="atLeast"/>
          <w:jc w:val="center"/>
        </w:trPr>
        <w:tc>
          <w:tcPr>
            <w:tcW w:w="1701" w:type="dxa"/>
            <w:vMerge w:val="restart"/>
            <w:vAlign w:val="center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Study</w:t>
            </w:r>
          </w:p>
        </w:tc>
        <w:tc>
          <w:tcPr>
            <w:tcW w:w="4563" w:type="dxa"/>
            <w:gridSpan w:val="4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Selection</w:t>
            </w:r>
          </w:p>
        </w:tc>
        <w:tc>
          <w:tcPr>
            <w:tcW w:w="14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Comparability</w:t>
            </w:r>
          </w:p>
        </w:tc>
        <w:tc>
          <w:tcPr>
            <w:tcW w:w="3065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Outcome</w:t>
            </w:r>
          </w:p>
        </w:tc>
        <w:tc>
          <w:tcPr>
            <w:tcW w:w="992" w:type="dxa"/>
            <w:vMerge w:val="restart"/>
            <w:vAlign w:val="center"/>
          </w:tcPr>
          <w:p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Quality scores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  <w:jc w:val="center"/>
        </w:trPr>
        <w:tc>
          <w:tcPr>
            <w:tcW w:w="1701" w:type="dxa"/>
            <w:vMerge w:val="continue"/>
          </w:tcPr>
          <w:p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</w:tcPr>
          <w:p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Representativeness of the exposed cohort</w:t>
            </w:r>
          </w:p>
        </w:tc>
        <w:tc>
          <w:tcPr>
            <w:tcW w:w="869" w:type="dxa"/>
          </w:tcPr>
          <w:p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Selection of the nonexposed cohort</w:t>
            </w:r>
          </w:p>
        </w:tc>
        <w:tc>
          <w:tcPr>
            <w:tcW w:w="999" w:type="dxa"/>
          </w:tcPr>
          <w:p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Ascertainment of exposure</w:t>
            </w:r>
          </w:p>
        </w:tc>
        <w:tc>
          <w:tcPr>
            <w:tcW w:w="1561" w:type="dxa"/>
          </w:tcPr>
          <w:p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Demonstration that outcome of interest was not present at start of study</w:t>
            </w:r>
          </w:p>
        </w:tc>
        <w:tc>
          <w:tcPr>
            <w:tcW w:w="1444" w:type="dxa"/>
          </w:tcPr>
          <w:p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Comparability of cohorts on the basis of the design or analysis</w:t>
            </w:r>
          </w:p>
        </w:tc>
        <w:tc>
          <w:tcPr>
            <w:tcW w:w="999" w:type="dxa"/>
          </w:tcPr>
          <w:p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Assessment of outcome</w:t>
            </w:r>
          </w:p>
        </w:tc>
        <w:tc>
          <w:tcPr>
            <w:tcW w:w="1112" w:type="dxa"/>
          </w:tcPr>
          <w:p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Was follow-up long enough for outcomes to occur</w:t>
            </w:r>
          </w:p>
        </w:tc>
        <w:tc>
          <w:tcPr>
            <w:tcW w:w="954" w:type="dxa"/>
          </w:tcPr>
          <w:p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Adequacy of follow up of cohorts</w:t>
            </w:r>
          </w:p>
        </w:tc>
        <w:tc>
          <w:tcPr>
            <w:tcW w:w="992" w:type="dxa"/>
            <w:vMerge w:val="continue"/>
          </w:tcPr>
          <w:p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1701" w:type="dxa"/>
          </w:tcPr>
          <w:p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Jung, S et al. 2016</w:t>
            </w:r>
          </w:p>
        </w:tc>
        <w:tc>
          <w:tcPr>
            <w:tcW w:w="1134" w:type="dxa"/>
          </w:tcPr>
          <w:p>
            <w:pPr>
              <w:jc w:val="left"/>
              <w:rPr>
                <w:rFonts w:ascii="Times New Roman" w:hAnsi="Times New Roman" w:eastAsia="宋体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869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99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1561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1444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99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1112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54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92" w:type="dxa"/>
          </w:tcPr>
          <w:p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" w:hRule="atLeast"/>
          <w:jc w:val="center"/>
        </w:trPr>
        <w:tc>
          <w:tcPr>
            <w:tcW w:w="1701" w:type="dxa"/>
          </w:tcPr>
          <w:p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 Meshari, A et al. 2019</w:t>
            </w:r>
          </w:p>
        </w:tc>
        <w:tc>
          <w:tcPr>
            <w:tcW w:w="1134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869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99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1561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1444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⭐⭐</w:t>
            </w:r>
          </w:p>
        </w:tc>
        <w:tc>
          <w:tcPr>
            <w:tcW w:w="999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1112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54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92" w:type="dxa"/>
          </w:tcPr>
          <w:p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1701" w:type="dxa"/>
          </w:tcPr>
          <w:p>
            <w:pPr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Jang, D. H et al. 2020</w:t>
            </w:r>
          </w:p>
        </w:tc>
        <w:tc>
          <w:tcPr>
            <w:tcW w:w="1134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869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99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1561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1444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⭐⭐</w:t>
            </w:r>
          </w:p>
        </w:tc>
        <w:tc>
          <w:tcPr>
            <w:tcW w:w="999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1112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54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92" w:type="dxa"/>
          </w:tcPr>
          <w:p>
            <w:pPr>
              <w:jc w:val="left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1701" w:type="dxa"/>
          </w:tcPr>
          <w:p>
            <w:pPr>
              <w:jc w:val="left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Miller, C. J et al. 2020</w:t>
            </w:r>
          </w:p>
        </w:tc>
        <w:tc>
          <w:tcPr>
            <w:tcW w:w="1134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869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99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1561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1444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99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1112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54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92" w:type="dxa"/>
          </w:tcPr>
          <w:p>
            <w:pPr>
              <w:jc w:val="left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1701" w:type="dxa"/>
          </w:tcPr>
          <w:p>
            <w:pPr>
              <w:jc w:val="left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Wang, H et al. 2020 </w:t>
            </w:r>
          </w:p>
        </w:tc>
        <w:tc>
          <w:tcPr>
            <w:tcW w:w="1134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869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99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1561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1444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⭐⭐</w:t>
            </w:r>
          </w:p>
        </w:tc>
        <w:tc>
          <w:tcPr>
            <w:tcW w:w="999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1112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54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92" w:type="dxa"/>
          </w:tcPr>
          <w:p>
            <w:pPr>
              <w:jc w:val="left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1701" w:type="dxa"/>
          </w:tcPr>
          <w:p>
            <w:pPr>
              <w:jc w:val="left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Cao, L et al. 2021</w:t>
            </w:r>
          </w:p>
        </w:tc>
        <w:tc>
          <w:tcPr>
            <w:tcW w:w="1134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869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99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1561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1444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⭐⭐</w:t>
            </w:r>
          </w:p>
        </w:tc>
        <w:tc>
          <w:tcPr>
            <w:tcW w:w="999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1112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54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92" w:type="dxa"/>
          </w:tcPr>
          <w:p>
            <w:pPr>
              <w:jc w:val="left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1701" w:type="dxa"/>
          </w:tcPr>
          <w:p>
            <w:pPr>
              <w:jc w:val="left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Wang, H et al. 2021</w:t>
            </w:r>
          </w:p>
        </w:tc>
        <w:tc>
          <w:tcPr>
            <w:tcW w:w="1134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869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99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1561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1444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⭐⭐</w:t>
            </w:r>
          </w:p>
        </w:tc>
        <w:tc>
          <w:tcPr>
            <w:tcW w:w="999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1112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54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92" w:type="dxa"/>
          </w:tcPr>
          <w:p>
            <w:pPr>
              <w:jc w:val="left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1701" w:type="dxa"/>
          </w:tcPr>
          <w:p>
            <w:pPr>
              <w:jc w:val="left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Guo, C et al. 2022</w:t>
            </w:r>
          </w:p>
        </w:tc>
        <w:tc>
          <w:tcPr>
            <w:tcW w:w="1134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869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99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1561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1444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⭐⭐</w:t>
            </w:r>
          </w:p>
        </w:tc>
        <w:tc>
          <w:tcPr>
            <w:tcW w:w="999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1112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54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92" w:type="dxa"/>
          </w:tcPr>
          <w:p>
            <w:pPr>
              <w:jc w:val="left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1701" w:type="dxa"/>
          </w:tcPr>
          <w:p>
            <w:pPr>
              <w:jc w:val="left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Li, Z et al. 2022</w:t>
            </w:r>
          </w:p>
        </w:tc>
        <w:tc>
          <w:tcPr>
            <w:tcW w:w="1134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869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99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1561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1444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99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1112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54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92" w:type="dxa"/>
          </w:tcPr>
          <w:p>
            <w:pPr>
              <w:jc w:val="left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8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  <w:jc w:val="center"/>
        </w:trPr>
        <w:tc>
          <w:tcPr>
            <w:tcW w:w="1701" w:type="dxa"/>
          </w:tcPr>
          <w:p>
            <w:pPr>
              <w:jc w:val="left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Xu, X et al. 2023</w:t>
            </w:r>
          </w:p>
        </w:tc>
        <w:tc>
          <w:tcPr>
            <w:tcW w:w="1134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869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99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1561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1444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⭐⭐</w:t>
            </w:r>
          </w:p>
        </w:tc>
        <w:tc>
          <w:tcPr>
            <w:tcW w:w="999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1112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54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Segoe UI Symbol" w:hAnsi="Segoe UI Symbol" w:cs="Segoe UI Symbol"/>
                <w:b/>
                <w:bCs/>
                <w:sz w:val="20"/>
                <w:szCs w:val="20"/>
              </w:rPr>
              <w:t>⭐</w:t>
            </w:r>
          </w:p>
        </w:tc>
        <w:tc>
          <w:tcPr>
            <w:tcW w:w="992" w:type="dxa"/>
          </w:tcPr>
          <w:p>
            <w:pPr>
              <w:jc w:val="left"/>
              <w:rPr>
                <w:rFonts w:ascii="Times New Roman" w:hAnsi="Times New Roman" w:eastAsia="宋体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</w:tbl>
    <w:p>
      <w:pPr>
        <w:autoSpaceDE w:val="0"/>
        <w:autoSpaceDN w:val="0"/>
        <w:snapToGrid w:val="0"/>
        <w:contextualSpacing/>
        <w:rPr>
          <w:rFonts w:ascii="Times New Roman" w:hAnsi="Times New Roman" w:eastAsia="微软雅黑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Abbreviations: </w:t>
      </w:r>
      <w:r>
        <w:rPr>
          <w:rFonts w:ascii="Times New Roman" w:hAnsi="Times New Roman" w:eastAsia="微软雅黑" w:cs="Times New Roman"/>
          <w:color w:val="000000"/>
          <w:sz w:val="20"/>
          <w:szCs w:val="20"/>
        </w:rPr>
        <w:t>H=high quality; M=moderate quality; L= low quality.</w:t>
      </w:r>
    </w:p>
    <w:p>
      <w:pPr>
        <w:autoSpaceDE w:val="0"/>
        <w:autoSpaceDN w:val="0"/>
        <w:snapToGrid w:val="0"/>
        <w:ind w:left="600" w:hanging="600" w:hangingChars="300"/>
        <w:contextualSpacing/>
        <w:rPr>
          <w:rFonts w:ascii="Times New Roman" w:hAnsi="Times New Roman" w:eastAsia="微软雅黑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eastAsia="微软雅黑" w:cs="Times New Roman"/>
          <w:b/>
          <w:bCs/>
          <w:color w:val="000000"/>
          <w:sz w:val="20"/>
          <w:szCs w:val="20"/>
        </w:rPr>
        <w:t xml:space="preserve">Note: </w:t>
      </w:r>
      <w:r>
        <w:rPr>
          <w:rFonts w:ascii="Times New Roman" w:hAnsi="Times New Roman" w:eastAsia="微软雅黑" w:cs="Times New Roman"/>
          <w:color w:val="000000"/>
          <w:sz w:val="20"/>
          <w:szCs w:val="20"/>
        </w:rPr>
        <w:t xml:space="preserve">A study was given a maximum of one point in each item within the patient selection and outcome domains and given a maximum of two points for the Comparability domain with the following criteria: </w:t>
      </w:r>
    </w:p>
    <w:p>
      <w:pPr>
        <w:autoSpaceDE w:val="0"/>
        <w:autoSpaceDN w:val="0"/>
        <w:snapToGrid w:val="0"/>
        <w:ind w:left="200" w:hanging="200" w:hangingChars="100"/>
        <w:contextualSpacing/>
        <w:rPr>
          <w:rFonts w:ascii="Times New Roman" w:hAnsi="Times New Roman" w:eastAsia="微软雅黑" w:cs="Times New Roman"/>
          <w:color w:val="000000"/>
          <w:sz w:val="20"/>
          <w:szCs w:val="20"/>
        </w:rPr>
      </w:pPr>
      <w:r>
        <w:rPr>
          <w:rFonts w:ascii="Times New Roman" w:hAnsi="Times New Roman" w:eastAsia="微软雅黑" w:cs="Times New Roman"/>
          <w:color w:val="000000"/>
          <w:sz w:val="20"/>
          <w:szCs w:val="20"/>
        </w:rPr>
        <w:t xml:space="preserve">1. </w:t>
      </w:r>
      <w:r>
        <w:rPr>
          <w:rFonts w:ascii="Times New Roman" w:hAnsi="Times New Roman" w:eastAsia="微软雅黑" w:cs="Times New Roman"/>
          <w:b/>
          <w:bCs/>
          <w:color w:val="000000"/>
          <w:sz w:val="20"/>
          <w:szCs w:val="20"/>
        </w:rPr>
        <w:t>Representation of the exposed cohort</w:t>
      </w:r>
      <w:r>
        <w:rPr>
          <w:rFonts w:ascii="Times New Roman" w:hAnsi="Times New Roman" w:eastAsia="微软雅黑" w:cs="Times New Roman"/>
          <w:color w:val="000000"/>
          <w:sz w:val="20"/>
          <w:szCs w:val="20"/>
        </w:rPr>
        <w:t>：Studies received 1 point if they recruited consecutive series of adult patients with blood phosphate concentration tested, or all included patients or did not miss a large number of patients.</w:t>
      </w:r>
    </w:p>
    <w:p>
      <w:pPr>
        <w:autoSpaceDE w:val="0"/>
        <w:autoSpaceDN w:val="0"/>
        <w:snapToGrid w:val="0"/>
        <w:ind w:left="200" w:hanging="200" w:hangingChars="100"/>
        <w:contextualSpacing/>
        <w:rPr>
          <w:rFonts w:ascii="Times New Roman" w:hAnsi="Times New Roman" w:eastAsia="微软雅黑" w:cs="Times New Roman"/>
          <w:color w:val="000000"/>
          <w:sz w:val="20"/>
          <w:szCs w:val="20"/>
        </w:rPr>
      </w:pPr>
      <w:r>
        <w:rPr>
          <w:rFonts w:ascii="Times New Roman" w:hAnsi="Times New Roman" w:eastAsia="微软雅黑" w:cs="Times New Roman"/>
          <w:color w:val="000000"/>
          <w:sz w:val="20"/>
          <w:szCs w:val="20"/>
        </w:rPr>
        <w:t xml:space="preserve">2. </w:t>
      </w:r>
      <w:r>
        <w:rPr>
          <w:rFonts w:ascii="Times New Roman" w:hAnsi="Times New Roman" w:eastAsia="微软雅黑" w:cs="Times New Roman"/>
          <w:b/>
          <w:bCs/>
          <w:color w:val="000000"/>
          <w:sz w:val="20"/>
          <w:szCs w:val="20"/>
        </w:rPr>
        <w:t>Selection of the non-exposed cohort</w:t>
      </w:r>
      <w:r>
        <w:rPr>
          <w:rFonts w:ascii="Times New Roman" w:hAnsi="Times New Roman" w:eastAsia="微软雅黑" w:cs="Times New Roman"/>
          <w:color w:val="000000"/>
          <w:sz w:val="20"/>
          <w:szCs w:val="20"/>
        </w:rPr>
        <w:t>：Studies received 1 point if both groups of patients （exposed and non-exposed）were recruited from the same cohort.</w:t>
      </w:r>
    </w:p>
    <w:p>
      <w:pPr>
        <w:autoSpaceDE w:val="0"/>
        <w:autoSpaceDN w:val="0"/>
        <w:snapToGrid w:val="0"/>
        <w:contextualSpacing/>
        <w:rPr>
          <w:rFonts w:ascii="Times New Roman" w:hAnsi="Times New Roman" w:eastAsia="微软雅黑" w:cs="Times New Roman"/>
          <w:color w:val="000000"/>
          <w:sz w:val="20"/>
          <w:szCs w:val="20"/>
        </w:rPr>
      </w:pPr>
      <w:r>
        <w:rPr>
          <w:rFonts w:ascii="Times New Roman" w:hAnsi="Times New Roman" w:eastAsia="微软雅黑" w:cs="Times New Roman"/>
          <w:color w:val="000000"/>
          <w:sz w:val="20"/>
          <w:szCs w:val="20"/>
        </w:rPr>
        <w:t xml:space="preserve">3. </w:t>
      </w:r>
      <w:r>
        <w:rPr>
          <w:rFonts w:ascii="Times New Roman" w:hAnsi="Times New Roman" w:eastAsia="微软雅黑" w:cs="Times New Roman"/>
          <w:b/>
          <w:bCs/>
          <w:color w:val="000000"/>
          <w:sz w:val="20"/>
          <w:szCs w:val="20"/>
        </w:rPr>
        <w:t>Ascertainment of exposure</w:t>
      </w:r>
      <w:r>
        <w:rPr>
          <w:rFonts w:ascii="Times New Roman" w:hAnsi="Times New Roman" w:eastAsia="微软雅黑" w:cs="Times New Roman"/>
          <w:color w:val="000000"/>
          <w:sz w:val="20"/>
          <w:szCs w:val="20"/>
        </w:rPr>
        <w:t>: Studies received 1 point if they had been demonstrated to have abnormal blood phosphate concentration.</w:t>
      </w:r>
    </w:p>
    <w:p>
      <w:pPr>
        <w:autoSpaceDE w:val="0"/>
        <w:autoSpaceDN w:val="0"/>
        <w:snapToGrid w:val="0"/>
        <w:contextualSpacing/>
        <w:rPr>
          <w:rFonts w:ascii="Times New Roman" w:hAnsi="Times New Roman" w:eastAsia="微软雅黑" w:cs="Times New Roman"/>
          <w:color w:val="000000"/>
          <w:sz w:val="20"/>
          <w:szCs w:val="20"/>
        </w:rPr>
      </w:pPr>
      <w:r>
        <w:rPr>
          <w:rFonts w:ascii="Times New Roman" w:hAnsi="Times New Roman" w:eastAsia="微软雅黑" w:cs="Times New Roman"/>
          <w:color w:val="000000"/>
          <w:sz w:val="20"/>
          <w:szCs w:val="20"/>
        </w:rPr>
        <w:t xml:space="preserve">4. </w:t>
      </w:r>
      <w:r>
        <w:rPr>
          <w:rFonts w:ascii="Times New Roman" w:hAnsi="Times New Roman" w:eastAsia="微软雅黑" w:cs="Times New Roman"/>
          <w:b/>
          <w:bCs/>
          <w:color w:val="000000"/>
          <w:sz w:val="20"/>
          <w:szCs w:val="20"/>
        </w:rPr>
        <w:t>Outcome of interest was not present at start of study</w:t>
      </w:r>
      <w:r>
        <w:rPr>
          <w:rFonts w:ascii="Times New Roman" w:hAnsi="Times New Roman" w:eastAsia="微软雅黑" w:cs="Times New Roman"/>
          <w:color w:val="000000"/>
          <w:sz w:val="20"/>
          <w:szCs w:val="20"/>
        </w:rPr>
        <w:t>: Studies received points if they demonstrated the outcome of interest was not present at the start of the study.</w:t>
      </w:r>
    </w:p>
    <w:p>
      <w:pPr>
        <w:autoSpaceDE w:val="0"/>
        <w:autoSpaceDN w:val="0"/>
        <w:snapToGrid w:val="0"/>
        <w:ind w:left="200" w:hanging="200" w:hangingChars="100"/>
        <w:contextualSpacing/>
        <w:rPr>
          <w:rFonts w:ascii="Times New Roman" w:hAnsi="Times New Roman" w:eastAsia="微软雅黑" w:cs="Times New Roman"/>
          <w:color w:val="000000"/>
          <w:sz w:val="20"/>
          <w:szCs w:val="20"/>
        </w:rPr>
      </w:pPr>
      <w:r>
        <w:rPr>
          <w:rFonts w:ascii="Times New Roman" w:hAnsi="Times New Roman" w:eastAsia="微软雅黑" w:cs="Times New Roman"/>
          <w:color w:val="000000"/>
          <w:sz w:val="20"/>
          <w:szCs w:val="20"/>
        </w:rPr>
        <w:t xml:space="preserve">5. </w:t>
      </w:r>
      <w:r>
        <w:rPr>
          <w:rFonts w:ascii="Times New Roman" w:hAnsi="Times New Roman" w:eastAsia="微软雅黑" w:cs="Times New Roman"/>
          <w:b/>
          <w:bCs/>
          <w:color w:val="000000"/>
          <w:sz w:val="20"/>
          <w:szCs w:val="20"/>
        </w:rPr>
        <w:t xml:space="preserve">Comparability: </w:t>
      </w:r>
      <w:r>
        <w:rPr>
          <w:rFonts w:ascii="Times New Roman" w:hAnsi="Times New Roman" w:eastAsia="微软雅黑" w:cs="Times New Roman"/>
          <w:color w:val="000000"/>
          <w:sz w:val="20"/>
          <w:szCs w:val="20"/>
        </w:rPr>
        <w:t>Studies received points if they controlled the disease severity (i.e., SOFA, SAPS3, ISS or APACHEII scores) (1 point); or any additional important factors such as age, gender or ethnicities, comorbidities, or there were no significant differences between hyperphosphatemia/hypophosphatemia and normal phosphate concentration (1 point).</w:t>
      </w:r>
    </w:p>
    <w:p>
      <w:pPr>
        <w:autoSpaceDE w:val="0"/>
        <w:autoSpaceDN w:val="0"/>
        <w:snapToGrid w:val="0"/>
        <w:contextualSpacing/>
        <w:rPr>
          <w:rFonts w:ascii="Times New Roman" w:hAnsi="Times New Roman" w:eastAsia="微软雅黑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微软雅黑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6. </w:t>
      </w:r>
      <w:r>
        <w:rPr>
          <w:rFonts w:ascii="Times New Roman" w:hAnsi="Times New Roman" w:eastAsia="微软雅黑" w:cs="Times New Roman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Assessment of outcome</w:t>
      </w:r>
      <w:r>
        <w:rPr>
          <w:rFonts w:ascii="Times New Roman" w:hAnsi="Times New Roman" w:eastAsia="微软雅黑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: Studies received 1 point if they had independent blind assessment or record linkage.</w:t>
      </w:r>
    </w:p>
    <w:p>
      <w:pPr>
        <w:autoSpaceDE w:val="0"/>
        <w:autoSpaceDN w:val="0"/>
        <w:snapToGrid w:val="0"/>
        <w:ind w:left="200" w:hanging="200" w:hangingChars="100"/>
        <w:contextualSpacing/>
        <w:rPr>
          <w:rFonts w:ascii="Times New Roman" w:hAnsi="Times New Roman" w:eastAsia="微软雅黑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微软雅黑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7. </w:t>
      </w:r>
      <w:r>
        <w:rPr>
          <w:rFonts w:ascii="Times New Roman" w:hAnsi="Times New Roman" w:eastAsia="微软雅黑" w:cs="Times New Roman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Was follow-up long enough for outcomes to occur</w:t>
      </w:r>
      <w:r>
        <w:rPr>
          <w:rFonts w:ascii="Times New Roman" w:hAnsi="Times New Roman" w:eastAsia="微软雅黑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: Studies received 1 point if they follow up until at least either inpatient mortality or for 30 days or had adequate record linkage.</w:t>
      </w:r>
    </w:p>
    <w:p>
      <w:pPr>
        <w:autoSpaceDE w:val="0"/>
        <w:autoSpaceDN w:val="0"/>
        <w:snapToGrid w:val="0"/>
        <w:ind w:left="200" w:hanging="200" w:hangingChars="100"/>
        <w:contextualSpacing/>
        <w:rPr>
          <w:rFonts w:ascii="Times New Roman" w:hAnsi="Times New Roman" w:eastAsia="微软雅黑" w:cs="Times New Roman"/>
          <w:color w:val="000000"/>
          <w:sz w:val="20"/>
          <w:szCs w:val="20"/>
        </w:rPr>
      </w:pPr>
      <w:r>
        <w:rPr>
          <w:rFonts w:ascii="Times New Roman" w:hAnsi="Times New Roman" w:eastAsia="微软雅黑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8. </w:t>
      </w:r>
      <w:r>
        <w:rPr>
          <w:rFonts w:ascii="Times New Roman" w:hAnsi="Times New Roman" w:eastAsia="微软雅黑" w:cs="Times New Roman"/>
          <w:b/>
          <w:bCs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Adequacy of follow up for cohorts</w:t>
      </w:r>
      <w:r>
        <w:rPr>
          <w:rFonts w:ascii="Times New Roman" w:hAnsi="Times New Roman" w:eastAsia="微软雅黑" w:cs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: Studies received 1 point if all recruited subjects were all followed up, or the number lost to follow-up was unlikely to introduce bias (≤10%).</w:t>
      </w:r>
    </w:p>
    <w:p>
      <w:pPr>
        <w:pStyle w:val="8"/>
        <w:rPr>
          <w:rFonts w:ascii="Times New Roman" w:hAnsi="Times New Roman" w:cs="Times New Roman"/>
          <w:sz w:val="24"/>
          <w:szCs w:val="24"/>
        </w:rPr>
      </w:pPr>
    </w:p>
    <w:p>
      <w:pPr>
        <w:pStyle w:val="8"/>
        <w:rPr>
          <w:rFonts w:ascii="Times New Roman" w:hAnsi="Times New Roman" w:cs="Times New Roman"/>
          <w:sz w:val="24"/>
          <w:szCs w:val="24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Times New Roman" w:hAnsi="Times New Roman" w:eastAsia="宋体" w:cs="Times New Roman"/>
          <w:b/>
          <w:bCs/>
          <w:iCs/>
          <w:color w:val="00000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iCs/>
          <w:color w:val="000000"/>
          <w:kern w:val="0"/>
          <w:sz w:val="24"/>
          <w:szCs w:val="24"/>
        </w:rPr>
        <w:t>3. Sensitivity analysis of Primary outcome.</w:t>
      </w:r>
    </w:p>
    <w:p>
      <w:pPr>
        <w:jc w:val="left"/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3.1 </w:t>
      </w: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 w:val="24"/>
          <w:szCs w:val="24"/>
        </w:rPr>
        <w:t>Hyperphosphatemia vs Normophosphatemia</w:t>
      </w:r>
      <w:r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, all-cause mortality.</w:t>
      </w:r>
    </w:p>
    <w:p>
      <w:pPr>
        <w:jc w:val="center"/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pict>
          <v:shape id="_x0000_i1025" o:spt="75" type="#_x0000_t75" style="height:308.25pt;width:420.75pt;" filled="f" o:preferrelative="t" stroked="f" coordsize="21600,21600">
            <v:path/>
            <v:fill on="f" focussize="0,0"/>
            <v:stroke on="f" joinstyle="miter"/>
            <v:imagedata r:id="rId4" o:title="3"/>
            <o:lock v:ext="edit" aspectratio="t"/>
            <w10:wrap type="none"/>
            <w10:anchorlock/>
          </v:shape>
        </w:pict>
      </w:r>
    </w:p>
    <w:p>
      <w:pPr>
        <w:jc w:val="left"/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 w:val="24"/>
          <w:szCs w:val="24"/>
        </w:rPr>
      </w:pPr>
      <w:r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3.2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  <w:t xml:space="preserve"> </w:t>
      </w: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 w:val="24"/>
          <w:szCs w:val="24"/>
        </w:rPr>
        <w:t>Hypophosphatemia vs Normophosphatemia, all-cause mortality.</w:t>
      </w:r>
    </w:p>
    <w:p>
      <w:pPr>
        <w:jc w:val="center"/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pict>
          <v:shape id="_x0000_i1026" o:spt="75" type="#_x0000_t75" style="height:278.25pt;width:378.75pt;" filled="f" o:preferrelative="t" stroked="f" coordsize="21600,21600">
            <v:path/>
            <v:fill on="f" focussize="0,0"/>
            <v:stroke on="f" joinstyle="miter"/>
            <v:imagedata r:id="rId5" o:title="3"/>
            <o:lock v:ext="edit" aspectratio="t"/>
            <w10:wrap type="none"/>
            <w10:anchorlock/>
          </v:shape>
        </w:pict>
      </w:r>
    </w:p>
    <w:p>
      <w:pPr>
        <w:jc w:val="left"/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Times New Roman" w:hAnsi="Times New Roman" w:eastAsia="微软雅黑" w:cs="Times New Roman"/>
          <w:b/>
          <w:bCs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3.3 </w:t>
      </w:r>
      <w:r>
        <w:rPr>
          <w:rFonts w:ascii="Times New Roman" w:hAnsi="Times New Roman" w:eastAsia="微软雅黑" w:cs="Times New Roman"/>
          <w:b/>
          <w:bCs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Per-increased</w:t>
      </w:r>
    </w:p>
    <w:p>
      <w:pPr>
        <w:jc w:val="left"/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6188710" cy="4398010"/>
            <wp:effectExtent l="0" t="0" r="2540" b="2540"/>
            <wp:docPr id="11984057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405737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9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 w:val="24"/>
          <w:szCs w:val="24"/>
        </w:rPr>
      </w:pPr>
      <w:r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4. </w:t>
      </w: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 w:val="24"/>
          <w:szCs w:val="24"/>
        </w:rPr>
        <w:t>Sensitivity analysis of Secondary outcome.</w:t>
      </w:r>
    </w:p>
    <w:p>
      <w:pPr>
        <w:jc w:val="left"/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4.1 </w:t>
      </w: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 w:val="24"/>
          <w:szCs w:val="24"/>
        </w:rPr>
        <w:t>Hyperphosphatemia vs Normophosphatemia</w:t>
      </w:r>
      <w:r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</w:p>
    <w:p>
      <w:pPr>
        <w:jc w:val="left"/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ICU LOS</w:t>
      </w:r>
    </w:p>
    <w:p>
      <w:pPr>
        <w:jc w:val="center"/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pict>
          <v:shape id="_x0000_i1027" o:spt="75" type="#_x0000_t75" style="height:288pt;width:405pt;" filled="f" o:preferrelative="t" stroked="f" coordsize="21600,21600">
            <v:path/>
            <v:fill on="f" focussize="0,0"/>
            <v:stroke on="f" joinstyle="miter"/>
            <v:imagedata r:id="rId7" o:title="4"/>
            <o:lock v:ext="edit" aspectratio="t"/>
            <w10:wrap type="none"/>
            <w10:anchorlock/>
          </v:shape>
        </w:pict>
      </w:r>
    </w:p>
    <w:p>
      <w:pPr>
        <w:jc w:val="left"/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In-hospital LOS</w:t>
      </w:r>
    </w:p>
    <w:p>
      <w:pPr>
        <w:jc w:val="center"/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pict>
          <v:shape id="_x0000_i1028" o:spt="75" type="#_x0000_t75" style="height:299.25pt;width:429pt;" filled="f" o:preferrelative="t" stroked="f" coordsize="21600,21600">
            <v:path/>
            <v:fill on="f" focussize="0,0"/>
            <v:stroke on="f" joinstyle="miter"/>
            <v:imagedata r:id="rId8" o:title="4"/>
            <o:lock v:ext="edit" aspectratio="t"/>
            <w10:wrap type="none"/>
            <w10:anchorlock/>
          </v:shape>
        </w:pict>
      </w:r>
    </w:p>
    <w:p>
      <w:pPr>
        <w:jc w:val="left"/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 w:val="24"/>
          <w:szCs w:val="24"/>
        </w:rPr>
      </w:pPr>
      <w:r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4.2 </w:t>
      </w: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 w:val="24"/>
          <w:szCs w:val="24"/>
        </w:rPr>
        <w:t>Hypophosphatemia vs Normophosphatemia.</w:t>
      </w:r>
    </w:p>
    <w:p>
      <w:pPr>
        <w:jc w:val="left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  <w:t>ICU LOS</w:t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  <w:pict>
          <v:shape id="_x0000_i1029" o:spt="75" type="#_x0000_t75" style="height:303pt;width:429.75pt;" filled="f" o:preferrelative="t" stroked="f" coordsize="21600,21600">
            <v:path/>
            <v:fill on="f" focussize="0,0"/>
            <v:stroke on="f" joinstyle="miter"/>
            <v:imagedata r:id="rId9" o:title="4"/>
            <o:lock v:ext="edit" aspectratio="t"/>
            <w10:wrap type="none"/>
            <w10:anchorlock/>
          </v:shape>
        </w:pict>
      </w:r>
    </w:p>
    <w:p>
      <w:pPr>
        <w:jc w:val="left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</w:pPr>
    </w:p>
    <w:p>
      <w:pPr>
        <w:jc w:val="left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  <w:t>In-hospital LOS</w:t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  <w:pict>
          <v:shape id="_x0000_i1030" o:spt="75" type="#_x0000_t75" style="height:318.75pt;width:450.75pt;" filled="f" o:preferrelative="t" stroked="f" coordsize="21600,21600">
            <v:path/>
            <v:fill on="f" focussize="0,0"/>
            <v:stroke on="f" joinstyle="miter"/>
            <v:imagedata r:id="rId10" o:title="4"/>
            <o:lock v:ext="edit" aspectratio="t"/>
            <w10:wrap type="none"/>
            <w10:anchorlock/>
          </v:shape>
        </w:pict>
      </w:r>
    </w:p>
    <w:p>
      <w:pPr>
        <w:jc w:val="center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</w:pPr>
    </w:p>
    <w:p>
      <w:pPr>
        <w:jc w:val="left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  <w:t>5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  <w:t xml:space="preserve">. Publication bias </w:t>
      </w:r>
      <w:r>
        <w:rPr>
          <w:rFonts w:ascii="Times New Roman" w:hAnsi="Times New Roman" w:eastAsia="宋体" w:cs="Times New Roman"/>
          <w:b/>
          <w:bCs/>
          <w:iCs/>
          <w:color w:val="000000"/>
          <w:kern w:val="0"/>
          <w:sz w:val="24"/>
          <w:szCs w:val="24"/>
        </w:rPr>
        <w:t>of Primary outcome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  <w:t>.</w:t>
      </w:r>
    </w:p>
    <w:p>
      <w:pPr>
        <w:ind w:firstLine="120" w:firstLineChars="50"/>
        <w:jc w:val="left"/>
        <w:rPr>
          <w:rFonts w:hint="eastAsia"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5.1 </w:t>
      </w: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 w:val="24"/>
          <w:szCs w:val="24"/>
        </w:rPr>
        <w:t>Hyperphosphatemia vs Normophosphatemia</w:t>
      </w:r>
      <w:r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All-cause mortality. </w:t>
      </w:r>
    </w:p>
    <w:p>
      <w:pPr>
        <w:ind w:firstLine="361" w:firstLineChars="150"/>
        <w:jc w:val="left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  <w:drawing>
          <wp:inline distT="0" distB="0" distL="0" distR="0">
            <wp:extent cx="5069205" cy="3857625"/>
            <wp:effectExtent l="0" t="0" r="0" b="0"/>
            <wp:docPr id="18275141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514154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6178" cy="386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41" w:firstLineChars="100"/>
        <w:jc w:val="left"/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  <w:drawing>
          <wp:inline distT="0" distB="0" distL="0" distR="0">
            <wp:extent cx="5145405" cy="3935095"/>
            <wp:effectExtent l="0" t="0" r="0" b="8255"/>
            <wp:docPr id="17129994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999453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2884" cy="394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61" w:firstLineChars="150"/>
        <w:jc w:val="left"/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</w:pPr>
    </w:p>
    <w:p>
      <w:pPr>
        <w:jc w:val="left"/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  <w:t xml:space="preserve">5.2 </w:t>
      </w: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 w:val="24"/>
          <w:szCs w:val="24"/>
        </w:rPr>
        <w:t>Hypophosphatemia vs Normophosphatemia. All-cause mortality.</w:t>
      </w:r>
    </w:p>
    <w:p>
      <w:pPr>
        <w:jc w:val="left"/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 w:val="24"/>
          <w:szCs w:val="24"/>
        </w:rPr>
        <w:drawing>
          <wp:inline distT="0" distB="0" distL="0" distR="0">
            <wp:extent cx="5486400" cy="3919855"/>
            <wp:effectExtent l="0" t="0" r="0" b="4445"/>
            <wp:docPr id="73274105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741059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1619" cy="392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 w:val="24"/>
          <w:szCs w:val="24"/>
        </w:rPr>
        <w:drawing>
          <wp:inline distT="0" distB="0" distL="0" distR="0">
            <wp:extent cx="5464810" cy="3905250"/>
            <wp:effectExtent l="0" t="0" r="2540" b="0"/>
            <wp:docPr id="20900937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09372" name="图片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2504" cy="39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  <w:t xml:space="preserve">5.3 </w:t>
      </w: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 w:val="24"/>
          <w:szCs w:val="24"/>
        </w:rPr>
        <w:t>Per-increased.</w:t>
      </w:r>
    </w:p>
    <w:p>
      <w:pPr>
        <w:jc w:val="left"/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 w:val="24"/>
          <w:szCs w:val="24"/>
        </w:rPr>
        <w:drawing>
          <wp:inline distT="0" distB="0" distL="0" distR="0">
            <wp:extent cx="5305425" cy="3790315"/>
            <wp:effectExtent l="0" t="0" r="0" b="635"/>
            <wp:docPr id="21281876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187642" name="图片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3331" cy="379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 w:val="24"/>
          <w:szCs w:val="24"/>
        </w:rPr>
        <w:drawing>
          <wp:inline distT="0" distB="0" distL="0" distR="0">
            <wp:extent cx="5572760" cy="3981450"/>
            <wp:effectExtent l="0" t="0" r="8890" b="0"/>
            <wp:docPr id="170772599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725990" name="图片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9455" cy="39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 w:val="24"/>
          <w:szCs w:val="24"/>
        </w:rPr>
      </w:pPr>
    </w:p>
    <w:p>
      <w:pPr>
        <w:jc w:val="left"/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  <w:t xml:space="preserve">6. Publication bias </w:t>
      </w:r>
      <w:r>
        <w:rPr>
          <w:rFonts w:ascii="Times New Roman" w:hAnsi="Times New Roman" w:eastAsia="宋体" w:cs="Times New Roman"/>
          <w:b/>
          <w:bCs/>
          <w:iCs/>
          <w:color w:val="000000"/>
          <w:kern w:val="0"/>
          <w:sz w:val="24"/>
          <w:szCs w:val="24"/>
        </w:rPr>
        <w:t>of secondary outcome.</w:t>
      </w:r>
    </w:p>
    <w:p>
      <w:pPr>
        <w:jc w:val="left"/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  <w:t xml:space="preserve">6.1 </w:t>
      </w: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 w:val="24"/>
          <w:szCs w:val="24"/>
        </w:rPr>
        <w:t>Hyperphosphatemia vs Normophosphatemia</w:t>
      </w:r>
      <w:r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  <w:t>I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  <w:t>CU LOS.</w:t>
      </w:r>
    </w:p>
    <w:p>
      <w:pPr>
        <w:jc w:val="left"/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  <w:drawing>
          <wp:inline distT="0" distB="0" distL="0" distR="0">
            <wp:extent cx="4886325" cy="3578225"/>
            <wp:effectExtent l="0" t="0" r="0" b="3175"/>
            <wp:docPr id="142784376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843765" name="图片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4211" cy="358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  <w:drawing>
          <wp:inline distT="0" distB="0" distL="0" distR="0">
            <wp:extent cx="4635500" cy="3371850"/>
            <wp:effectExtent l="0" t="0" r="0" b="0"/>
            <wp:docPr id="10797390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739013" name="图片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7406" cy="337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>5</w:t>
      </w:r>
    </w:p>
    <w:p>
      <w:pPr>
        <w:jc w:val="left"/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  <w:t xml:space="preserve">6.2 </w:t>
      </w: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 w:val="24"/>
          <w:szCs w:val="24"/>
        </w:rPr>
        <w:t xml:space="preserve">Hypophosphatemia vs Normophosphatemia. 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  <w:t>ICU LOS</w:t>
      </w: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 w:val="24"/>
          <w:szCs w:val="24"/>
        </w:rPr>
        <w:t>.</w:t>
      </w:r>
    </w:p>
    <w:p>
      <w:pPr>
        <w:jc w:val="left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  <w:drawing>
          <wp:inline distT="0" distB="0" distL="0" distR="0">
            <wp:extent cx="4962525" cy="3705225"/>
            <wp:effectExtent l="0" t="0" r="0" b="9525"/>
            <wp:docPr id="17230351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035124" name="图片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5496" cy="370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  <w:drawing>
          <wp:inline distT="0" distB="0" distL="0" distR="0">
            <wp:extent cx="4878705" cy="3467100"/>
            <wp:effectExtent l="0" t="0" r="0" b="0"/>
            <wp:docPr id="34124874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48745" name="图片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2059" cy="346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/>
          <w:kern w:val="0"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t xml:space="preserve">.3 </w:t>
      </w: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 w:val="24"/>
          <w:szCs w:val="24"/>
        </w:rPr>
        <w:t>Hyperphosphatemia vs Normophosphatemia</w:t>
      </w:r>
      <w:r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. In-hospital LOS.</w:t>
      </w:r>
    </w:p>
    <w:p>
      <w:pPr>
        <w:jc w:val="left"/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610100" cy="3228975"/>
            <wp:effectExtent l="0" t="0" r="0" b="9525"/>
            <wp:docPr id="23880633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06334" name="图片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3619" cy="323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470400" cy="3124200"/>
            <wp:effectExtent l="0" t="0" r="6350" b="0"/>
            <wp:docPr id="178318657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186576" name="图片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630" cy="312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 w:val="24"/>
          <w:szCs w:val="24"/>
        </w:rPr>
      </w:pPr>
      <w:r>
        <w:rPr>
          <w:rFonts w:ascii="Times New Roman" w:hAnsi="Times New Roman" w:eastAsia="微软雅黑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6.4 </w:t>
      </w: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 w:val="24"/>
          <w:szCs w:val="24"/>
        </w:rPr>
        <w:t xml:space="preserve">Hypophosphatemia vs Normophosphatemia. 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  <w:t>In-hospital LOS</w:t>
      </w:r>
      <w:r>
        <w:rPr>
          <w:rFonts w:ascii="Times New Roman" w:hAnsi="Times New Roman" w:eastAsia="宋体" w:cs="Times New Roman"/>
          <w:b/>
          <w:bCs/>
          <w:i/>
          <w:iCs/>
          <w:color w:val="000000"/>
          <w:kern w:val="0"/>
          <w:sz w:val="24"/>
          <w:szCs w:val="24"/>
        </w:rPr>
        <w:t>.</w:t>
      </w:r>
    </w:p>
    <w:p>
      <w:pPr>
        <w:jc w:val="left"/>
        <w:rPr>
          <w:rFonts w:hint="eastAsia" w:ascii="Times New Roman" w:hAnsi="Times New Roman" w:cs="Times New Roman"/>
          <w:b/>
          <w:bCs/>
          <w:color w:val="000000"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drawing>
          <wp:inline distT="0" distB="0" distL="0" distR="0">
            <wp:extent cx="4876800" cy="3602990"/>
            <wp:effectExtent l="0" t="0" r="0" b="0"/>
            <wp:docPr id="164716267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162670" name="图片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8802" cy="360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kern w:val="0"/>
          <w:sz w:val="24"/>
          <w:szCs w:val="24"/>
        </w:rPr>
        <w:drawing>
          <wp:inline distT="0" distB="0" distL="0" distR="0">
            <wp:extent cx="4638675" cy="3075305"/>
            <wp:effectExtent l="0" t="0" r="0" b="0"/>
            <wp:docPr id="120285504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855045" name="图片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3205" cy="307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g0YjBhNWIyMTIwN2FjOTY1NjFhNGM5NDI2YzZhOTYifQ=="/>
  </w:docVars>
  <w:rsids>
    <w:rsidRoot w:val="003B2470"/>
    <w:rsid w:val="00071E31"/>
    <w:rsid w:val="000E6091"/>
    <w:rsid w:val="000F5082"/>
    <w:rsid w:val="00152090"/>
    <w:rsid w:val="00163C38"/>
    <w:rsid w:val="001B0819"/>
    <w:rsid w:val="001D37A3"/>
    <w:rsid w:val="002E53AB"/>
    <w:rsid w:val="003B2470"/>
    <w:rsid w:val="00490732"/>
    <w:rsid w:val="004E204E"/>
    <w:rsid w:val="004F642F"/>
    <w:rsid w:val="00536658"/>
    <w:rsid w:val="005574EA"/>
    <w:rsid w:val="005B5218"/>
    <w:rsid w:val="0063681A"/>
    <w:rsid w:val="00643793"/>
    <w:rsid w:val="00654407"/>
    <w:rsid w:val="00657E89"/>
    <w:rsid w:val="00693131"/>
    <w:rsid w:val="006A7682"/>
    <w:rsid w:val="006D1E3D"/>
    <w:rsid w:val="00726C15"/>
    <w:rsid w:val="00736D6D"/>
    <w:rsid w:val="00760006"/>
    <w:rsid w:val="007703AF"/>
    <w:rsid w:val="007D4CAA"/>
    <w:rsid w:val="007E57C6"/>
    <w:rsid w:val="008627FF"/>
    <w:rsid w:val="008718FF"/>
    <w:rsid w:val="008771DB"/>
    <w:rsid w:val="00910CFA"/>
    <w:rsid w:val="00913304"/>
    <w:rsid w:val="00954ECC"/>
    <w:rsid w:val="00961B47"/>
    <w:rsid w:val="00A133BD"/>
    <w:rsid w:val="00A14226"/>
    <w:rsid w:val="00A14AED"/>
    <w:rsid w:val="00A45ED6"/>
    <w:rsid w:val="00A54A3F"/>
    <w:rsid w:val="00A66465"/>
    <w:rsid w:val="00A67EB9"/>
    <w:rsid w:val="00A814E0"/>
    <w:rsid w:val="00AB46A8"/>
    <w:rsid w:val="00AC2E0B"/>
    <w:rsid w:val="00B16005"/>
    <w:rsid w:val="00B94894"/>
    <w:rsid w:val="00BC2D46"/>
    <w:rsid w:val="00BF4CD5"/>
    <w:rsid w:val="00C36776"/>
    <w:rsid w:val="00D628AF"/>
    <w:rsid w:val="00D94430"/>
    <w:rsid w:val="00DC187A"/>
    <w:rsid w:val="00DE6527"/>
    <w:rsid w:val="00E771B1"/>
    <w:rsid w:val="00EC1685"/>
    <w:rsid w:val="00EC3E21"/>
    <w:rsid w:val="00EF0FCB"/>
    <w:rsid w:val="00F12AC8"/>
    <w:rsid w:val="00F272B0"/>
    <w:rsid w:val="00FB7E2F"/>
    <w:rsid w:val="00FD4F2C"/>
    <w:rsid w:val="00FF49A1"/>
    <w:rsid w:val="064E035C"/>
    <w:rsid w:val="0C3A4AD0"/>
    <w:rsid w:val="1510203A"/>
    <w:rsid w:val="20B87907"/>
    <w:rsid w:val="256202C0"/>
    <w:rsid w:val="32B13391"/>
    <w:rsid w:val="355E0625"/>
    <w:rsid w:val="3FC93DC3"/>
    <w:rsid w:val="44EC107E"/>
    <w:rsid w:val="4FF254C9"/>
    <w:rsid w:val="599E2E37"/>
    <w:rsid w:val="5CD92EB3"/>
    <w:rsid w:val="62332C59"/>
    <w:rsid w:val="629628FD"/>
    <w:rsid w:val="62E96ED1"/>
    <w:rsid w:val="68AF1651"/>
    <w:rsid w:val="6BDE5867"/>
    <w:rsid w:val="7B3F77E8"/>
    <w:rsid w:val="7B624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paragraph" w:styleId="8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11">
    <w:name w:val="页脚 字符"/>
    <w:basedOn w:val="6"/>
    <w:link w:val="2"/>
    <w:qFormat/>
    <w:uiPriority w:val="99"/>
    <w:rPr>
      <w:sz w:val="18"/>
      <w:szCs w:val="18"/>
    </w:rPr>
  </w:style>
  <w:style w:type="character" w:customStyle="1" w:styleId="12">
    <w:name w:val="row-boolean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966</Words>
  <Characters>5299</Characters>
  <Lines>311</Lines>
  <Paragraphs>250</Paragraphs>
  <TotalTime>54</TotalTime>
  <ScaleCrop>false</ScaleCrop>
  <LinksUpToDate>false</LinksUpToDate>
  <CharactersWithSpaces>6015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2022-08-19T07:46:00Z</dcterms:created>
  <dc:creator>William W</dc:creator>
  <cp:lastModifiedBy>Administrator</cp:lastModifiedBy>
  <dcterms:modified xsi:type="dcterms:W3CDTF">2023-09-04T03:11:19Z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313EFDC2ACA14437ADFB6CB43B2345B6_13</vt:lpwstr>
  </property>
  <property fmtid="{D5CDD505-2E9C-101B-9397-08002B2CF9AE}" pid="4" name="GrammarlyDocumentId">
    <vt:lpwstr>97f3ff379a20777a2df8746f6f5183fb9a6b04c2f8dc9c8cf26405212258c7f6</vt:lpwstr>
  </property>
</Properties>
</file>