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rPr>
          <w:rFonts w:ascii="Helvetica" w:hAnsi="Helvetica" w:eastAsia="Helvetica" w:cs="Helvetica"/>
          <w:color w:val="990000"/>
          <w:sz w:val="27"/>
          <w:szCs w:val="27"/>
          <w:u w:val="single"/>
        </w:rPr>
      </w:pPr>
      <w:r>
        <w:rPr>
          <w:rFonts w:ascii="Helvetica" w:hAnsi="Helvetica" w:eastAsia="Helvetica" w:cs="Helvetica"/>
          <w:b/>
          <w:bCs/>
          <w:color w:val="990000"/>
          <w:u w:val="single"/>
          <w:shd w:val="clear" w:color="auto" w:fill="FFFFFF"/>
        </w:rPr>
        <w:t>Checklist for Quantitative PCR Assays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Sample</w:t>
      </w:r>
    </w:p>
    <w:p>
      <w:pPr>
        <w:widowControl/>
        <w:numPr>
          <w:ilvl w:val="1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Fresh - How rapidly processed?</w:t>
      </w:r>
    </w:p>
    <w:p>
      <w:pPr>
        <w:widowControl/>
        <w:numPr>
          <w:ilvl w:val="1"/>
          <w:numId w:val="1"/>
        </w:numPr>
        <w:spacing w:beforeAutospacing="1" w:afterAutospacing="1"/>
        <w:jc w:val="left"/>
        <w:rPr>
          <w:color w:val="FF0000"/>
        </w:rPr>
      </w:pP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>Immediately extract RNA after collection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 xml:space="preserve"> sample</w:t>
      </w:r>
    </w:p>
    <w:p>
      <w:pPr>
        <w:widowControl/>
        <w:numPr>
          <w:ilvl w:val="1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Frozen - How frozen?</w:t>
      </w:r>
    </w:p>
    <w:p>
      <w:pPr>
        <w:widowControl/>
        <w:numPr>
          <w:ilvl w:val="1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Whole vs. microdissected</w:t>
      </w:r>
    </w:p>
    <w:p>
      <w:pPr>
        <w:widowControl/>
        <w:numPr>
          <w:ilvl w:val="1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Sample storage conditions and duration</w:t>
      </w:r>
    </w:p>
    <w:p>
      <w:pPr>
        <w:widowControl/>
        <w:numPr>
          <w:ilvl w:val="1"/>
          <w:numId w:val="1"/>
        </w:numPr>
        <w:spacing w:beforeAutospacing="1" w:afterAutospacing="1"/>
        <w:jc w:val="left"/>
        <w:rPr>
          <w:rFonts w:ascii="Helvetica" w:hAnsi="Helvetica" w:eastAsia="Helvetica" w:cs="Helvetica"/>
          <w:color w:val="000000"/>
          <w:sz w:val="27"/>
          <w:szCs w:val="27"/>
        </w:rPr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Fixed - How fixed, how old?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Nucleic acid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Quantification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Use Nano-Drop 8000 to measure concentration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Quality/integrity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Evaluation of RNA quality by RNA agarose gel electrophoresis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Inhibition dilution or spike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No inhibitors used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0000FF"/>
          <w:sz w:val="24"/>
          <w:shd w:val="clear" w:color="auto" w:fill="FFFFFF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DNA contamination assessment of RNA sample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A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  <w:vertAlign w:val="subscript"/>
        </w:rPr>
        <w:t>260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/A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  <w:vertAlign w:val="subscript"/>
        </w:rPr>
        <w:t>280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=1.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95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DNase treatment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Manufacturer of reagents used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Tripure（Roche）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color w:val="auto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Amount of sample used for extraction</w:t>
      </w:r>
    </w:p>
    <w:p>
      <w:pPr>
        <w:widowControl/>
        <w:numPr>
          <w:ilvl w:val="1"/>
          <w:numId w:val="2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Cell：10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vertAlign w:val="superscript"/>
        </w:rPr>
        <w:t>6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Reverse treanscriptions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cDNA priming method + concentration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Amount of RNA used per reaction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2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μ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g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auto"/>
          <w:sz w:val="24"/>
          <w:shd w:val="clear" w:color="auto" w:fill="FFFFFF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Enzyme type and concentration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Detailed reaction conditions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65 ℃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eastAsia="zh-CN"/>
        </w:rPr>
        <w:t>，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5 min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eastAsia="zh-CN"/>
        </w:rPr>
        <w:t>；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25 ℃孵育5 min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eastAsia="zh-CN"/>
        </w:rPr>
        <w:t>；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42 ℃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eastAsia="zh-CN"/>
        </w:rPr>
        <w:t>，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60 min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eastAsia="zh-CN"/>
        </w:rPr>
        <w:t>；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70 ℃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eastAsia="zh-CN"/>
        </w:rPr>
        <w:t>，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5 min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Manufacturer of reagents used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RevertAid First Strand cDNA Synthesis Kit（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Invitrogen</w:t>
      </w: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）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Reaction volume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20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μL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Storage of cDNA</w:t>
      </w:r>
    </w:p>
    <w:p>
      <w:pPr>
        <w:widowControl/>
        <w:numPr>
          <w:ilvl w:val="1"/>
          <w:numId w:val="3"/>
        </w:numPr>
        <w:tabs>
          <w:tab w:val="left" w:pos="1440"/>
        </w:tabs>
        <w:spacing w:beforeAutospacing="1" w:afterAutospacing="1"/>
        <w:jc w:val="left"/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-80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>℃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Target</w:t>
      </w:r>
    </w:p>
    <w:p>
      <w:pPr>
        <w:widowControl/>
        <w:numPr>
          <w:ilvl w:val="1"/>
          <w:numId w:val="4"/>
        </w:numPr>
        <w:tabs>
          <w:tab w:val="left" w:pos="1440"/>
        </w:tabs>
        <w:spacing w:beforeAutospacing="1" w:afterAutospacing="1"/>
        <w:jc w:val="left"/>
        <w:rPr>
          <w:color w:val="auto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Database name and target gene accession number</w:t>
      </w:r>
    </w:p>
    <w:p>
      <w:pPr>
        <w:widowControl/>
        <w:numPr>
          <w:ilvl w:val="1"/>
          <w:numId w:val="4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Intronless, targeting of all splice variants/splice variant-specific targeting</w:t>
      </w:r>
    </w:p>
    <w:p>
      <w:pPr>
        <w:widowControl/>
        <w:numPr>
          <w:ilvl w:val="1"/>
          <w:numId w:val="4"/>
        </w:numPr>
        <w:tabs>
          <w:tab w:val="left" w:pos="1440"/>
        </w:tabs>
        <w:spacing w:beforeAutospacing="1" w:afterAutospacing="1"/>
        <w:jc w:val="left"/>
        <w:rPr>
          <w:color w:val="auto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Official gene symbol</w:t>
      </w:r>
    </w:p>
    <w:p>
      <w:pPr>
        <w:widowControl/>
        <w:numPr>
          <w:ilvl w:val="1"/>
          <w:numId w:val="4"/>
        </w:numPr>
        <w:tabs>
          <w:tab w:val="left" w:pos="1440"/>
        </w:tabs>
        <w:spacing w:beforeAutospacing="1" w:afterAutospacing="1"/>
        <w:jc w:val="left"/>
      </w:pPr>
      <w:bookmarkStart w:id="0" w:name="_GoBack"/>
      <w:bookmarkEnd w:id="0"/>
      <w:r>
        <w:rPr>
          <w:rFonts w:ascii="Helvetica" w:hAnsi="Helvetica" w:eastAsia="Helvetica" w:cs="Helvetica"/>
          <w:sz w:val="24"/>
          <w:shd w:val="clear" w:color="auto" w:fill="FFFFFF"/>
        </w:rPr>
        <w:t>Location of amplicon with respect to reference sequence</w:t>
      </w:r>
    </w:p>
    <w:p>
      <w:pPr>
        <w:widowControl/>
        <w:numPr>
          <w:ilvl w:val="1"/>
          <w:numId w:val="4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Information about (retro)pseudogenes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Primers and probes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  <w:rPr>
          <w:color w:val="auto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Primer sequences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5"/>
              <w:spacing w:beforeAutospacing="0" w:afterAutospacing="0" w:line="360" w:lineRule="auto"/>
              <w:jc w:val="center"/>
              <w:rPr>
                <w:rFonts w:hint="eastAsia"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Genes</w:t>
            </w:r>
          </w:p>
        </w:tc>
        <w:tc>
          <w:tcPr>
            <w:tcW w:w="370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5"/>
              <w:spacing w:beforeAutospacing="0" w:afterAutospacing="0" w:line="36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rimer sequences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U6 qRT F</w:t>
            </w:r>
          </w:p>
        </w:tc>
        <w:tc>
          <w:tcPr>
            <w:tcW w:w="37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CTCGCTTCGGCAGCACA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U6 qRT 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AACGCTTCACGAATTTGCGT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mmu-miR-6238 qRT F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GCCGAGTTATTAGTCAGTGGAG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mmu-miR-3102-3p qRT F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GAGCACCCCATTGGCTA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mmu-miR-6984-5p qRT F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ACTGAAAGGCAATGAAGG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mmu-miR-495-3p qRT F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GCCGAGAAACAAACATGGTGCA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mmu-miR-3095-3p qRT F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TGGACACTGGAGAGAGA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FF0000"/>
                <w:sz w:val="22"/>
                <w:szCs w:val="22"/>
              </w:rPr>
              <w:t>mmu-miR-6975-5p qRT F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 w:val="22"/>
                <w:szCs w:val="22"/>
              </w:rPr>
              <w:t>GCTGGGGAGAAAGGGGT</w:t>
            </w:r>
          </w:p>
        </w:tc>
      </w:tr>
    </w:tbl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Location of modification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5' region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End concentration of primers and optional probe(s) used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</w:pPr>
      <w:r>
        <w:rPr>
          <w:rFonts w:hint="eastAsia" w:ascii="Helvetica" w:hAnsi="Helvetica" w:eastAsia="宋体" w:cs="Helvetica"/>
          <w:sz w:val="24"/>
          <w:shd w:val="clear" w:color="auto" w:fill="FFFFFF"/>
        </w:rPr>
        <w:t xml:space="preserve">10 </w:t>
      </w:r>
      <w:r>
        <w:rPr>
          <w:rFonts w:ascii="Helvetica" w:hAnsi="Helvetica" w:eastAsia="Helvetica" w:cs="Helvetica"/>
          <w:sz w:val="24"/>
          <w:shd w:val="clear" w:color="auto" w:fill="FFFFFF"/>
        </w:rPr>
        <w:t>μ</w:t>
      </w:r>
      <w:r>
        <w:rPr>
          <w:rFonts w:hint="eastAsia" w:ascii="Helvetica" w:hAnsi="Helvetica" w:eastAsia="宋体" w:cs="Helvetica"/>
          <w:sz w:val="24"/>
          <w:shd w:val="clear" w:color="auto" w:fill="FFFFFF"/>
        </w:rPr>
        <w:t>M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Primer purification method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Manufacturer of oligonucleotides</w:t>
      </w:r>
    </w:p>
    <w:p>
      <w:pPr>
        <w:widowControl/>
        <w:numPr>
          <w:ilvl w:val="1"/>
          <w:numId w:val="5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Probe sequence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Assay details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  <w:rPr>
          <w:color w:val="auto"/>
        </w:rPr>
      </w:pPr>
      <w:r>
        <w:rPr>
          <w:rFonts w:ascii="Helvetica" w:hAnsi="Helvetica" w:eastAsia="Helvetica" w:cs="Helvetica"/>
          <w:color w:val="auto"/>
          <w:sz w:val="24"/>
          <w:shd w:val="clear" w:color="auto" w:fill="FFFFFF"/>
        </w:rPr>
        <w:t>Amplicon length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Specific BLAST or equivalent in silico specific screen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Experimental validation of specificity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NTC; Sensitivity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PCR efficiency, PCR efficiency standard curve slope and r-squared value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RTPrimerDB ID</w:t>
      </w:r>
    </w:p>
    <w:p>
      <w:pPr>
        <w:widowControl/>
        <w:numPr>
          <w:ilvl w:val="1"/>
          <w:numId w:val="6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Secondary structure analysis around priming sites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PCR Cycling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Amount of cDNA/DNA used per reaction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8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 xml:space="preserve"> 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>μL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Detailed reaction conditions, thermocycling parameters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>95 ℃，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10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min；95 ℃，1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s；6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0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℃，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20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s；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72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℃，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25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s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>；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72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℃，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 xml:space="preserve"> min；40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 xml:space="preserve"> cycles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Manufacturer of reagents used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oloLens MDL2 Assets" w:hAnsi="HoloLens MDL2 Assets" w:cs="HoloLens MDL2 Assets"/>
          <w:color w:val="FF0000"/>
          <w:sz w:val="24"/>
        </w:rPr>
        <w:t>SYBR Green qPCR Master</w:t>
      </w:r>
      <w:r>
        <w:rPr>
          <w:rFonts w:ascii="HoloLens MDL2 Assets" w:hAnsi="HoloLens MDL2 Assets" w:cs="HoloLens MDL2 Assets"/>
          <w:color w:val="FF0000"/>
          <w:sz w:val="24"/>
        </w:rPr>
        <w:t>（</w:t>
      </w:r>
      <w:r>
        <w:rPr>
          <w:rFonts w:hint="eastAsia" w:ascii="HoloLens MDL2 Assets" w:hAnsi="HoloLens MDL2 Assets" w:cs="HoloLens MDL2 Assets"/>
          <w:color w:val="FF0000"/>
          <w:sz w:val="24"/>
        </w:rPr>
        <w:t>Roche</w:t>
      </w:r>
      <w:r>
        <w:rPr>
          <w:rFonts w:ascii="HoloLens MDL2 Assets" w:hAnsi="HoloLens MDL2 Assets" w:cs="HoloLens MDL2 Assets"/>
          <w:color w:val="FF0000"/>
          <w:sz w:val="24"/>
        </w:rPr>
        <w:t>）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Manual/robotic dispensing of reagents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Manufacturer of plates/tubes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Manufacturer of real-time instrument</w:t>
      </w:r>
    </w:p>
    <w:p>
      <w:pPr>
        <w:widowControl/>
        <w:numPr>
          <w:ilvl w:val="1"/>
          <w:numId w:val="7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ascii="Helvetica" w:hAnsi="Helvetica" w:eastAsia="Helvetica" w:cs="Helvetica"/>
          <w:color w:val="FF0000"/>
          <w:sz w:val="24"/>
          <w:shd w:val="clear" w:color="auto" w:fill="FFFFFF"/>
        </w:rPr>
        <w:t>Bio-rad</w:t>
      </w:r>
    </w:p>
    <w:p>
      <w:pPr>
        <w:widowControl/>
        <w:numPr>
          <w:ilvl w:val="0"/>
          <w:numId w:val="1"/>
        </w:numPr>
        <w:spacing w:beforeAutospacing="1" w:afterAutospacing="1"/>
        <w:jc w:val="left"/>
      </w:pPr>
      <w:r>
        <w:rPr>
          <w:rFonts w:ascii="Helvetica" w:hAnsi="Helvetica" w:eastAsia="Helvetica" w:cs="Helvetica"/>
          <w:b/>
          <w:bCs/>
          <w:color w:val="990000"/>
          <w:sz w:val="24"/>
          <w:shd w:val="clear" w:color="auto" w:fill="FFFFFF"/>
        </w:rPr>
        <w:t>Data analysis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Cq value determination method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000000"/>
          <w:sz w:val="24"/>
          <w:shd w:val="clear" w:color="auto" w:fill="FFFFFF"/>
        </w:rPr>
      </w:pP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The number of amplification cycles that occur during qPCR amplification when the fluorescence signal of the amplification product reaches the set threshold</w:t>
      </w: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.The number of amplification cycles is linearly proportional to the logarithm of the initial concentration.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Treatment of NTCs and technical replicates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Normalisation method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linear normalization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Is r-squared value of regression curve satisfactory?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hint="eastAsia" w:ascii="Helvetica" w:hAnsi="Helvetica" w:eastAsia="宋体" w:cs="Helvetica"/>
          <w:color w:val="FF0000"/>
          <w:sz w:val="24"/>
          <w:shd w:val="clear" w:color="auto" w:fill="FFFFFF"/>
        </w:rPr>
        <w:t>R2&gt;0.98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Has assay sensitivity been adequately evaluated and described?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Has assay specificity been adequately described?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  <w:rPr>
          <w:rFonts w:ascii="Helvetica" w:hAnsi="Helvetica" w:eastAsia="Helvetica" w:cs="Helvetica"/>
          <w:color w:val="FF0000"/>
          <w:sz w:val="24"/>
          <w:shd w:val="clear" w:color="auto" w:fill="FFFFFF"/>
        </w:rPr>
      </w:pPr>
      <w:r>
        <w:rPr>
          <w:rFonts w:hint="eastAsia" w:ascii="Helvetica" w:hAnsi="Helvetica" w:eastAsia="Helvetica" w:cs="Helvetica"/>
          <w:color w:val="FF0000"/>
          <w:sz w:val="24"/>
          <w:shd w:val="clear" w:color="auto" w:fill="FFFFFF"/>
        </w:rPr>
        <w:t>Judging by whether the dissolution curve is a single peak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Is the dynamic range of the assay acceptable?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Is the coefficient of variation for inter and intra-assay reproducibility reasonable?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Concordance of biological replicates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color w:val="000000"/>
          <w:sz w:val="24"/>
          <w:shd w:val="clear" w:color="auto" w:fill="FFFFFF"/>
        </w:rPr>
        <w:t>Analysis program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  <w:rPr>
          <w:color w:val="FF0000"/>
        </w:rPr>
      </w:pPr>
      <w:r>
        <w:rPr>
          <w:rFonts w:ascii="Helvetica" w:hAnsi="Helvetica" w:eastAsia="宋体" w:cs="Helvetica"/>
          <w:color w:val="FF0000"/>
          <w:sz w:val="24"/>
          <w:shd w:val="clear" w:color="auto" w:fill="FFFFFF"/>
        </w:rPr>
        <w:t>GraphPad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Assay carried out by core lab or investigator's lab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Acknowledgement of author's contribution to analysis and interpretation</w:t>
      </w:r>
    </w:p>
    <w:p>
      <w:pPr>
        <w:widowControl/>
        <w:numPr>
          <w:ilvl w:val="1"/>
          <w:numId w:val="8"/>
        </w:numPr>
        <w:tabs>
          <w:tab w:val="left" w:pos="1440"/>
        </w:tabs>
        <w:spacing w:beforeAutospacing="1" w:afterAutospacing="1"/>
        <w:jc w:val="left"/>
      </w:pPr>
      <w:r>
        <w:rPr>
          <w:rFonts w:ascii="Helvetica" w:hAnsi="Helvetica" w:eastAsia="Helvetica" w:cs="Helvetica"/>
          <w:sz w:val="24"/>
          <w:shd w:val="clear" w:color="auto" w:fill="FFFFFF"/>
        </w:rPr>
        <w:t>Submission of Cq values of raw data using RDML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HoloLens MDL2 Assets">
    <w:panose1 w:val="050A0102010101010101"/>
    <w:charset w:val="00"/>
    <w:family w:val="roman"/>
    <w:pitch w:val="default"/>
    <w:sig w:usb0="00000000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9F795"/>
    <w:multiLevelType w:val="multilevel"/>
    <w:tmpl w:val="0F39F7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MzkzNzA4N2ZjNjkyODc2NTA1NDdhYzQ0NWZhNjMifQ=="/>
  </w:docVars>
  <w:rsids>
    <w:rsidRoot w:val="06C522B7"/>
    <w:rsid w:val="006919E9"/>
    <w:rsid w:val="00723F00"/>
    <w:rsid w:val="007263D9"/>
    <w:rsid w:val="007B6A18"/>
    <w:rsid w:val="05330914"/>
    <w:rsid w:val="063F449C"/>
    <w:rsid w:val="06C522B7"/>
    <w:rsid w:val="0717163C"/>
    <w:rsid w:val="075375E4"/>
    <w:rsid w:val="0E7B0B34"/>
    <w:rsid w:val="15A62093"/>
    <w:rsid w:val="1D7F2BF3"/>
    <w:rsid w:val="1FBB0DFA"/>
    <w:rsid w:val="269E01E7"/>
    <w:rsid w:val="2E6E173D"/>
    <w:rsid w:val="524D6516"/>
    <w:rsid w:val="59C13ACF"/>
    <w:rsid w:val="5FC47F2C"/>
    <w:rsid w:val="633B3D5B"/>
    <w:rsid w:val="66A65F76"/>
    <w:rsid w:val="69842EAC"/>
    <w:rsid w:val="6D3F2BCE"/>
    <w:rsid w:val="6F637D89"/>
    <w:rsid w:val="714B51DF"/>
    <w:rsid w:val="71A5490B"/>
    <w:rsid w:val="72DC7380"/>
    <w:rsid w:val="79707849"/>
    <w:rsid w:val="7B691AC0"/>
    <w:rsid w:val="7F4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Theme="majorEastAsia"/>
      <w:b/>
      <w:kern w:val="44"/>
      <w:sz w:val="20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表 1 浅色 - 着色 21"/>
    <w:basedOn w:val="6"/>
    <w:qFormat/>
    <w:uiPriority w:val="46"/>
    <w:tblPr>
      <w:tblBorders>
        <w:top w:val="single" w:color="F8CCAB" w:themeColor="accent2" w:themeTint="66" w:sz="4" w:space="0"/>
        <w:left w:val="single" w:color="F8CCAB" w:themeColor="accent2" w:themeTint="66" w:sz="4" w:space="0"/>
        <w:bottom w:val="single" w:color="F8CCAB" w:themeColor="accent2" w:themeTint="66" w:sz="4" w:space="0"/>
        <w:right w:val="single" w:color="F8CCAB" w:themeColor="accent2" w:themeTint="66" w:sz="4" w:space="0"/>
        <w:insideH w:val="single" w:color="F8CCAB" w:themeColor="accent2" w:themeTint="66" w:sz="4" w:space="0"/>
        <w:insideV w:val="single" w:color="F8CCAB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382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38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3038</Characters>
  <Lines>24</Lines>
  <Paragraphs>6</Paragraphs>
  <TotalTime>0</TotalTime>
  <ScaleCrop>false</ScaleCrop>
  <LinksUpToDate>false</LinksUpToDate>
  <CharactersWithSpaces>3376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2023-08-02T08:39:00Z</dcterms:created>
  <dc:creator>都是智慧</dc:creator>
  <cp:lastModifiedBy>YôU點瘋</cp:lastModifiedBy>
  <dcterms:modified xsi:type="dcterms:W3CDTF">2023-08-03T06:10:15Z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4D689C9C49C547B4A8D1E5CE49FFB9A9_13</vt:lpwstr>
  </property>
</Properties>
</file>