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788" w14:textId="3DE6B620" w:rsidR="001A5D02" w:rsidRPr="00A03BF1" w:rsidRDefault="001A5D02" w:rsidP="00A03BF1">
      <w:pPr>
        <w:spacing w:after="120"/>
        <w:jc w:val="both"/>
        <w:rPr>
          <w:b/>
          <w:color w:val="000000"/>
          <w:sz w:val="22"/>
          <w:szCs w:val="22"/>
        </w:rPr>
      </w:pPr>
      <w:r w:rsidRPr="00C27171">
        <w:rPr>
          <w:rFonts w:ascii="Times" w:hAnsi="Times" w:cs="Times"/>
          <w:b/>
        </w:rPr>
        <w:t>Table S</w:t>
      </w:r>
      <w:r w:rsidR="00A64384">
        <w:rPr>
          <w:rFonts w:ascii="Times" w:hAnsi="Times" w:cs="Times"/>
          <w:b/>
        </w:rPr>
        <w:t>3</w:t>
      </w:r>
      <w:r w:rsidRPr="00C27171">
        <w:rPr>
          <w:rFonts w:ascii="Times" w:hAnsi="Times" w:cs="Times"/>
          <w:b/>
        </w:rPr>
        <w:t xml:space="preserve">. </w:t>
      </w:r>
      <w:r w:rsidR="00A03BF1">
        <w:rPr>
          <w:rFonts w:ascii="Times" w:hAnsi="Times" w:cs="Times"/>
          <w:bCs/>
        </w:rPr>
        <w:t xml:space="preserve">Summary </w:t>
      </w:r>
      <w:r w:rsidR="00A03BF1" w:rsidRPr="00E919FF">
        <w:rPr>
          <w:rFonts w:ascii="Times" w:hAnsi="Times" w:cs="Times"/>
          <w:bCs/>
        </w:rPr>
        <w:t xml:space="preserve">of studies </w:t>
      </w:r>
      <w:r w:rsidR="00A03BF1">
        <w:rPr>
          <w:rFonts w:ascii="Times" w:hAnsi="Times" w:cs="Times"/>
          <w:bCs/>
        </w:rPr>
        <w:t>measuring</w:t>
      </w:r>
      <w:r w:rsidR="00A03BF1" w:rsidRPr="00E919FF">
        <w:rPr>
          <w:rFonts w:ascii="Times" w:hAnsi="Times" w:cs="Times"/>
          <w:bCs/>
        </w:rPr>
        <w:t xml:space="preserve"> stable isotopes </w:t>
      </w:r>
      <w:r w:rsidR="00A03BF1">
        <w:rPr>
          <w:rFonts w:ascii="Times" w:hAnsi="Times" w:cs="Times"/>
          <w:bCs/>
        </w:rPr>
        <w:t xml:space="preserve">in wild </w:t>
      </w:r>
      <w:r w:rsidR="00A03BF1" w:rsidRPr="00E919FF">
        <w:rPr>
          <w:rFonts w:ascii="Times" w:hAnsi="Times" w:cs="Times"/>
          <w:bCs/>
        </w:rPr>
        <w:t xml:space="preserve">and captive animals </w:t>
      </w:r>
      <w:r w:rsidR="00A03BF1" w:rsidRPr="00C27171">
        <w:rPr>
          <w:rFonts w:ascii="Times" w:hAnsi="Times" w:cs="Times"/>
          <w:bCs/>
        </w:rPr>
        <w:t xml:space="preserve">organized by </w:t>
      </w:r>
      <w:r w:rsidR="00A03BF1">
        <w:rPr>
          <w:rFonts w:ascii="Times" w:hAnsi="Times" w:cs="Times"/>
          <w:bCs/>
        </w:rPr>
        <w:t xml:space="preserve">taxon </w:t>
      </w:r>
      <w:r w:rsidR="00A03BF1" w:rsidRPr="00C27171">
        <w:rPr>
          <w:rFonts w:ascii="Times" w:hAnsi="Times" w:cs="Times"/>
          <w:bCs/>
        </w:rPr>
        <w:t>group (fish, amphibian, reptile, bird</w:t>
      </w:r>
      <w:r w:rsidR="0086053F">
        <w:rPr>
          <w:rFonts w:ascii="Times" w:hAnsi="Times" w:cs="Times"/>
          <w:bCs/>
        </w:rPr>
        <w:t>,</w:t>
      </w:r>
      <w:r w:rsidR="00A03BF1" w:rsidRPr="00C27171">
        <w:rPr>
          <w:rFonts w:ascii="Times" w:hAnsi="Times" w:cs="Times"/>
          <w:bCs/>
        </w:rPr>
        <w:t xml:space="preserve"> and mammal).</w:t>
      </w:r>
      <w:r w:rsidR="00A03BF1">
        <w:rPr>
          <w:rFonts w:ascii="Times" w:hAnsi="Times" w:cs="Times"/>
          <w:bCs/>
        </w:rPr>
        <w:t xml:space="preserve"> In</w:t>
      </w:r>
      <w:r w:rsidR="001237A7">
        <w:rPr>
          <w:rFonts w:ascii="Times" w:hAnsi="Times" w:cs="Times"/>
          <w:bCs/>
        </w:rPr>
        <w:t xml:space="preserve"> </w:t>
      </w:r>
      <w:r w:rsidR="0086053F">
        <w:rPr>
          <w:rFonts w:ascii="Times" w:hAnsi="Times" w:cs="Times"/>
          <w:bCs/>
        </w:rPr>
        <w:t xml:space="preserve">the </w:t>
      </w:r>
      <w:r w:rsidR="001237A7">
        <w:rPr>
          <w:rFonts w:ascii="Times" w:hAnsi="Times" w:cs="Times"/>
          <w:bCs/>
        </w:rPr>
        <w:t>“Summary proposal</w:t>
      </w:r>
      <w:r w:rsidR="0086053F">
        <w:rPr>
          <w:rFonts w:ascii="Times" w:hAnsi="Times" w:cs="Times"/>
          <w:bCs/>
        </w:rPr>
        <w:t>,</w:t>
      </w:r>
      <w:r w:rsidR="001237A7">
        <w:rPr>
          <w:rFonts w:ascii="Times" w:hAnsi="Times" w:cs="Times"/>
          <w:bCs/>
        </w:rPr>
        <w:t xml:space="preserve">” DTDF means </w:t>
      </w:r>
      <w:r w:rsidR="001237A7" w:rsidRPr="001237A7">
        <w:rPr>
          <w:rFonts w:ascii="Times" w:hAnsi="Times" w:cs="Times"/>
          <w:bCs/>
        </w:rPr>
        <w:t>diet-tissue discrimination factors</w:t>
      </w:r>
      <w:r w:rsidR="001237A7">
        <w:rPr>
          <w:rFonts w:ascii="Times" w:hAnsi="Times" w:cs="Times"/>
          <w:bCs/>
        </w:rPr>
        <w:t>. In</w:t>
      </w:r>
      <w:r w:rsidR="00A03BF1">
        <w:rPr>
          <w:rFonts w:ascii="Times" w:hAnsi="Times" w:cs="Times"/>
          <w:bCs/>
        </w:rPr>
        <w:t xml:space="preserve"> “</w:t>
      </w:r>
      <w:r w:rsidR="0086053F">
        <w:rPr>
          <w:rFonts w:ascii="Times" w:hAnsi="Times" w:cs="Times"/>
          <w:bCs/>
        </w:rPr>
        <w:t>S</w:t>
      </w:r>
      <w:r w:rsidR="00A03BF1">
        <w:rPr>
          <w:rFonts w:ascii="Times" w:hAnsi="Times" w:cs="Times"/>
          <w:bCs/>
        </w:rPr>
        <w:t>ummary results</w:t>
      </w:r>
      <w:r w:rsidR="0086053F">
        <w:rPr>
          <w:rFonts w:ascii="Times" w:hAnsi="Times" w:cs="Times"/>
          <w:bCs/>
        </w:rPr>
        <w:t>,</w:t>
      </w:r>
      <w:r w:rsidR="00A03BF1">
        <w:rPr>
          <w:rFonts w:ascii="Times" w:hAnsi="Times" w:cs="Times"/>
          <w:bCs/>
        </w:rPr>
        <w:t xml:space="preserve">” the equal sign (=) indicates the absence of </w:t>
      </w:r>
      <w:r w:rsidR="00A03BF1" w:rsidRPr="008726DC">
        <w:rPr>
          <w:rFonts w:ascii="Times" w:hAnsi="Times" w:cs="Times"/>
          <w:bCs/>
        </w:rPr>
        <w:t>significant difference</w:t>
      </w:r>
      <w:r w:rsidR="00A03BF1">
        <w:rPr>
          <w:rFonts w:ascii="Times" w:hAnsi="Times" w:cs="Times"/>
          <w:bCs/>
        </w:rPr>
        <w:t xml:space="preserve">s in inferential tests. </w:t>
      </w:r>
    </w:p>
    <w:tbl>
      <w:tblPr>
        <w:tblW w:w="14175" w:type="dxa"/>
        <w:jc w:val="center"/>
        <w:tblBorders>
          <w:top w:val="single" w:sz="4" w:space="0" w:color="auto"/>
          <w:bottom w:val="single" w:sz="4" w:space="0" w:color="auto"/>
        </w:tblBorders>
        <w:tblLayout w:type="fixed"/>
        <w:tblLook w:val="0400" w:firstRow="0" w:lastRow="0" w:firstColumn="0" w:lastColumn="0" w:noHBand="0" w:noVBand="1"/>
      </w:tblPr>
      <w:tblGrid>
        <w:gridCol w:w="1129"/>
        <w:gridCol w:w="1843"/>
        <w:gridCol w:w="1276"/>
        <w:gridCol w:w="1276"/>
        <w:gridCol w:w="1275"/>
        <w:gridCol w:w="3119"/>
        <w:gridCol w:w="2551"/>
        <w:gridCol w:w="1706"/>
      </w:tblGrid>
      <w:tr w:rsidR="00FF6AD2" w14:paraId="63A950EA" w14:textId="77777777" w:rsidTr="00E136C6">
        <w:trPr>
          <w:jc w:val="center"/>
        </w:trPr>
        <w:tc>
          <w:tcPr>
            <w:tcW w:w="1129" w:type="dxa"/>
            <w:tcBorders>
              <w:top w:val="single" w:sz="4" w:space="0" w:color="auto"/>
              <w:bottom w:val="single" w:sz="4" w:space="0" w:color="auto"/>
            </w:tcBorders>
          </w:tcPr>
          <w:p w14:paraId="5430EB58" w14:textId="77777777" w:rsidR="00FF6AD2" w:rsidRPr="00A03BF1" w:rsidRDefault="00FF6AD2" w:rsidP="00A03BF1">
            <w:pPr>
              <w:pBdr>
                <w:top w:val="nil"/>
                <w:left w:val="nil"/>
                <w:bottom w:val="nil"/>
                <w:right w:val="nil"/>
                <w:between w:val="nil"/>
              </w:pBdr>
              <w:spacing w:after="120" w:line="276" w:lineRule="auto"/>
              <w:jc w:val="center"/>
              <w:rPr>
                <w:b/>
                <w:color w:val="000000"/>
                <w:sz w:val="22"/>
                <w:szCs w:val="22"/>
              </w:rPr>
            </w:pPr>
          </w:p>
        </w:tc>
        <w:tc>
          <w:tcPr>
            <w:tcW w:w="1843" w:type="dxa"/>
            <w:tcBorders>
              <w:top w:val="single" w:sz="4" w:space="0" w:color="auto"/>
              <w:bottom w:val="single" w:sz="4" w:space="0" w:color="auto"/>
            </w:tcBorders>
            <w:vAlign w:val="center"/>
          </w:tcPr>
          <w:p w14:paraId="73C17EFC" w14:textId="4CBA0703" w:rsidR="00FF6AD2" w:rsidRPr="00FF6AD2" w:rsidRDefault="00FF6AD2" w:rsidP="00A03BF1">
            <w:pPr>
              <w:pBdr>
                <w:top w:val="nil"/>
                <w:left w:val="nil"/>
                <w:bottom w:val="nil"/>
                <w:right w:val="nil"/>
                <w:between w:val="nil"/>
              </w:pBdr>
              <w:spacing w:after="120" w:line="276" w:lineRule="auto"/>
              <w:jc w:val="center"/>
              <w:rPr>
                <w:b/>
                <w:color w:val="000000"/>
                <w:sz w:val="20"/>
                <w:szCs w:val="20"/>
              </w:rPr>
            </w:pPr>
            <w:r w:rsidRPr="00FF6AD2">
              <w:rPr>
                <w:b/>
                <w:color w:val="000000"/>
                <w:sz w:val="20"/>
                <w:szCs w:val="20"/>
              </w:rPr>
              <w:t xml:space="preserve">TAXON    </w:t>
            </w:r>
            <w:proofErr w:type="gramStart"/>
            <w:r w:rsidRPr="00FF6AD2">
              <w:rPr>
                <w:b/>
                <w:color w:val="000000"/>
                <w:sz w:val="20"/>
                <w:szCs w:val="20"/>
              </w:rPr>
              <w:t xml:space="preserve">   (</w:t>
            </w:r>
            <w:proofErr w:type="gramEnd"/>
            <w:r w:rsidRPr="00FF6AD2">
              <w:rPr>
                <w:b/>
                <w:color w:val="000000"/>
                <w:sz w:val="20"/>
                <w:szCs w:val="20"/>
              </w:rPr>
              <w:t>SPECIE)</w:t>
            </w:r>
          </w:p>
        </w:tc>
        <w:tc>
          <w:tcPr>
            <w:tcW w:w="1276" w:type="dxa"/>
            <w:tcBorders>
              <w:top w:val="single" w:sz="4" w:space="0" w:color="auto"/>
              <w:bottom w:val="single" w:sz="4" w:space="0" w:color="auto"/>
            </w:tcBorders>
            <w:vAlign w:val="center"/>
          </w:tcPr>
          <w:p w14:paraId="61317897" w14:textId="36EF127A" w:rsidR="00FF6AD2" w:rsidRPr="00FF6AD2" w:rsidRDefault="00FF6AD2" w:rsidP="00FF6AD2">
            <w:pPr>
              <w:pBdr>
                <w:top w:val="nil"/>
                <w:left w:val="nil"/>
                <w:bottom w:val="nil"/>
                <w:right w:val="nil"/>
                <w:between w:val="nil"/>
              </w:pBdr>
              <w:spacing w:after="120" w:line="276" w:lineRule="auto"/>
              <w:ind w:left="-111" w:right="-106"/>
              <w:jc w:val="center"/>
              <w:rPr>
                <w:b/>
                <w:color w:val="000000"/>
                <w:sz w:val="20"/>
                <w:szCs w:val="20"/>
              </w:rPr>
            </w:pPr>
            <w:r w:rsidRPr="00FF6AD2">
              <w:rPr>
                <w:b/>
                <w:color w:val="000000"/>
                <w:sz w:val="20"/>
                <w:szCs w:val="20"/>
              </w:rPr>
              <w:t>ISOTOPES ANALYZED</w:t>
            </w:r>
          </w:p>
        </w:tc>
        <w:tc>
          <w:tcPr>
            <w:tcW w:w="1276" w:type="dxa"/>
            <w:tcBorders>
              <w:top w:val="single" w:sz="4" w:space="0" w:color="auto"/>
              <w:bottom w:val="single" w:sz="4" w:space="0" w:color="auto"/>
            </w:tcBorders>
            <w:vAlign w:val="center"/>
          </w:tcPr>
          <w:p w14:paraId="41EC1A30" w14:textId="251FAA8D" w:rsidR="00FF6AD2" w:rsidRPr="00FF6AD2" w:rsidRDefault="00FF6AD2" w:rsidP="00A03BF1">
            <w:pPr>
              <w:pBdr>
                <w:top w:val="nil"/>
                <w:left w:val="nil"/>
                <w:bottom w:val="nil"/>
                <w:right w:val="nil"/>
                <w:between w:val="nil"/>
              </w:pBdr>
              <w:spacing w:after="120" w:line="276" w:lineRule="auto"/>
              <w:jc w:val="center"/>
              <w:rPr>
                <w:b/>
                <w:color w:val="000000"/>
                <w:sz w:val="20"/>
                <w:szCs w:val="20"/>
              </w:rPr>
            </w:pPr>
            <w:r w:rsidRPr="00FF6AD2">
              <w:rPr>
                <w:b/>
                <w:color w:val="000000"/>
                <w:sz w:val="20"/>
                <w:szCs w:val="20"/>
              </w:rPr>
              <w:t>TISSUE</w:t>
            </w:r>
          </w:p>
        </w:tc>
        <w:tc>
          <w:tcPr>
            <w:tcW w:w="1275" w:type="dxa"/>
            <w:tcBorders>
              <w:top w:val="single" w:sz="4" w:space="0" w:color="auto"/>
              <w:bottom w:val="single" w:sz="4" w:space="0" w:color="auto"/>
            </w:tcBorders>
            <w:vAlign w:val="center"/>
          </w:tcPr>
          <w:p w14:paraId="19B57B68" w14:textId="5A2B0CF9" w:rsidR="00FF6AD2" w:rsidRPr="00FF6AD2" w:rsidRDefault="00FF6AD2" w:rsidP="00FF6AD2">
            <w:pPr>
              <w:pBdr>
                <w:top w:val="nil"/>
                <w:left w:val="nil"/>
                <w:bottom w:val="nil"/>
                <w:right w:val="nil"/>
                <w:between w:val="nil"/>
              </w:pBdr>
              <w:spacing w:after="120" w:line="276" w:lineRule="auto"/>
              <w:ind w:left="-110" w:right="-108"/>
              <w:jc w:val="center"/>
              <w:rPr>
                <w:b/>
                <w:color w:val="000000"/>
                <w:sz w:val="20"/>
                <w:szCs w:val="20"/>
              </w:rPr>
            </w:pPr>
            <w:r w:rsidRPr="00FF6AD2">
              <w:rPr>
                <w:b/>
                <w:color w:val="000000"/>
                <w:sz w:val="20"/>
                <w:szCs w:val="20"/>
              </w:rPr>
              <w:t>LOCAL (COUNTRY)</w:t>
            </w:r>
          </w:p>
        </w:tc>
        <w:tc>
          <w:tcPr>
            <w:tcW w:w="3119" w:type="dxa"/>
            <w:tcBorders>
              <w:top w:val="single" w:sz="4" w:space="0" w:color="auto"/>
              <w:bottom w:val="single" w:sz="4" w:space="0" w:color="auto"/>
            </w:tcBorders>
            <w:vAlign w:val="center"/>
          </w:tcPr>
          <w:p w14:paraId="20BA6FCA" w14:textId="1A1623D0" w:rsidR="00FF6AD2" w:rsidRPr="00FF6AD2" w:rsidRDefault="001237A7" w:rsidP="00A03BF1">
            <w:pPr>
              <w:pBdr>
                <w:top w:val="nil"/>
                <w:left w:val="nil"/>
                <w:bottom w:val="nil"/>
                <w:right w:val="nil"/>
                <w:between w:val="nil"/>
              </w:pBdr>
              <w:spacing w:after="120" w:line="276" w:lineRule="auto"/>
              <w:jc w:val="center"/>
              <w:rPr>
                <w:b/>
                <w:color w:val="000000"/>
                <w:sz w:val="20"/>
                <w:szCs w:val="20"/>
              </w:rPr>
            </w:pPr>
            <w:r>
              <w:rPr>
                <w:b/>
                <w:color w:val="000000"/>
                <w:sz w:val="20"/>
                <w:szCs w:val="20"/>
              </w:rPr>
              <w:t>SUMMARY PROPOSAL</w:t>
            </w:r>
            <w:r w:rsidR="00FE2487">
              <w:rPr>
                <w:b/>
                <w:color w:val="000000"/>
                <w:sz w:val="20"/>
                <w:szCs w:val="20"/>
              </w:rPr>
              <w:t>:</w:t>
            </w:r>
          </w:p>
        </w:tc>
        <w:tc>
          <w:tcPr>
            <w:tcW w:w="2551" w:type="dxa"/>
            <w:tcBorders>
              <w:top w:val="single" w:sz="4" w:space="0" w:color="auto"/>
              <w:bottom w:val="single" w:sz="4" w:space="0" w:color="auto"/>
            </w:tcBorders>
            <w:vAlign w:val="center"/>
          </w:tcPr>
          <w:p w14:paraId="624C01B2" w14:textId="39FC57A0" w:rsidR="00FF6AD2" w:rsidRPr="00FF6AD2" w:rsidRDefault="00FF6AD2" w:rsidP="00A03BF1">
            <w:pPr>
              <w:pBdr>
                <w:top w:val="nil"/>
                <w:left w:val="nil"/>
                <w:bottom w:val="nil"/>
                <w:right w:val="nil"/>
                <w:between w:val="nil"/>
              </w:pBdr>
              <w:spacing w:after="120" w:line="276" w:lineRule="auto"/>
              <w:jc w:val="center"/>
              <w:rPr>
                <w:b/>
                <w:color w:val="000000"/>
                <w:sz w:val="20"/>
                <w:szCs w:val="20"/>
              </w:rPr>
            </w:pPr>
            <w:r w:rsidRPr="00FF6AD2">
              <w:rPr>
                <w:b/>
                <w:color w:val="000000"/>
                <w:sz w:val="20"/>
                <w:szCs w:val="20"/>
              </w:rPr>
              <w:t>SUMMARY RESULT</w:t>
            </w:r>
          </w:p>
        </w:tc>
        <w:tc>
          <w:tcPr>
            <w:tcW w:w="1706" w:type="dxa"/>
            <w:tcBorders>
              <w:top w:val="single" w:sz="4" w:space="0" w:color="auto"/>
              <w:bottom w:val="single" w:sz="4" w:space="0" w:color="auto"/>
            </w:tcBorders>
            <w:vAlign w:val="center"/>
          </w:tcPr>
          <w:p w14:paraId="18E9FD5B" w14:textId="07DED515" w:rsidR="00FF6AD2" w:rsidRPr="00FF6AD2" w:rsidRDefault="00FF6AD2" w:rsidP="00A03BF1">
            <w:pPr>
              <w:pBdr>
                <w:top w:val="nil"/>
                <w:left w:val="nil"/>
                <w:bottom w:val="nil"/>
                <w:right w:val="nil"/>
                <w:between w:val="nil"/>
              </w:pBdr>
              <w:spacing w:after="120" w:line="276" w:lineRule="auto"/>
              <w:jc w:val="center"/>
              <w:rPr>
                <w:b/>
                <w:color w:val="000000"/>
                <w:sz w:val="20"/>
                <w:szCs w:val="20"/>
              </w:rPr>
            </w:pPr>
            <w:r w:rsidRPr="00FF6AD2">
              <w:rPr>
                <w:b/>
                <w:color w:val="000000"/>
                <w:sz w:val="20"/>
                <w:szCs w:val="20"/>
              </w:rPr>
              <w:t>REFERENCE</w:t>
            </w:r>
          </w:p>
        </w:tc>
      </w:tr>
      <w:tr w:rsidR="004B63EC" w:rsidRPr="009B27AA" w14:paraId="3C19A2D1" w14:textId="77777777" w:rsidTr="00E136C6">
        <w:trPr>
          <w:jc w:val="center"/>
        </w:trPr>
        <w:tc>
          <w:tcPr>
            <w:tcW w:w="1129" w:type="dxa"/>
            <w:vMerge w:val="restart"/>
            <w:tcBorders>
              <w:top w:val="single" w:sz="4" w:space="0" w:color="auto"/>
            </w:tcBorders>
            <w:vAlign w:val="center"/>
          </w:tcPr>
          <w:p w14:paraId="22D19CDC" w14:textId="3D83D027" w:rsidR="004B63EC" w:rsidRPr="00A03BF1" w:rsidRDefault="004B63EC" w:rsidP="00000D1B">
            <w:pPr>
              <w:pBdr>
                <w:top w:val="nil"/>
                <w:left w:val="nil"/>
                <w:bottom w:val="nil"/>
                <w:right w:val="nil"/>
                <w:between w:val="nil"/>
              </w:pBdr>
              <w:spacing w:after="120" w:line="276" w:lineRule="auto"/>
              <w:jc w:val="center"/>
              <w:rPr>
                <w:b/>
                <w:color w:val="000000"/>
                <w:sz w:val="22"/>
                <w:szCs w:val="22"/>
              </w:rPr>
            </w:pPr>
            <w:r w:rsidRPr="00536F03">
              <w:rPr>
                <w:b/>
                <w:color w:val="000000"/>
                <w:sz w:val="20"/>
                <w:szCs w:val="20"/>
              </w:rPr>
              <w:t>FISH</w:t>
            </w:r>
          </w:p>
        </w:tc>
        <w:tc>
          <w:tcPr>
            <w:tcW w:w="1843" w:type="dxa"/>
            <w:tcBorders>
              <w:top w:val="single" w:sz="4" w:space="0" w:color="auto"/>
            </w:tcBorders>
            <w:shd w:val="clear" w:color="auto" w:fill="F2F2F2" w:themeFill="background1" w:themeFillShade="F2"/>
            <w:vAlign w:val="center"/>
          </w:tcPr>
          <w:p w14:paraId="5E7B6422" w14:textId="7678A67C" w:rsidR="004B63EC" w:rsidRPr="00FF6AD2" w:rsidRDefault="004B63EC" w:rsidP="00000D1B">
            <w:pPr>
              <w:pBdr>
                <w:top w:val="nil"/>
                <w:left w:val="nil"/>
                <w:bottom w:val="nil"/>
                <w:right w:val="nil"/>
                <w:between w:val="nil"/>
              </w:pBdr>
              <w:spacing w:after="120" w:line="276" w:lineRule="auto"/>
              <w:jc w:val="center"/>
              <w:rPr>
                <w:b/>
                <w:color w:val="000000"/>
                <w:sz w:val="20"/>
                <w:szCs w:val="20"/>
              </w:rPr>
            </w:pPr>
            <w:r>
              <w:rPr>
                <w:i/>
                <w:sz w:val="20"/>
                <w:szCs w:val="20"/>
              </w:rPr>
              <w:t>Thunnus thynnus</w:t>
            </w:r>
          </w:p>
        </w:tc>
        <w:tc>
          <w:tcPr>
            <w:tcW w:w="1276" w:type="dxa"/>
            <w:tcBorders>
              <w:top w:val="single" w:sz="4" w:space="0" w:color="auto"/>
            </w:tcBorders>
            <w:shd w:val="clear" w:color="auto" w:fill="F2F2F2" w:themeFill="background1" w:themeFillShade="F2"/>
            <w:vAlign w:val="center"/>
          </w:tcPr>
          <w:p w14:paraId="3EBD5FBE" w14:textId="0EF0BB13" w:rsidR="004B63EC" w:rsidRPr="00FF6AD2" w:rsidRDefault="004B63EC" w:rsidP="00000D1B">
            <w:pPr>
              <w:pBdr>
                <w:top w:val="nil"/>
                <w:left w:val="nil"/>
                <w:bottom w:val="nil"/>
                <w:right w:val="nil"/>
                <w:between w:val="nil"/>
              </w:pBdr>
              <w:spacing w:after="120" w:line="276" w:lineRule="auto"/>
              <w:ind w:left="-111" w:right="-106"/>
              <w:jc w:val="center"/>
              <w:rPr>
                <w:b/>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tcBorders>
              <w:top w:val="single" w:sz="4" w:space="0" w:color="auto"/>
            </w:tcBorders>
            <w:shd w:val="clear" w:color="auto" w:fill="F2F2F2" w:themeFill="background1" w:themeFillShade="F2"/>
            <w:vAlign w:val="center"/>
          </w:tcPr>
          <w:p w14:paraId="020ECB60" w14:textId="71ED3C90" w:rsidR="004B63EC" w:rsidRPr="00000D1B" w:rsidRDefault="004B63EC" w:rsidP="00000D1B">
            <w:pPr>
              <w:pBdr>
                <w:top w:val="nil"/>
                <w:left w:val="nil"/>
                <w:bottom w:val="nil"/>
                <w:right w:val="nil"/>
                <w:between w:val="nil"/>
              </w:pBdr>
              <w:spacing w:after="120" w:line="276" w:lineRule="auto"/>
              <w:jc w:val="center"/>
              <w:rPr>
                <w:bCs/>
                <w:color w:val="000000"/>
                <w:sz w:val="20"/>
                <w:szCs w:val="20"/>
              </w:rPr>
            </w:pPr>
            <w:r>
              <w:rPr>
                <w:bCs/>
                <w:color w:val="000000"/>
                <w:sz w:val="20"/>
                <w:szCs w:val="20"/>
              </w:rPr>
              <w:t>Muscle and liver</w:t>
            </w:r>
          </w:p>
        </w:tc>
        <w:tc>
          <w:tcPr>
            <w:tcW w:w="1275" w:type="dxa"/>
            <w:tcBorders>
              <w:top w:val="single" w:sz="4" w:space="0" w:color="auto"/>
            </w:tcBorders>
            <w:shd w:val="clear" w:color="auto" w:fill="F2F2F2" w:themeFill="background1" w:themeFillShade="F2"/>
            <w:vAlign w:val="center"/>
          </w:tcPr>
          <w:p w14:paraId="0C9CE311" w14:textId="665028C1" w:rsidR="004B63EC" w:rsidRPr="00000D1B" w:rsidRDefault="004B63EC" w:rsidP="00000D1B">
            <w:pPr>
              <w:pBdr>
                <w:top w:val="nil"/>
                <w:left w:val="nil"/>
                <w:bottom w:val="nil"/>
                <w:right w:val="nil"/>
                <w:between w:val="nil"/>
              </w:pBdr>
              <w:spacing w:after="120" w:line="276" w:lineRule="auto"/>
              <w:ind w:left="-110" w:right="-108"/>
              <w:jc w:val="center"/>
              <w:rPr>
                <w:bCs/>
                <w:color w:val="000000"/>
                <w:sz w:val="20"/>
                <w:szCs w:val="20"/>
              </w:rPr>
            </w:pPr>
            <w:r w:rsidRPr="00000D1B">
              <w:rPr>
                <w:bCs/>
                <w:color w:val="000000"/>
                <w:sz w:val="20"/>
                <w:szCs w:val="20"/>
              </w:rPr>
              <w:t>Italy</w:t>
            </w:r>
          </w:p>
        </w:tc>
        <w:tc>
          <w:tcPr>
            <w:tcW w:w="3119" w:type="dxa"/>
            <w:tcBorders>
              <w:top w:val="single" w:sz="4" w:space="0" w:color="auto"/>
            </w:tcBorders>
            <w:shd w:val="clear" w:color="auto" w:fill="F2F2F2" w:themeFill="background1" w:themeFillShade="F2"/>
          </w:tcPr>
          <w:p w14:paraId="79BFB7B3" w14:textId="2437B64E" w:rsidR="004B63EC" w:rsidRPr="00883B2D" w:rsidRDefault="004B63EC" w:rsidP="00883B2D">
            <w:pPr>
              <w:autoSpaceDE w:val="0"/>
              <w:autoSpaceDN w:val="0"/>
              <w:adjustRightInd w:val="0"/>
              <w:jc w:val="center"/>
              <w:rPr>
                <w:rFonts w:ascii="AdvGulliv-R" w:eastAsiaTheme="minorHAnsi" w:hAnsi="AdvGulliv-R" w:cs="AdvGulliv-R"/>
                <w:sz w:val="16"/>
                <w:szCs w:val="16"/>
                <w:lang w:eastAsia="en-US"/>
              </w:rPr>
            </w:pPr>
            <w:r w:rsidRPr="00883B2D">
              <w:rPr>
                <w:bCs/>
                <w:color w:val="000000"/>
                <w:sz w:val="20"/>
                <w:szCs w:val="20"/>
              </w:rPr>
              <w:t>To assess the changes occurring during farming</w:t>
            </w:r>
            <w:r>
              <w:rPr>
                <w:bCs/>
                <w:color w:val="000000"/>
                <w:sz w:val="20"/>
                <w:szCs w:val="20"/>
              </w:rPr>
              <w:t>,</w:t>
            </w:r>
            <w:r w:rsidRPr="00883B2D">
              <w:rPr>
                <w:bCs/>
                <w:color w:val="000000"/>
                <w:sz w:val="20"/>
                <w:szCs w:val="20"/>
              </w:rPr>
              <w:t xml:space="preserve"> </w:t>
            </w:r>
            <w:r w:rsidR="0086053F">
              <w:rPr>
                <w:rFonts w:eastAsiaTheme="minorHAnsi"/>
                <w:sz w:val="20"/>
                <w:szCs w:val="20"/>
                <w:lang w:eastAsia="en-US"/>
              </w:rPr>
              <w:t>investigate</w:t>
            </w:r>
            <w:r>
              <w:rPr>
                <w:rFonts w:eastAsiaTheme="minorHAnsi"/>
                <w:sz w:val="20"/>
                <w:szCs w:val="20"/>
                <w:lang w:eastAsia="en-US"/>
              </w:rPr>
              <w:t xml:space="preserve"> the </w:t>
            </w:r>
            <w:r w:rsidRPr="00883B2D">
              <w:rPr>
                <w:rFonts w:eastAsiaTheme="minorHAnsi"/>
                <w:sz w:val="20"/>
                <w:szCs w:val="20"/>
                <w:lang w:eastAsia="en-US"/>
              </w:rPr>
              <w:t xml:space="preserve">sources of nutrition for </w:t>
            </w:r>
            <w:r w:rsidRPr="00883B2D">
              <w:rPr>
                <w:rFonts w:eastAsiaTheme="minorHAnsi"/>
                <w:i/>
                <w:iCs/>
                <w:sz w:val="20"/>
                <w:szCs w:val="20"/>
                <w:lang w:eastAsia="en-US"/>
              </w:rPr>
              <w:t xml:space="preserve">T. </w:t>
            </w:r>
            <w:proofErr w:type="spellStart"/>
            <w:r w:rsidRPr="00883B2D">
              <w:rPr>
                <w:rFonts w:eastAsiaTheme="minorHAnsi"/>
                <w:i/>
                <w:iCs/>
                <w:sz w:val="20"/>
                <w:szCs w:val="20"/>
                <w:lang w:eastAsia="en-US"/>
              </w:rPr>
              <w:t>thynmus</w:t>
            </w:r>
            <w:proofErr w:type="spellEnd"/>
            <w:r>
              <w:rPr>
                <w:rFonts w:ascii="AdvGulliv-R" w:eastAsiaTheme="minorHAnsi" w:hAnsi="AdvGulliv-R" w:cs="AdvGulliv-R"/>
                <w:sz w:val="16"/>
                <w:szCs w:val="16"/>
                <w:lang w:eastAsia="en-US"/>
              </w:rPr>
              <w:t>.</w:t>
            </w:r>
          </w:p>
        </w:tc>
        <w:tc>
          <w:tcPr>
            <w:tcW w:w="2551" w:type="dxa"/>
            <w:tcBorders>
              <w:top w:val="single" w:sz="4" w:space="0" w:color="auto"/>
            </w:tcBorders>
            <w:shd w:val="clear" w:color="auto" w:fill="F2F2F2" w:themeFill="background1" w:themeFillShade="F2"/>
            <w:vAlign w:val="center"/>
          </w:tcPr>
          <w:p w14:paraId="668B9071" w14:textId="77777777" w:rsidR="004B63EC" w:rsidRDefault="004B63EC" w:rsidP="00000D1B">
            <w:pPr>
              <w:pBdr>
                <w:top w:val="nil"/>
                <w:left w:val="nil"/>
                <w:bottom w:val="nil"/>
                <w:right w:val="nil"/>
                <w:between w:val="nil"/>
              </w:pBdr>
              <w:spacing w:line="276" w:lineRule="auto"/>
              <w:ind w:left="-108" w:right="-108"/>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w:t>
            </w:r>
            <w:r>
              <w:rPr>
                <w:color w:val="000000"/>
                <w:sz w:val="20"/>
                <w:szCs w:val="20"/>
                <w:vertAlign w:val="subscript"/>
              </w:rPr>
              <w:t>tive</w:t>
            </w:r>
          </w:p>
          <w:p w14:paraId="4AF74B86" w14:textId="72B2D251" w:rsidR="00E136C6" w:rsidRPr="00E136C6" w:rsidRDefault="004B63EC" w:rsidP="00E136C6">
            <w:pPr>
              <w:pBdr>
                <w:top w:val="nil"/>
                <w:left w:val="nil"/>
                <w:bottom w:val="nil"/>
                <w:right w:val="nil"/>
                <w:between w:val="nil"/>
              </w:pBdr>
              <w:spacing w:after="120"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tcBorders>
              <w:top w:val="single" w:sz="4" w:space="0" w:color="auto"/>
            </w:tcBorders>
            <w:shd w:val="clear" w:color="auto" w:fill="F2F2F2" w:themeFill="background1" w:themeFillShade="F2"/>
            <w:vAlign w:val="center"/>
          </w:tcPr>
          <w:p w14:paraId="0C1927D4" w14:textId="593631ED" w:rsidR="004B63EC" w:rsidRPr="009B27AA" w:rsidRDefault="009B27AA" w:rsidP="009B27AA">
            <w:pPr>
              <w:pBdr>
                <w:top w:val="nil"/>
                <w:left w:val="nil"/>
                <w:bottom w:val="nil"/>
                <w:right w:val="nil"/>
                <w:between w:val="nil"/>
              </w:pBdr>
              <w:spacing w:after="120" w:line="276" w:lineRule="auto"/>
              <w:jc w:val="center"/>
              <w:rPr>
                <w:color w:val="000000"/>
                <w:sz w:val="20"/>
                <w:szCs w:val="20"/>
                <w:lang w:val="pt-BR"/>
              </w:rPr>
            </w:pPr>
            <w:r>
              <w:rPr>
                <w:color w:val="000000"/>
                <w:sz w:val="20"/>
                <w:szCs w:val="20"/>
              </w:rPr>
              <w:fldChar w:fldCharType="begin"/>
            </w:r>
            <w:r w:rsidRPr="009B27AA">
              <w:rPr>
                <w:color w:val="000000"/>
                <w:sz w:val="20"/>
                <w:szCs w:val="20"/>
                <w:lang w:val="pt-BR"/>
              </w:rPr>
              <w:instrText xml:space="preserve"> ADDIN ZOTERO_ITEM CSL_CITATION {"citationID":"cOH2i7pf","properties":{"formattedCitation":"(Vizzini, Tramati &amp; Mazzola, 2010)","plainCitation":"(Vizzini, Tramati &amp; Mazzola, 2010)","noteIndex":0},"citationItems":[{"id":180,"uris":["http://zotero.org/users/9061160/items/Q2STJY66"],"itemData":{"id":180,"type":"article-journal","abstract":"Stable isotope composition (d13C and d15N) and persistent pollutants, including heavy metals (Hg, Cd, Pb, As, Cu, Zn) and organochlorine compounds (PCBs, HCB and p,p0-DDE), were measured in muscle and liver tissues of wild and farmed blue</w:instrText>
            </w:r>
            <w:r>
              <w:rPr>
                <w:color w:val="000000"/>
                <w:sz w:val="20"/>
                <w:szCs w:val="20"/>
              </w:rPr>
              <w:instrText>ﬁ</w:instrText>
            </w:r>
            <w:r w:rsidRPr="009B27AA">
              <w:rPr>
                <w:color w:val="000000"/>
                <w:sz w:val="20"/>
                <w:szCs w:val="20"/>
                <w:lang w:val="pt-BR"/>
              </w:rPr>
              <w:instrText xml:space="preserve">n tunas to investigate the changes occurring during the farming period and to assess the quality, in terms of contaminants, of the </w:instrText>
            </w:r>
            <w:r>
              <w:rPr>
                <w:color w:val="000000"/>
                <w:sz w:val="20"/>
                <w:szCs w:val="20"/>
              </w:rPr>
              <w:instrText>ﬁ</w:instrText>
            </w:r>
            <w:r w:rsidRPr="009B27AA">
              <w:rPr>
                <w:color w:val="000000"/>
                <w:sz w:val="20"/>
                <w:szCs w:val="20"/>
                <w:lang w:val="pt-BR"/>
              </w:rPr>
              <w:instrText xml:space="preserve">nal product. At the end of farming, the food supplied was clearly integrated into the tuna tissues as derived from stable isotope signatures, and, contrarily to the literature </w:instrText>
            </w:r>
            <w:r>
              <w:rPr>
                <w:color w:val="000000"/>
                <w:sz w:val="20"/>
                <w:szCs w:val="20"/>
              </w:rPr>
              <w:instrText>ﬁ</w:instrText>
            </w:r>
            <w:r w:rsidRPr="009B27AA">
              <w:rPr>
                <w:color w:val="000000"/>
                <w:sz w:val="20"/>
                <w:szCs w:val="20"/>
                <w:lang w:val="pt-BR"/>
              </w:rPr>
              <w:instrText xml:space="preserve">ndings obtained for other species, farmed tunas showed slight variations in persistent elements and chemical compounds in comparison with wild </w:instrText>
            </w:r>
            <w:r>
              <w:rPr>
                <w:color w:val="000000"/>
                <w:sz w:val="20"/>
                <w:szCs w:val="20"/>
              </w:rPr>
              <w:instrText>ﬁ</w:instrText>
            </w:r>
            <w:r w:rsidRPr="009B27AA">
              <w:rPr>
                <w:color w:val="000000"/>
                <w:sz w:val="20"/>
                <w:szCs w:val="20"/>
                <w:lang w:val="pt-BR"/>
              </w:rPr>
              <w:instrText xml:space="preserve">sh. The low tissue turnover of long-lived adult tunas together with the short farming period appeared to act to preserve the initial low contamination levels in the absence of new, elevated contamination sources (feed and environment), determining an acceptable quality of the </w:instrText>
            </w:r>
            <w:r>
              <w:rPr>
                <w:color w:val="000000"/>
                <w:sz w:val="20"/>
                <w:szCs w:val="20"/>
              </w:rPr>
              <w:instrText>ﬁ</w:instrText>
            </w:r>
            <w:r w:rsidRPr="009B27AA">
              <w:rPr>
                <w:color w:val="000000"/>
                <w:sz w:val="20"/>
                <w:szCs w:val="20"/>
                <w:lang w:val="pt-BR"/>
              </w:rPr>
              <w:instrText xml:space="preserve">nal aquaculture product.","container-title":"Chemosphere","DOI":"10.1016/j.chemosphere.2009.12.041","ISSN":"00456535","issue":"10","journalAbbreviation":"Chemosphere","language":"en","page":"1236-1243","source":"DOI.org (Crossref)","title":"Comparison of stable isotope composition and inorganic and organic contaminant levels in wild and farmed bluefin tuna, Thunnus thynnus, in the Mediterranean Sea","volume":"78","author":[{"family":"Vizzini","given":"Salvatrice"},{"family":"Tramati","given":"Cecilia"},{"family":"Mazzola","given":"Antonio"}],"issued":{"date-parts":[["2010",3]]}}}],"schema":"https://github.com/citation-style-language/schema/raw/master/csl-citation.json"} </w:instrText>
            </w:r>
            <w:r>
              <w:rPr>
                <w:color w:val="000000"/>
                <w:sz w:val="20"/>
                <w:szCs w:val="20"/>
              </w:rPr>
              <w:fldChar w:fldCharType="separate"/>
            </w:r>
            <w:r w:rsidRPr="009B27AA">
              <w:rPr>
                <w:sz w:val="20"/>
                <w:lang w:val="pt-BR"/>
              </w:rPr>
              <w:t>(Vizzini, Tramati &amp; Mazzola, 2010)</w:t>
            </w:r>
            <w:r>
              <w:rPr>
                <w:color w:val="000000"/>
                <w:sz w:val="20"/>
                <w:szCs w:val="20"/>
              </w:rPr>
              <w:fldChar w:fldCharType="end"/>
            </w:r>
            <w:r w:rsidR="00E136C6" w:rsidRPr="009B27AA">
              <w:rPr>
                <w:color w:val="000000"/>
                <w:sz w:val="20"/>
                <w:szCs w:val="20"/>
                <w:vertAlign w:val="superscript"/>
                <w:lang w:val="pt-BR"/>
              </w:rPr>
              <w:t>*</w:t>
            </w:r>
          </w:p>
        </w:tc>
      </w:tr>
      <w:tr w:rsidR="004B63EC" w14:paraId="0EF194CE" w14:textId="77777777" w:rsidTr="00E136C6">
        <w:trPr>
          <w:jc w:val="center"/>
        </w:trPr>
        <w:tc>
          <w:tcPr>
            <w:tcW w:w="1129" w:type="dxa"/>
            <w:vMerge/>
            <w:vAlign w:val="center"/>
          </w:tcPr>
          <w:p w14:paraId="71921E6F" w14:textId="539DA6BE" w:rsidR="004B63EC" w:rsidRPr="009B27AA" w:rsidRDefault="004B63EC" w:rsidP="00000D1B">
            <w:pPr>
              <w:pBdr>
                <w:top w:val="nil"/>
                <w:left w:val="nil"/>
                <w:bottom w:val="nil"/>
                <w:right w:val="nil"/>
                <w:between w:val="nil"/>
              </w:pBdr>
              <w:spacing w:after="120" w:line="276" w:lineRule="auto"/>
              <w:jc w:val="center"/>
              <w:rPr>
                <w:b/>
                <w:color w:val="000000"/>
                <w:sz w:val="22"/>
                <w:szCs w:val="22"/>
                <w:lang w:val="pt-BR"/>
              </w:rPr>
            </w:pPr>
          </w:p>
        </w:tc>
        <w:tc>
          <w:tcPr>
            <w:tcW w:w="1843" w:type="dxa"/>
            <w:vAlign w:val="center"/>
          </w:tcPr>
          <w:p w14:paraId="0DA68B14" w14:textId="17F5204C" w:rsidR="004B63EC" w:rsidRPr="002A69DD" w:rsidRDefault="004B63EC" w:rsidP="00000D1B">
            <w:pPr>
              <w:spacing w:after="120" w:line="276" w:lineRule="auto"/>
              <w:jc w:val="center"/>
              <w:rPr>
                <w:i/>
                <w:sz w:val="20"/>
                <w:szCs w:val="20"/>
              </w:rPr>
            </w:pPr>
            <w:r w:rsidRPr="002A69DD">
              <w:rPr>
                <w:i/>
                <w:sz w:val="20"/>
                <w:szCs w:val="20"/>
              </w:rPr>
              <w:t xml:space="preserve">Salmo trutta; </w:t>
            </w:r>
          </w:p>
        </w:tc>
        <w:tc>
          <w:tcPr>
            <w:tcW w:w="1276" w:type="dxa"/>
            <w:vAlign w:val="center"/>
          </w:tcPr>
          <w:p w14:paraId="49323064" w14:textId="67997427" w:rsidR="004B63EC" w:rsidRPr="002A69DD" w:rsidRDefault="004B63EC" w:rsidP="00000D1B">
            <w:pPr>
              <w:pBdr>
                <w:top w:val="nil"/>
                <w:left w:val="nil"/>
                <w:bottom w:val="nil"/>
                <w:right w:val="nil"/>
                <w:between w:val="nil"/>
              </w:pBdr>
              <w:spacing w:after="120" w:line="276" w:lineRule="auto"/>
              <w:jc w:val="center"/>
              <w:rPr>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34</w:t>
            </w:r>
            <w:r w:rsidRPr="002A69DD">
              <w:rPr>
                <w:color w:val="000000"/>
                <w:sz w:val="20"/>
                <w:szCs w:val="20"/>
              </w:rPr>
              <w:t xml:space="preserve">S </w:t>
            </w:r>
          </w:p>
        </w:tc>
        <w:tc>
          <w:tcPr>
            <w:tcW w:w="1276" w:type="dxa"/>
            <w:vAlign w:val="center"/>
          </w:tcPr>
          <w:p w14:paraId="25775A06" w14:textId="4F7CF2C4" w:rsidR="004B63EC" w:rsidRPr="002A69DD" w:rsidRDefault="004B63EC"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Scale</w:t>
            </w:r>
          </w:p>
        </w:tc>
        <w:tc>
          <w:tcPr>
            <w:tcW w:w="1275" w:type="dxa"/>
            <w:vAlign w:val="center"/>
          </w:tcPr>
          <w:p w14:paraId="6EC56F05" w14:textId="423CEBB1" w:rsidR="004B63EC" w:rsidRPr="002A69DD" w:rsidRDefault="004B63EC"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Poland</w:t>
            </w:r>
          </w:p>
        </w:tc>
        <w:tc>
          <w:tcPr>
            <w:tcW w:w="3119" w:type="dxa"/>
          </w:tcPr>
          <w:p w14:paraId="26778869" w14:textId="43E253D7" w:rsidR="004B63EC" w:rsidRPr="002421B8" w:rsidRDefault="004B63EC" w:rsidP="00000D1B">
            <w:pPr>
              <w:pBdr>
                <w:top w:val="nil"/>
                <w:left w:val="nil"/>
                <w:bottom w:val="nil"/>
                <w:right w:val="nil"/>
                <w:between w:val="nil"/>
              </w:pBdr>
              <w:spacing w:line="276" w:lineRule="auto"/>
              <w:jc w:val="center"/>
              <w:rPr>
                <w:color w:val="000000"/>
                <w:sz w:val="20"/>
                <w:szCs w:val="20"/>
              </w:rPr>
            </w:pPr>
            <w:r>
              <w:rPr>
                <w:color w:val="000000"/>
                <w:sz w:val="20"/>
                <w:szCs w:val="20"/>
              </w:rPr>
              <w:t>To analyze t</w:t>
            </w:r>
            <w:r w:rsidRPr="000B77B0">
              <w:rPr>
                <w:color w:val="000000"/>
                <w:sz w:val="20"/>
                <w:szCs w:val="20"/>
              </w:rPr>
              <w:t xml:space="preserve">he relationship between </w:t>
            </w:r>
            <w:r w:rsidR="0086053F">
              <w:rPr>
                <w:color w:val="000000"/>
                <w:sz w:val="20"/>
                <w:szCs w:val="20"/>
              </w:rPr>
              <w:t>sulfur</w:t>
            </w:r>
            <w:r w:rsidRPr="000B77B0">
              <w:rPr>
                <w:color w:val="000000"/>
                <w:sz w:val="20"/>
                <w:szCs w:val="20"/>
              </w:rPr>
              <w:t xml:space="preserve"> in </w:t>
            </w:r>
            <w:r w:rsidR="0086053F">
              <w:rPr>
                <w:color w:val="000000"/>
                <w:sz w:val="20"/>
                <w:szCs w:val="20"/>
              </w:rPr>
              <w:t>sulfate</w:t>
            </w:r>
            <w:r w:rsidRPr="000B77B0">
              <w:rPr>
                <w:color w:val="000000"/>
                <w:sz w:val="20"/>
                <w:szCs w:val="20"/>
              </w:rPr>
              <w:t xml:space="preserve"> dissolved in water and</w:t>
            </w:r>
            <w:r>
              <w:rPr>
                <w:color w:val="000000"/>
                <w:sz w:val="20"/>
                <w:szCs w:val="20"/>
              </w:rPr>
              <w:t xml:space="preserve"> in </w:t>
            </w:r>
            <w:r w:rsidRPr="000B77B0">
              <w:rPr>
                <w:color w:val="000000"/>
                <w:sz w:val="20"/>
                <w:szCs w:val="20"/>
              </w:rPr>
              <w:t>fish</w:t>
            </w:r>
            <w:r>
              <w:rPr>
                <w:color w:val="000000"/>
                <w:sz w:val="20"/>
                <w:szCs w:val="20"/>
              </w:rPr>
              <w:t xml:space="preserve"> scales</w:t>
            </w:r>
          </w:p>
        </w:tc>
        <w:tc>
          <w:tcPr>
            <w:tcW w:w="2551" w:type="dxa"/>
            <w:vAlign w:val="center"/>
          </w:tcPr>
          <w:p w14:paraId="5654B2A4" w14:textId="4AE69A81" w:rsidR="004B63EC" w:rsidRDefault="004B63EC" w:rsidP="00000D1B">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00D277DD">
              <w:rPr>
                <w:color w:val="000000"/>
                <w:sz w:val="20"/>
                <w:szCs w:val="20"/>
                <w:vertAlign w:val="subscript"/>
              </w:rPr>
              <w:t>-river</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w:t>
            </w:r>
          </w:p>
          <w:p w14:paraId="03C33854" w14:textId="7205FFEE" w:rsidR="00BE5390" w:rsidRPr="00BE5390" w:rsidRDefault="004B63EC" w:rsidP="00BE5390">
            <w:pPr>
              <w:pBdr>
                <w:top w:val="nil"/>
                <w:left w:val="nil"/>
                <w:bottom w:val="nil"/>
                <w:right w:val="nil"/>
                <w:between w:val="nil"/>
              </w:pBdr>
              <w:spacing w:after="120" w:line="276" w:lineRule="auto"/>
              <w:jc w:val="center"/>
              <w:rPr>
                <w:color w:val="000000"/>
                <w:sz w:val="20"/>
                <w:szCs w:val="20"/>
                <w:vertAlign w:val="subscript"/>
              </w:rPr>
            </w:pPr>
            <w:r w:rsidRPr="00193232">
              <w:rPr>
                <w:i/>
                <w:iCs/>
                <w:color w:val="000000"/>
                <w:sz w:val="20"/>
                <w:szCs w:val="20"/>
              </w:rPr>
              <w:t>δ</w:t>
            </w:r>
            <w:r>
              <w:rPr>
                <w:color w:val="000000"/>
                <w:sz w:val="20"/>
                <w:szCs w:val="20"/>
                <w:vertAlign w:val="superscript"/>
              </w:rPr>
              <w:t>34</w:t>
            </w:r>
            <w:r>
              <w:rPr>
                <w:color w:val="000000"/>
                <w:sz w:val="20"/>
                <w:szCs w:val="20"/>
              </w:rPr>
              <w:t>S</w:t>
            </w:r>
            <w:r w:rsidRPr="00193232">
              <w:rPr>
                <w:color w:val="000000"/>
                <w:sz w:val="20"/>
                <w:szCs w:val="20"/>
                <w:vertAlign w:val="subscript"/>
              </w:rPr>
              <w:t>wild</w:t>
            </w:r>
            <w:r w:rsidR="00D277DD">
              <w:rPr>
                <w:color w:val="000000"/>
                <w:sz w:val="20"/>
                <w:szCs w:val="20"/>
                <w:vertAlign w:val="subscript"/>
              </w:rPr>
              <w:t>-river</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Pr>
                <w:color w:val="000000"/>
                <w:sz w:val="20"/>
                <w:szCs w:val="20"/>
                <w:vertAlign w:val="superscript"/>
              </w:rPr>
              <w:t>34</w:t>
            </w:r>
            <w:r>
              <w:rPr>
                <w:color w:val="000000"/>
                <w:sz w:val="20"/>
                <w:szCs w:val="20"/>
              </w:rPr>
              <w:t>S</w:t>
            </w:r>
            <w:r w:rsidRPr="00193232">
              <w:rPr>
                <w:color w:val="000000"/>
                <w:sz w:val="20"/>
                <w:szCs w:val="20"/>
                <w:vertAlign w:val="subscript"/>
              </w:rPr>
              <w:t>captive</w:t>
            </w:r>
          </w:p>
        </w:tc>
        <w:tc>
          <w:tcPr>
            <w:tcW w:w="1706" w:type="dxa"/>
            <w:vAlign w:val="center"/>
          </w:tcPr>
          <w:p w14:paraId="73549553" w14:textId="00B0B049" w:rsidR="004B63EC" w:rsidRPr="002A69DD" w:rsidRDefault="009B27AA" w:rsidP="009B27AA">
            <w:pPr>
              <w:pBdr>
                <w:top w:val="nil"/>
                <w:left w:val="nil"/>
                <w:bottom w:val="nil"/>
                <w:right w:val="nil"/>
                <w:between w:val="nil"/>
              </w:pBdr>
              <w:spacing w:after="120" w:line="276" w:lineRule="auto"/>
              <w:ind w:left="-111" w:right="-112"/>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{"citationID":"IUCeSnMT","properties":{"formattedCitation":"(Trembaczowski &amp; Niezgoda, 2011)","plainCitation":"(Trembaczowski &amp; Niezgoda, 2011)","noteIndex":0},"citationItems":[{"id":71,"uris":["http://zotero.org/users/9061160/items/E6J2F6CA"],"itemData":{"id":71,"type":"article-journal","container-title":"Isotopes in Environmental and Health Studies","DOI":"10.1080/10256016.2011.572166","ISSN":"1025-6016, 1477-2639","issue":"2","journalAbbreviation":"Isotopes in Environmental and Health Studies","language":"en","page":"189-213","source":"DOI.org (Crossref)","title":"Relationship between isotope composition of sulphur in sulphate dissolved in river water and sulphur extracted from fish scales","volume":"47","author":[{"family":"Trembaczowski","given":"Andrzej"},{"family":"Niezgoda","given":"Halina"}],"issued":{"date-parts":[["2011",6]]}}}],"schema":"https://github.com/citation-style-language/schema/raw/master/csl-citation.json"} </w:instrText>
            </w:r>
            <w:r>
              <w:rPr>
                <w:color w:val="000000"/>
                <w:sz w:val="20"/>
                <w:szCs w:val="20"/>
              </w:rPr>
              <w:fldChar w:fldCharType="separate"/>
            </w:r>
            <w:r w:rsidRPr="009B27AA">
              <w:rPr>
                <w:sz w:val="20"/>
              </w:rPr>
              <w:t>(Trembaczowski &amp; Niezgoda, 2011)</w:t>
            </w:r>
            <w:r>
              <w:rPr>
                <w:color w:val="000000"/>
                <w:sz w:val="20"/>
                <w:szCs w:val="20"/>
              </w:rPr>
              <w:fldChar w:fldCharType="end"/>
            </w:r>
          </w:p>
        </w:tc>
      </w:tr>
      <w:tr w:rsidR="004B63EC" w14:paraId="3F9928DA" w14:textId="77777777" w:rsidTr="00E136C6">
        <w:trPr>
          <w:jc w:val="center"/>
        </w:trPr>
        <w:tc>
          <w:tcPr>
            <w:tcW w:w="1129" w:type="dxa"/>
            <w:vMerge/>
            <w:vAlign w:val="center"/>
          </w:tcPr>
          <w:p w14:paraId="0855311C" w14:textId="77777777" w:rsidR="004B63EC" w:rsidRPr="00536F03" w:rsidRDefault="004B63EC" w:rsidP="00000D1B">
            <w:pPr>
              <w:pBdr>
                <w:top w:val="nil"/>
                <w:left w:val="nil"/>
                <w:bottom w:val="nil"/>
                <w:right w:val="nil"/>
                <w:between w:val="nil"/>
              </w:pBdr>
              <w:spacing w:after="120" w:line="276" w:lineRule="auto"/>
              <w:jc w:val="center"/>
              <w:rPr>
                <w:b/>
                <w:color w:val="000000"/>
                <w:sz w:val="20"/>
                <w:szCs w:val="20"/>
              </w:rPr>
            </w:pPr>
          </w:p>
        </w:tc>
        <w:tc>
          <w:tcPr>
            <w:tcW w:w="1843" w:type="dxa"/>
            <w:shd w:val="clear" w:color="auto" w:fill="F2F2F2" w:themeFill="background1" w:themeFillShade="F2"/>
            <w:vAlign w:val="center"/>
          </w:tcPr>
          <w:p w14:paraId="4749AC5B" w14:textId="05E2B3AE" w:rsidR="004B63EC" w:rsidRPr="001765A7" w:rsidRDefault="004B63EC" w:rsidP="00000D1B">
            <w:pPr>
              <w:spacing w:after="120" w:line="276" w:lineRule="auto"/>
              <w:jc w:val="center"/>
              <w:rPr>
                <w:i/>
                <w:sz w:val="20"/>
                <w:szCs w:val="20"/>
              </w:rPr>
            </w:pPr>
            <w:r>
              <w:rPr>
                <w:i/>
                <w:sz w:val="20"/>
                <w:szCs w:val="20"/>
              </w:rPr>
              <w:t xml:space="preserve">Belone </w:t>
            </w:r>
            <w:proofErr w:type="spellStart"/>
            <w:r>
              <w:rPr>
                <w:i/>
                <w:sz w:val="20"/>
                <w:szCs w:val="20"/>
              </w:rPr>
              <w:t>belone</w:t>
            </w:r>
            <w:proofErr w:type="spellEnd"/>
            <w:r>
              <w:rPr>
                <w:i/>
                <w:sz w:val="20"/>
                <w:szCs w:val="20"/>
              </w:rPr>
              <w:t xml:space="preserve">; </w:t>
            </w:r>
            <w:proofErr w:type="spellStart"/>
            <w:r>
              <w:rPr>
                <w:i/>
                <w:sz w:val="20"/>
                <w:szCs w:val="20"/>
              </w:rPr>
              <w:t>Boops</w:t>
            </w:r>
            <w:proofErr w:type="spellEnd"/>
            <w:r>
              <w:rPr>
                <w:i/>
                <w:sz w:val="20"/>
                <w:szCs w:val="20"/>
              </w:rPr>
              <w:t xml:space="preserve"> </w:t>
            </w:r>
            <w:proofErr w:type="spellStart"/>
            <w:r>
              <w:rPr>
                <w:i/>
                <w:sz w:val="20"/>
                <w:szCs w:val="20"/>
              </w:rPr>
              <w:t>boops</w:t>
            </w:r>
            <w:proofErr w:type="spellEnd"/>
          </w:p>
        </w:tc>
        <w:tc>
          <w:tcPr>
            <w:tcW w:w="1276" w:type="dxa"/>
            <w:shd w:val="clear" w:color="auto" w:fill="F2F2F2" w:themeFill="background1" w:themeFillShade="F2"/>
            <w:vAlign w:val="center"/>
          </w:tcPr>
          <w:p w14:paraId="7065E6D6" w14:textId="61B4451E" w:rsidR="004B63EC" w:rsidRPr="002A69DD" w:rsidRDefault="004B63EC" w:rsidP="00000D1B">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shd w:val="clear" w:color="auto" w:fill="F2F2F2" w:themeFill="background1" w:themeFillShade="F2"/>
            <w:vAlign w:val="center"/>
          </w:tcPr>
          <w:p w14:paraId="1055A066" w14:textId="512991C6" w:rsidR="004B63EC" w:rsidRPr="002A69DD" w:rsidRDefault="004B63EC" w:rsidP="00000D1B">
            <w:pPr>
              <w:pBdr>
                <w:top w:val="nil"/>
                <w:left w:val="nil"/>
                <w:bottom w:val="nil"/>
                <w:right w:val="nil"/>
                <w:between w:val="nil"/>
              </w:pBdr>
              <w:spacing w:after="120" w:line="276" w:lineRule="auto"/>
              <w:jc w:val="center"/>
              <w:rPr>
                <w:color w:val="000000"/>
                <w:sz w:val="20"/>
                <w:szCs w:val="20"/>
              </w:rPr>
            </w:pPr>
            <w:r>
              <w:rPr>
                <w:color w:val="000000"/>
                <w:sz w:val="20"/>
                <w:szCs w:val="20"/>
              </w:rPr>
              <w:t>Muscle</w:t>
            </w:r>
          </w:p>
        </w:tc>
        <w:tc>
          <w:tcPr>
            <w:tcW w:w="1275" w:type="dxa"/>
            <w:shd w:val="clear" w:color="auto" w:fill="F2F2F2" w:themeFill="background1" w:themeFillShade="F2"/>
            <w:vAlign w:val="center"/>
          </w:tcPr>
          <w:p w14:paraId="3FF717E3" w14:textId="12B0E630" w:rsidR="004B63EC" w:rsidRPr="002A69DD" w:rsidRDefault="004B63EC" w:rsidP="00000D1B">
            <w:pPr>
              <w:pBdr>
                <w:top w:val="nil"/>
                <w:left w:val="nil"/>
                <w:bottom w:val="nil"/>
                <w:right w:val="nil"/>
                <w:between w:val="nil"/>
              </w:pBdr>
              <w:spacing w:after="120" w:line="276" w:lineRule="auto"/>
              <w:jc w:val="center"/>
              <w:rPr>
                <w:color w:val="000000"/>
                <w:sz w:val="20"/>
                <w:szCs w:val="20"/>
              </w:rPr>
            </w:pPr>
            <w:r>
              <w:rPr>
                <w:color w:val="000000"/>
                <w:sz w:val="20"/>
                <w:szCs w:val="20"/>
              </w:rPr>
              <w:t>Croatia</w:t>
            </w:r>
          </w:p>
        </w:tc>
        <w:tc>
          <w:tcPr>
            <w:tcW w:w="3119" w:type="dxa"/>
            <w:shd w:val="clear" w:color="auto" w:fill="F2F2F2" w:themeFill="background1" w:themeFillShade="F2"/>
          </w:tcPr>
          <w:p w14:paraId="055C271A" w14:textId="5CB72B75" w:rsidR="004B63EC" w:rsidRDefault="004B63EC" w:rsidP="00B704C2">
            <w:pPr>
              <w:spacing w:line="276" w:lineRule="auto"/>
              <w:jc w:val="center"/>
              <w:rPr>
                <w:color w:val="000000"/>
                <w:sz w:val="20"/>
                <w:szCs w:val="20"/>
              </w:rPr>
            </w:pPr>
            <w:r>
              <w:rPr>
                <w:color w:val="000000"/>
                <w:sz w:val="20"/>
                <w:szCs w:val="20"/>
              </w:rPr>
              <w:t>T</w:t>
            </w:r>
            <w:r w:rsidRPr="00B704C2">
              <w:rPr>
                <w:color w:val="000000"/>
                <w:sz w:val="20"/>
                <w:szCs w:val="20"/>
              </w:rPr>
              <w:t>o assess</w:t>
            </w:r>
            <w:r>
              <w:rPr>
                <w:color w:val="000000"/>
                <w:sz w:val="20"/>
                <w:szCs w:val="20"/>
              </w:rPr>
              <w:t xml:space="preserve"> </w:t>
            </w:r>
            <w:r w:rsidRPr="00B704C2">
              <w:rPr>
                <w:color w:val="000000"/>
                <w:sz w:val="20"/>
                <w:szCs w:val="20"/>
              </w:rPr>
              <w:t>the presence</w:t>
            </w:r>
            <w:r>
              <w:rPr>
                <w:color w:val="000000"/>
                <w:sz w:val="20"/>
                <w:szCs w:val="20"/>
              </w:rPr>
              <w:t xml:space="preserve">, </w:t>
            </w:r>
            <w:r w:rsidRPr="00B704C2">
              <w:rPr>
                <w:color w:val="000000"/>
                <w:sz w:val="20"/>
                <w:szCs w:val="20"/>
              </w:rPr>
              <w:t>concentrations</w:t>
            </w:r>
            <w:r>
              <w:rPr>
                <w:color w:val="000000"/>
                <w:sz w:val="20"/>
                <w:szCs w:val="20"/>
              </w:rPr>
              <w:t>,</w:t>
            </w:r>
            <w:r w:rsidRPr="00B704C2">
              <w:rPr>
                <w:color w:val="000000"/>
                <w:sz w:val="20"/>
                <w:szCs w:val="20"/>
              </w:rPr>
              <w:t xml:space="preserve"> origin</w:t>
            </w:r>
            <w:r w:rsidR="0086053F">
              <w:rPr>
                <w:color w:val="000000"/>
                <w:sz w:val="20"/>
                <w:szCs w:val="20"/>
              </w:rPr>
              <w:t>,</w:t>
            </w:r>
            <w:r w:rsidRPr="00B704C2">
              <w:rPr>
                <w:color w:val="000000"/>
                <w:sz w:val="20"/>
                <w:szCs w:val="20"/>
              </w:rPr>
              <w:t xml:space="preserve"> and fate of targeted metals </w:t>
            </w:r>
            <w:r>
              <w:rPr>
                <w:color w:val="000000"/>
                <w:sz w:val="20"/>
                <w:szCs w:val="20"/>
              </w:rPr>
              <w:t xml:space="preserve">and </w:t>
            </w:r>
            <w:r w:rsidRPr="00B704C2">
              <w:rPr>
                <w:color w:val="000000"/>
                <w:sz w:val="20"/>
                <w:szCs w:val="20"/>
              </w:rPr>
              <w:t>the effects farming has on wild fish</w:t>
            </w:r>
            <w:r>
              <w:rPr>
                <w:color w:val="000000"/>
                <w:sz w:val="20"/>
                <w:szCs w:val="20"/>
              </w:rPr>
              <w:t>.</w:t>
            </w:r>
          </w:p>
        </w:tc>
        <w:tc>
          <w:tcPr>
            <w:tcW w:w="2551" w:type="dxa"/>
            <w:shd w:val="clear" w:color="auto" w:fill="F2F2F2" w:themeFill="background1" w:themeFillShade="F2"/>
            <w:vAlign w:val="center"/>
          </w:tcPr>
          <w:p w14:paraId="6E1BC775" w14:textId="6ABC88D9" w:rsidR="004B63EC" w:rsidRDefault="004B63EC" w:rsidP="00C136BF">
            <w:pPr>
              <w:pBdr>
                <w:top w:val="nil"/>
                <w:left w:val="nil"/>
                <w:bottom w:val="nil"/>
                <w:right w:val="nil"/>
                <w:between w:val="nil"/>
              </w:pBdr>
              <w:spacing w:line="276" w:lineRule="auto"/>
              <w:ind w:left="-108" w:right="-108"/>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w:t>
            </w:r>
            <w:r>
              <w:rPr>
                <w:color w:val="000000"/>
                <w:sz w:val="20"/>
                <w:szCs w:val="20"/>
                <w:vertAlign w:val="subscript"/>
              </w:rPr>
              <w:t>tive</w:t>
            </w:r>
          </w:p>
          <w:p w14:paraId="5DDADEDF" w14:textId="28D39A3B" w:rsidR="004B63EC" w:rsidRDefault="004B63EC" w:rsidP="00C136BF">
            <w:pPr>
              <w:pBdr>
                <w:top w:val="nil"/>
                <w:left w:val="nil"/>
                <w:bottom w:val="nil"/>
                <w:right w:val="nil"/>
                <w:between w:val="nil"/>
              </w:pBdr>
              <w:spacing w:line="276" w:lineRule="auto"/>
              <w:ind w:left="-108" w:right="-108"/>
              <w:jc w:val="center"/>
              <w:rPr>
                <w:color w:val="000000"/>
                <w:sz w:val="20"/>
                <w:szCs w:val="20"/>
                <w:vertAlign w:val="subscript"/>
              </w:rPr>
            </w:pPr>
            <w:r>
              <w:rPr>
                <w:i/>
                <w:iCs/>
                <w:color w:val="000000"/>
                <w:sz w:val="20"/>
                <w:szCs w:val="20"/>
              </w:rPr>
              <w:t xml:space="preserve">B. </w:t>
            </w:r>
            <w:proofErr w:type="spellStart"/>
            <w:r>
              <w:rPr>
                <w:i/>
                <w:iCs/>
                <w:color w:val="000000"/>
                <w:sz w:val="20"/>
                <w:szCs w:val="20"/>
              </w:rPr>
              <w:t>belone</w:t>
            </w:r>
            <w:proofErr w:type="spellEnd"/>
            <w:r>
              <w:rPr>
                <w:i/>
                <w:iCs/>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p w14:paraId="3B54B66F" w14:textId="584DE647" w:rsidR="004B63EC" w:rsidRPr="00193232" w:rsidRDefault="004B63EC" w:rsidP="00B704C2">
            <w:pPr>
              <w:pBdr>
                <w:top w:val="nil"/>
                <w:left w:val="nil"/>
                <w:bottom w:val="nil"/>
                <w:right w:val="nil"/>
                <w:between w:val="nil"/>
              </w:pBdr>
              <w:spacing w:line="276" w:lineRule="auto"/>
              <w:ind w:left="-124" w:right="-93"/>
              <w:jc w:val="center"/>
              <w:rPr>
                <w:i/>
                <w:iCs/>
                <w:color w:val="000000"/>
                <w:sz w:val="20"/>
                <w:szCs w:val="20"/>
              </w:rPr>
            </w:pPr>
            <w:r>
              <w:rPr>
                <w:i/>
                <w:iCs/>
                <w:color w:val="000000"/>
                <w:sz w:val="20"/>
                <w:szCs w:val="20"/>
              </w:rPr>
              <w:t xml:space="preserve">B. </w:t>
            </w:r>
            <w:proofErr w:type="spellStart"/>
            <w:r>
              <w:rPr>
                <w:i/>
                <w:iCs/>
                <w:color w:val="000000"/>
                <w:sz w:val="20"/>
                <w:szCs w:val="20"/>
              </w:rPr>
              <w:t>boops</w:t>
            </w:r>
            <w:proofErr w:type="spellEnd"/>
            <w:r>
              <w:rPr>
                <w:i/>
                <w:iCs/>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shd w:val="clear" w:color="auto" w:fill="F2F2F2" w:themeFill="background1" w:themeFillShade="F2"/>
            <w:vAlign w:val="center"/>
          </w:tcPr>
          <w:p w14:paraId="3BE79DAF" w14:textId="3E4F75E3" w:rsidR="004B63EC" w:rsidRPr="009B27AA" w:rsidRDefault="009B27AA" w:rsidP="009B27AA">
            <w:pPr>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{"citationID":"AT4zjUsX","properties":{"formattedCitation":"(Fernandez-Jover et al., 2020)","plainCitation":"(Fernandez-Jover et al., 2020)","noteIndex":0},"citationItems":[{"id":113,"uris":["http://zotero.org/users/9061160/items/NJVU49CR"],"itemData":{"id":113,"type":"article-journal","abstract":"It is essential from both the consumer perspective and the environmental sustainability aspect, to delve more deeply into the specific traits and conditions of fish reared in a pisciculture setting. Among the many factors that affect the latter, one of the most important is the cycling of chemical compounds in intensive rearing systems. For this reason, we analysed the stomach contents and trace metal levels (cadmium, copper, chromium, lead, and zinc) in the muscles of several fish species that aggregate around mid-Adriatic cages of reared Atlantic bluefin tuna (Thunnus thynnus), attracted by the organic leftovers found in farmed waters. The metals were also analysed in samples of reared bluefin tuna, fish species used as tuna feed (baitfish), and their non-farm-associated counterparts. Finally, to better follow the dietary relationships and metal-acquisition pathways, we also analysed the stable isotopes. The results revealed that wild fish consume a great deal of trophic resources deriving from the cages, mainly in the form of baitfish remains. The isotopes suggest the reared tuna consume high levels of herring baitfish (Clupea harengus), there is an increased trophic level for the wild omnivorous bogue (Boops boops), and this decreases for the carnivorous garfish (Belone belone). No significant differences in metal concentrations were detected between farm-associated and non-farm-associated wild fish, with the exception of the zinc levels in bogue, which were in lower concentrations in specimens aggregating around the farm. Most importantly, the concentrations of trace metals in the tuna, baitfish (sardine, Sardina pilchardus, and herring), and wild fish (garfish and bogue) did not exceed the recommended limits established by European legislation. However, the cadmium values in the garfish, bogue, and sardine were close to, but not over the legal limit value. The reasons behind these results and their potential consequences should be further investigated, although there is only a moderate degree of concern with regard to the metal content of fish stocks captured in the area under study.","container-title":"Regional Studies in Marine Science","DOI":"10.1016/j.rsma.2020.101357","ISSN":"23524855","journalAbbreviation":"Regional Studies in Marine Science","language":"en","page":"101357","source":"DOI.org (Crossref)","title":"Changes in trophic behaviour and trace metal concentrations in wild fish in a tuna-farming environment. The key role of a sound baitfish choice","volume":"38","author":[{"family":"Fernandez-Jover","given":"Damian"},{"family":"Mladineo","given":"Ivona"},{"family":"Grubišić","given":"Leon"},{"family":"Lušić","given":"Jelena"},{"family":"Sanchez-Jerez","given":"Pablo"}],"issued":{"date-parts":[["2020",7]]}}}],"schema":"https://github.com/citation-style-language/schema/raw/master/csl-citation.json"} </w:instrText>
            </w:r>
            <w:r>
              <w:rPr>
                <w:color w:val="000000"/>
                <w:sz w:val="20"/>
                <w:szCs w:val="20"/>
              </w:rPr>
              <w:fldChar w:fldCharType="separate"/>
            </w:r>
            <w:r w:rsidRPr="009B27AA">
              <w:rPr>
                <w:sz w:val="20"/>
              </w:rPr>
              <w:t>(Fernandez-Jover et al., 2020)</w:t>
            </w:r>
            <w:r>
              <w:rPr>
                <w:color w:val="000000"/>
                <w:sz w:val="20"/>
                <w:szCs w:val="20"/>
              </w:rPr>
              <w:fldChar w:fldCharType="end"/>
            </w:r>
            <w:r w:rsidR="00E136C6" w:rsidRPr="009B27AA">
              <w:rPr>
                <w:color w:val="000000"/>
                <w:sz w:val="20"/>
                <w:szCs w:val="20"/>
                <w:vertAlign w:val="superscript"/>
              </w:rPr>
              <w:t>*</w:t>
            </w:r>
          </w:p>
        </w:tc>
      </w:tr>
      <w:tr w:rsidR="00000D1B" w14:paraId="6109C95C" w14:textId="77777777" w:rsidTr="00E136C6">
        <w:trPr>
          <w:jc w:val="center"/>
        </w:trPr>
        <w:tc>
          <w:tcPr>
            <w:tcW w:w="1129" w:type="dxa"/>
            <w:vMerge w:val="restart"/>
            <w:vAlign w:val="center"/>
          </w:tcPr>
          <w:p w14:paraId="17A68748" w14:textId="77777777" w:rsidR="00000D1B" w:rsidRPr="00B1647C" w:rsidRDefault="00000D1B" w:rsidP="00000D1B">
            <w:pPr>
              <w:pBdr>
                <w:top w:val="nil"/>
                <w:left w:val="nil"/>
                <w:bottom w:val="nil"/>
                <w:right w:val="nil"/>
                <w:between w:val="nil"/>
              </w:pBdr>
              <w:spacing w:after="120" w:line="276" w:lineRule="auto"/>
              <w:jc w:val="center"/>
              <w:rPr>
                <w:b/>
                <w:color w:val="000000"/>
                <w:sz w:val="22"/>
                <w:szCs w:val="22"/>
              </w:rPr>
            </w:pPr>
            <w:r w:rsidRPr="00536F03">
              <w:rPr>
                <w:b/>
                <w:color w:val="000000"/>
                <w:sz w:val="20"/>
                <w:szCs w:val="20"/>
              </w:rPr>
              <w:t>REPTILE</w:t>
            </w:r>
          </w:p>
        </w:tc>
        <w:tc>
          <w:tcPr>
            <w:tcW w:w="1843" w:type="dxa"/>
            <w:vAlign w:val="center"/>
          </w:tcPr>
          <w:p w14:paraId="6AA09F42" w14:textId="13E8D1EC" w:rsidR="00000D1B" w:rsidRPr="009B27AA" w:rsidRDefault="00000D1B" w:rsidP="00000D1B">
            <w:pPr>
              <w:spacing w:after="120" w:line="276" w:lineRule="auto"/>
              <w:jc w:val="center"/>
              <w:rPr>
                <w:i/>
                <w:color w:val="000000"/>
                <w:sz w:val="20"/>
                <w:szCs w:val="20"/>
              </w:rPr>
            </w:pPr>
            <w:r w:rsidRPr="00193232">
              <w:rPr>
                <w:i/>
                <w:color w:val="000000"/>
                <w:sz w:val="20"/>
                <w:szCs w:val="20"/>
              </w:rPr>
              <w:t>Sphenodon punctatus</w:t>
            </w:r>
          </w:p>
        </w:tc>
        <w:tc>
          <w:tcPr>
            <w:tcW w:w="1276" w:type="dxa"/>
            <w:vAlign w:val="center"/>
          </w:tcPr>
          <w:p w14:paraId="2F0A9978" w14:textId="26ED31E4" w:rsidR="00000D1B" w:rsidRPr="00193232" w:rsidRDefault="00000D1B" w:rsidP="00000D1B">
            <w:pPr>
              <w:pBdr>
                <w:top w:val="nil"/>
                <w:left w:val="nil"/>
                <w:bottom w:val="nil"/>
                <w:right w:val="nil"/>
                <w:between w:val="nil"/>
              </w:pBdr>
              <w:spacing w:after="120" w:line="276" w:lineRule="auto"/>
              <w:jc w:val="center"/>
              <w:rPr>
                <w:color w:val="000000"/>
                <w:sz w:val="20"/>
                <w:szCs w:val="20"/>
              </w:rPr>
            </w:pPr>
            <w:r w:rsidRPr="00193232">
              <w:rPr>
                <w:i/>
                <w:color w:val="000000"/>
                <w:sz w:val="20"/>
                <w:szCs w:val="20"/>
              </w:rPr>
              <w:t>δ</w:t>
            </w:r>
            <w:r w:rsidRPr="00193232">
              <w:rPr>
                <w:color w:val="000000"/>
                <w:sz w:val="20"/>
                <w:szCs w:val="20"/>
                <w:vertAlign w:val="superscript"/>
              </w:rPr>
              <w:t>13</w:t>
            </w:r>
            <w:r w:rsidRPr="00193232">
              <w:rPr>
                <w:color w:val="000000"/>
                <w:sz w:val="20"/>
                <w:szCs w:val="20"/>
              </w:rPr>
              <w:t>C</w:t>
            </w:r>
          </w:p>
        </w:tc>
        <w:tc>
          <w:tcPr>
            <w:tcW w:w="1276" w:type="dxa"/>
            <w:vAlign w:val="center"/>
          </w:tcPr>
          <w:p w14:paraId="44AE590D" w14:textId="0B711DB4" w:rsidR="00000D1B" w:rsidRPr="00193232" w:rsidRDefault="00000D1B" w:rsidP="00000D1B">
            <w:pPr>
              <w:pBdr>
                <w:top w:val="nil"/>
                <w:left w:val="nil"/>
                <w:bottom w:val="nil"/>
                <w:right w:val="nil"/>
                <w:between w:val="nil"/>
              </w:pBdr>
              <w:spacing w:after="120" w:line="276" w:lineRule="auto"/>
              <w:jc w:val="center"/>
              <w:rPr>
                <w:color w:val="000000"/>
                <w:sz w:val="20"/>
                <w:szCs w:val="20"/>
              </w:rPr>
            </w:pPr>
            <w:r w:rsidRPr="00193232">
              <w:rPr>
                <w:color w:val="000000"/>
                <w:sz w:val="20"/>
                <w:szCs w:val="20"/>
              </w:rPr>
              <w:t>Blood (RBC)</w:t>
            </w:r>
          </w:p>
        </w:tc>
        <w:tc>
          <w:tcPr>
            <w:tcW w:w="1275" w:type="dxa"/>
            <w:vAlign w:val="center"/>
          </w:tcPr>
          <w:p w14:paraId="6F9B13FF" w14:textId="5A46BCE7" w:rsidR="00000D1B" w:rsidRPr="00193232" w:rsidRDefault="00000D1B" w:rsidP="00000D1B">
            <w:pPr>
              <w:pBdr>
                <w:top w:val="nil"/>
                <w:left w:val="nil"/>
                <w:bottom w:val="nil"/>
                <w:right w:val="nil"/>
                <w:between w:val="nil"/>
              </w:pBdr>
              <w:spacing w:after="120" w:line="276" w:lineRule="auto"/>
              <w:jc w:val="center"/>
              <w:rPr>
                <w:color w:val="000000"/>
                <w:sz w:val="20"/>
                <w:szCs w:val="20"/>
              </w:rPr>
            </w:pPr>
            <w:r w:rsidRPr="00193232">
              <w:rPr>
                <w:color w:val="000000"/>
                <w:sz w:val="20"/>
                <w:szCs w:val="20"/>
              </w:rPr>
              <w:t xml:space="preserve">New </w:t>
            </w:r>
            <w:proofErr w:type="spellStart"/>
            <w:r w:rsidRPr="00193232">
              <w:rPr>
                <w:color w:val="000000"/>
                <w:sz w:val="20"/>
                <w:szCs w:val="20"/>
              </w:rPr>
              <w:t>Zeland</w:t>
            </w:r>
            <w:proofErr w:type="spellEnd"/>
          </w:p>
        </w:tc>
        <w:tc>
          <w:tcPr>
            <w:tcW w:w="3119" w:type="dxa"/>
          </w:tcPr>
          <w:p w14:paraId="59C7D58A" w14:textId="5B4C05D9" w:rsidR="00000D1B" w:rsidRPr="002421B8" w:rsidRDefault="00000D1B" w:rsidP="00000D1B">
            <w:pPr>
              <w:pBdr>
                <w:top w:val="nil"/>
                <w:left w:val="nil"/>
                <w:bottom w:val="nil"/>
                <w:right w:val="nil"/>
                <w:between w:val="nil"/>
              </w:pBdr>
              <w:spacing w:after="120" w:line="276" w:lineRule="auto"/>
              <w:ind w:left="-112" w:right="-140"/>
              <w:jc w:val="center"/>
              <w:rPr>
                <w:color w:val="000000"/>
                <w:sz w:val="20"/>
                <w:szCs w:val="20"/>
              </w:rPr>
            </w:pPr>
            <w:r>
              <w:rPr>
                <w:color w:val="000000"/>
                <w:sz w:val="20"/>
                <w:szCs w:val="20"/>
              </w:rPr>
              <w:t xml:space="preserve">To make inferences about marine content in the diet of </w:t>
            </w:r>
            <w:r>
              <w:rPr>
                <w:i/>
                <w:iCs/>
                <w:color w:val="000000"/>
                <w:sz w:val="20"/>
                <w:szCs w:val="20"/>
              </w:rPr>
              <w:t>S. punctatus</w:t>
            </w:r>
            <w:r w:rsidR="00833F0C">
              <w:rPr>
                <w:i/>
                <w:iCs/>
                <w:color w:val="000000"/>
                <w:sz w:val="20"/>
                <w:szCs w:val="20"/>
              </w:rPr>
              <w:t xml:space="preserve"> </w:t>
            </w:r>
            <w:r w:rsidR="00833F0C">
              <w:rPr>
                <w:color w:val="000000"/>
                <w:sz w:val="20"/>
                <w:szCs w:val="20"/>
              </w:rPr>
              <w:t xml:space="preserve">in response to seasonality and </w:t>
            </w:r>
            <w:r w:rsidR="0086053F">
              <w:rPr>
                <w:color w:val="000000"/>
                <w:sz w:val="20"/>
                <w:szCs w:val="20"/>
              </w:rPr>
              <w:t>life story</w:t>
            </w:r>
            <w:r>
              <w:rPr>
                <w:color w:val="000000"/>
                <w:sz w:val="20"/>
                <w:szCs w:val="20"/>
              </w:rPr>
              <w:t>.</w:t>
            </w:r>
          </w:p>
        </w:tc>
        <w:tc>
          <w:tcPr>
            <w:tcW w:w="2551" w:type="dxa"/>
            <w:vAlign w:val="center"/>
          </w:tcPr>
          <w:p w14:paraId="611058CD" w14:textId="55A5EED2" w:rsidR="00000D1B" w:rsidRPr="00193232" w:rsidRDefault="00000D1B" w:rsidP="00000D1B">
            <w:pPr>
              <w:pBdr>
                <w:top w:val="nil"/>
                <w:left w:val="nil"/>
                <w:bottom w:val="nil"/>
                <w:right w:val="nil"/>
                <w:between w:val="nil"/>
              </w:pBdr>
              <w:spacing w:after="120" w:line="276" w:lineRule="auto"/>
              <w:ind w:left="-112" w:right="-140"/>
              <w:jc w:val="center"/>
              <w:rPr>
                <w:color w:val="000000"/>
                <w:sz w:val="20"/>
                <w:szCs w:val="20"/>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p>
        </w:tc>
        <w:tc>
          <w:tcPr>
            <w:tcW w:w="1706" w:type="dxa"/>
            <w:vAlign w:val="center"/>
          </w:tcPr>
          <w:p w14:paraId="4B2B8E95" w14:textId="2355FBBF" w:rsidR="00000D1B" w:rsidRPr="002A69DD" w:rsidRDefault="009B27AA" w:rsidP="009B27AA">
            <w:pPr>
              <w:pBdr>
                <w:top w:val="nil"/>
                <w:left w:val="nil"/>
                <w:bottom w:val="nil"/>
                <w:right w:val="nil"/>
                <w:between w:val="nil"/>
              </w:pBd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{"citationID":"jeYlbVVE","properties":{"formattedCitation":"(Cree et al., 1999)","plainCitation":"(Cree et al., 1999)","noteIndex":0},"citationItems":[{"id":4,"uris":["http://zotero.org/users/9061160/items/S7ZR8MBM"],"itemData":{"id":4,"type":"article-journal","container-title":"New Zealand Journal of Zoology","DOI":"10.1080/03014223.1999.9518193","ISSN":"0301-4223, 1175-8821","issue":"3","journalAbbreviation":"New Zealand Journal of Zoology","language":"en","page":"243-253","source":"DOI.org (Crossref)","title":"Stable carbon isotope ratios as indicators of marine versus terrestrial inputs to the diets of wild and captive tuatara ( &lt;i&gt;Sphenodon punctatus&lt;/i&gt; )","volume":"26","author":[{"family":"Cree","given":"Alison"},{"family":"Lyon","given":"Graeme L."},{"family":"Cartland‐Shaw","given":"Linda"},{"family":"Tyrrell","given":"Claudine"}],"issued":{"date-parts":[["1999",1]]}}}],"schema":"https://github.com/citation-style-language/schema/raw/master/csl-citation.json"} </w:instrText>
            </w:r>
            <w:r>
              <w:rPr>
                <w:color w:val="000000"/>
                <w:sz w:val="20"/>
                <w:szCs w:val="20"/>
              </w:rPr>
              <w:fldChar w:fldCharType="separate"/>
            </w:r>
            <w:r w:rsidRPr="009B27AA">
              <w:rPr>
                <w:sz w:val="20"/>
              </w:rPr>
              <w:t>(Cree et al., 1999)</w:t>
            </w:r>
            <w:r>
              <w:rPr>
                <w:color w:val="000000"/>
                <w:sz w:val="20"/>
                <w:szCs w:val="20"/>
              </w:rPr>
              <w:fldChar w:fldCharType="end"/>
            </w:r>
          </w:p>
        </w:tc>
      </w:tr>
      <w:tr w:rsidR="00000D1B" w14:paraId="411CD9AC" w14:textId="77777777" w:rsidTr="00E136C6">
        <w:trPr>
          <w:jc w:val="center"/>
        </w:trPr>
        <w:tc>
          <w:tcPr>
            <w:tcW w:w="1129" w:type="dxa"/>
            <w:vMerge/>
            <w:vAlign w:val="center"/>
          </w:tcPr>
          <w:p w14:paraId="4F7EC974" w14:textId="77777777" w:rsidR="00000D1B" w:rsidRPr="00B1647C" w:rsidRDefault="00000D1B" w:rsidP="00000D1B">
            <w:pPr>
              <w:widowControl w:val="0"/>
              <w:pBdr>
                <w:top w:val="nil"/>
                <w:left w:val="nil"/>
                <w:bottom w:val="nil"/>
                <w:right w:val="nil"/>
                <w:between w:val="nil"/>
              </w:pBdr>
              <w:spacing w:after="120" w:line="276" w:lineRule="auto"/>
              <w:rPr>
                <w:color w:val="000000"/>
                <w:sz w:val="20"/>
                <w:szCs w:val="20"/>
              </w:rPr>
            </w:pPr>
          </w:p>
        </w:tc>
        <w:tc>
          <w:tcPr>
            <w:tcW w:w="1843" w:type="dxa"/>
            <w:shd w:val="clear" w:color="auto" w:fill="E7E6E6"/>
            <w:vAlign w:val="center"/>
          </w:tcPr>
          <w:p w14:paraId="6F565E0A" w14:textId="5E94E065" w:rsidR="00000D1B" w:rsidRPr="009B27AA" w:rsidRDefault="00000D1B" w:rsidP="00000D1B">
            <w:pPr>
              <w:spacing w:after="120" w:line="276" w:lineRule="auto"/>
              <w:jc w:val="center"/>
              <w:rPr>
                <w:i/>
                <w:color w:val="000000"/>
                <w:sz w:val="20"/>
                <w:szCs w:val="20"/>
              </w:rPr>
            </w:pPr>
            <w:r w:rsidRPr="002A69DD">
              <w:rPr>
                <w:i/>
                <w:color w:val="000000"/>
                <w:sz w:val="20"/>
                <w:szCs w:val="20"/>
              </w:rPr>
              <w:t xml:space="preserve">Alligator </w:t>
            </w:r>
            <w:proofErr w:type="spellStart"/>
            <w:r w:rsidRPr="002A69DD">
              <w:rPr>
                <w:i/>
                <w:color w:val="000000"/>
                <w:sz w:val="20"/>
                <w:szCs w:val="20"/>
              </w:rPr>
              <w:t>mississippiensis</w:t>
            </w:r>
            <w:proofErr w:type="spellEnd"/>
          </w:p>
        </w:tc>
        <w:tc>
          <w:tcPr>
            <w:tcW w:w="1276" w:type="dxa"/>
            <w:shd w:val="clear" w:color="auto" w:fill="E7E6E6"/>
            <w:vAlign w:val="center"/>
          </w:tcPr>
          <w:p w14:paraId="5F62A6BC" w14:textId="6C9509EC" w:rsidR="00000D1B" w:rsidRPr="002A69DD" w:rsidRDefault="00000D1B" w:rsidP="00000D1B">
            <w:pPr>
              <w:pBdr>
                <w:top w:val="nil"/>
                <w:left w:val="nil"/>
                <w:bottom w:val="nil"/>
                <w:right w:val="nil"/>
                <w:between w:val="nil"/>
              </w:pBdr>
              <w:spacing w:after="120" w:line="276" w:lineRule="auto"/>
              <w:jc w:val="center"/>
              <w:rPr>
                <w:color w:val="000000"/>
                <w:sz w:val="20"/>
                <w:szCs w:val="20"/>
              </w:rPr>
            </w:pPr>
            <w:r w:rsidRPr="002A69DD">
              <w:rPr>
                <w:i/>
                <w:color w:val="000000"/>
                <w:sz w:val="20"/>
                <w:szCs w:val="20"/>
              </w:rPr>
              <w:t>δ</w:t>
            </w:r>
            <w:r w:rsidRPr="002A69DD">
              <w:rPr>
                <w:color w:val="000000"/>
                <w:sz w:val="20"/>
                <w:szCs w:val="20"/>
                <w:vertAlign w:val="superscript"/>
              </w:rPr>
              <w:t>18</w:t>
            </w:r>
            <w:r w:rsidRPr="002A69DD">
              <w:rPr>
                <w:color w:val="000000"/>
                <w:sz w:val="20"/>
                <w:szCs w:val="20"/>
              </w:rPr>
              <w:t>O</w:t>
            </w:r>
          </w:p>
        </w:tc>
        <w:tc>
          <w:tcPr>
            <w:tcW w:w="1276" w:type="dxa"/>
            <w:shd w:val="clear" w:color="auto" w:fill="E7E6E6"/>
            <w:vAlign w:val="center"/>
          </w:tcPr>
          <w:p w14:paraId="66A352EF" w14:textId="38D5888B" w:rsidR="00000D1B" w:rsidRPr="002A69DD" w:rsidRDefault="00000D1B"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Bone</w:t>
            </w:r>
          </w:p>
        </w:tc>
        <w:tc>
          <w:tcPr>
            <w:tcW w:w="1275" w:type="dxa"/>
            <w:shd w:val="clear" w:color="auto" w:fill="E7E6E6"/>
            <w:vAlign w:val="center"/>
          </w:tcPr>
          <w:p w14:paraId="22B19675" w14:textId="1C600F9F" w:rsidR="00000D1B" w:rsidRPr="002A69DD" w:rsidRDefault="00000D1B"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U</w:t>
            </w:r>
            <w:r>
              <w:rPr>
                <w:color w:val="000000"/>
                <w:sz w:val="20"/>
                <w:szCs w:val="20"/>
              </w:rPr>
              <w:t>SA</w:t>
            </w:r>
          </w:p>
        </w:tc>
        <w:tc>
          <w:tcPr>
            <w:tcW w:w="3119" w:type="dxa"/>
            <w:shd w:val="clear" w:color="auto" w:fill="E7E6E6"/>
          </w:tcPr>
          <w:p w14:paraId="1D0A8FB1" w14:textId="40BD023C" w:rsidR="00000D1B" w:rsidRPr="002421B8" w:rsidRDefault="00000D1B" w:rsidP="00000D1B">
            <w:pPr>
              <w:pBdr>
                <w:top w:val="nil"/>
                <w:left w:val="nil"/>
                <w:bottom w:val="nil"/>
                <w:right w:val="nil"/>
                <w:between w:val="nil"/>
              </w:pBdr>
              <w:spacing w:after="120" w:line="276" w:lineRule="auto"/>
              <w:ind w:left="-112" w:right="-96"/>
              <w:jc w:val="center"/>
              <w:rPr>
                <w:color w:val="000000"/>
                <w:sz w:val="20"/>
                <w:szCs w:val="20"/>
              </w:rPr>
            </w:pPr>
            <w:r>
              <w:rPr>
                <w:color w:val="000000"/>
                <w:sz w:val="20"/>
                <w:szCs w:val="20"/>
              </w:rPr>
              <w:t xml:space="preserve">To analyze the inter and intra-bone variability of </w:t>
            </w:r>
            <w:r w:rsidRPr="002A69DD">
              <w:rPr>
                <w:i/>
                <w:color w:val="000000"/>
                <w:sz w:val="20"/>
                <w:szCs w:val="20"/>
              </w:rPr>
              <w:t>δ</w:t>
            </w:r>
            <w:r w:rsidRPr="002A69DD">
              <w:rPr>
                <w:color w:val="000000"/>
                <w:sz w:val="20"/>
                <w:szCs w:val="20"/>
                <w:vertAlign w:val="superscript"/>
              </w:rPr>
              <w:t>18</w:t>
            </w:r>
            <w:r w:rsidRPr="002A69DD">
              <w:rPr>
                <w:color w:val="000000"/>
                <w:sz w:val="20"/>
                <w:szCs w:val="20"/>
              </w:rPr>
              <w:t>O</w:t>
            </w:r>
            <w:r>
              <w:rPr>
                <w:color w:val="000000"/>
                <w:sz w:val="20"/>
                <w:szCs w:val="20"/>
              </w:rPr>
              <w:t xml:space="preserve"> according to temperature regularity</w:t>
            </w:r>
            <w:r w:rsidR="0086053F">
              <w:rPr>
                <w:color w:val="000000"/>
                <w:sz w:val="20"/>
                <w:szCs w:val="20"/>
              </w:rPr>
              <w:t>.</w:t>
            </w:r>
          </w:p>
        </w:tc>
        <w:tc>
          <w:tcPr>
            <w:tcW w:w="2551" w:type="dxa"/>
            <w:shd w:val="clear" w:color="auto" w:fill="E7E6E6"/>
            <w:vAlign w:val="center"/>
          </w:tcPr>
          <w:p w14:paraId="4F05AD31" w14:textId="78FD0089" w:rsidR="00000D1B" w:rsidRPr="002A69DD" w:rsidRDefault="00000D1B" w:rsidP="00000D1B">
            <w:pPr>
              <w:pBdr>
                <w:top w:val="nil"/>
                <w:left w:val="nil"/>
                <w:bottom w:val="nil"/>
                <w:right w:val="nil"/>
                <w:between w:val="nil"/>
              </w:pBdr>
              <w:spacing w:after="120" w:line="276" w:lineRule="auto"/>
              <w:ind w:left="-112" w:right="-140"/>
              <w:jc w:val="center"/>
              <w:rPr>
                <w:color w:val="000000"/>
                <w:sz w:val="20"/>
                <w:szCs w:val="20"/>
                <w:vertAlign w:val="subscript"/>
              </w:rPr>
            </w:pPr>
            <w:r w:rsidRPr="00193232">
              <w:rPr>
                <w:i/>
                <w:iCs/>
                <w:color w:val="000000"/>
                <w:sz w:val="20"/>
                <w:szCs w:val="20"/>
              </w:rPr>
              <w:t>δ</w:t>
            </w:r>
            <w:r>
              <w:rPr>
                <w:color w:val="000000"/>
                <w:sz w:val="20"/>
                <w:szCs w:val="20"/>
                <w:vertAlign w:val="superscript"/>
              </w:rPr>
              <w:t>18</w:t>
            </w:r>
            <w:r>
              <w:rPr>
                <w:color w:val="000000"/>
                <w:sz w:val="20"/>
                <w:szCs w:val="20"/>
              </w:rPr>
              <w:t>O</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Pr>
                <w:color w:val="000000"/>
                <w:sz w:val="20"/>
                <w:szCs w:val="20"/>
                <w:vertAlign w:val="superscript"/>
              </w:rPr>
              <w:t>18</w:t>
            </w:r>
            <w:r>
              <w:rPr>
                <w:color w:val="000000"/>
                <w:sz w:val="20"/>
                <w:szCs w:val="20"/>
              </w:rPr>
              <w:t>O</w:t>
            </w:r>
            <w:r w:rsidRPr="00193232">
              <w:rPr>
                <w:color w:val="000000"/>
                <w:sz w:val="20"/>
                <w:szCs w:val="20"/>
                <w:vertAlign w:val="subscript"/>
              </w:rPr>
              <w:t>captive</w:t>
            </w:r>
          </w:p>
        </w:tc>
        <w:tc>
          <w:tcPr>
            <w:tcW w:w="1706" w:type="dxa"/>
            <w:shd w:val="clear" w:color="auto" w:fill="E7E6E6"/>
            <w:vAlign w:val="center"/>
          </w:tcPr>
          <w:p w14:paraId="27D21282" w14:textId="39739811" w:rsidR="00000D1B" w:rsidRPr="002A69DD" w:rsidRDefault="009B27AA" w:rsidP="009B27AA">
            <w:pPr>
              <w:pBdr>
                <w:top w:val="nil"/>
                <w:left w:val="nil"/>
                <w:bottom w:val="nil"/>
                <w:right w:val="nil"/>
                <w:between w:val="nil"/>
              </w:pBdr>
              <w:spacing w:after="120" w:line="276" w:lineRule="auto"/>
              <w:ind w:left="-111"/>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{"citationID":"FwJvJUOY","properties":{"formattedCitation":"(Stoskopf, Barrick &amp; Showers, 2001)","plainCitation":"(Stoskopf, Barrick &amp; Showers, 2001)","noteIndex":0},"citationItems":[{"id":10,"uris":["http://zotero.org/users/9061160/items/8KTIEQWG"],"itemData":{"id":10,"type":"article-journal","container-title":"Journal of Thermal Biology","DOI":"10.1016/S0306-4565(00)00041-3","ISSN":"03064565","issue":"3","journalAbbreviation":"Journal of Thermal Biology","language":"en","page":"183-191","source":"DOI.org (Crossref)","title":"Oxygen isotope variability in bones of wild caught and constant temperature reared sub-adult American alligators","volume":"26","author":[{"family":"Stoskopf","given":"Michael K"},{"family":"Barrick","given":"Reese E"},{"family":"Showers","given":"William J"}],"issued":{"date-parts":[["2001",6]]}}}],"schema":"https://github.com/citation-style-language/schema/raw/master/csl-citation.json"} </w:instrText>
            </w:r>
            <w:r>
              <w:rPr>
                <w:color w:val="000000"/>
                <w:sz w:val="20"/>
                <w:szCs w:val="20"/>
              </w:rPr>
              <w:fldChar w:fldCharType="separate"/>
            </w:r>
            <w:r w:rsidRPr="009B27AA">
              <w:rPr>
                <w:sz w:val="20"/>
              </w:rPr>
              <w:t>(Stoskopf, Barrick &amp; Showers, 2001)</w:t>
            </w:r>
            <w:r>
              <w:rPr>
                <w:color w:val="000000"/>
                <w:sz w:val="20"/>
                <w:szCs w:val="20"/>
              </w:rPr>
              <w:fldChar w:fldCharType="end"/>
            </w:r>
          </w:p>
        </w:tc>
      </w:tr>
      <w:tr w:rsidR="00000D1B" w14:paraId="3352D5C0" w14:textId="77777777" w:rsidTr="00E136C6">
        <w:trPr>
          <w:jc w:val="center"/>
        </w:trPr>
        <w:tc>
          <w:tcPr>
            <w:tcW w:w="1129" w:type="dxa"/>
            <w:vMerge/>
            <w:vAlign w:val="center"/>
          </w:tcPr>
          <w:p w14:paraId="0AD76A2A" w14:textId="77777777" w:rsidR="00000D1B" w:rsidRPr="00B1647C" w:rsidRDefault="00000D1B" w:rsidP="00000D1B">
            <w:pPr>
              <w:widowControl w:val="0"/>
              <w:pBdr>
                <w:top w:val="nil"/>
                <w:left w:val="nil"/>
                <w:bottom w:val="nil"/>
                <w:right w:val="nil"/>
                <w:between w:val="nil"/>
              </w:pBdr>
              <w:spacing w:after="120" w:line="276" w:lineRule="auto"/>
              <w:rPr>
                <w:color w:val="000000"/>
                <w:sz w:val="20"/>
                <w:szCs w:val="20"/>
              </w:rPr>
            </w:pPr>
          </w:p>
        </w:tc>
        <w:tc>
          <w:tcPr>
            <w:tcW w:w="1843" w:type="dxa"/>
            <w:vAlign w:val="center"/>
          </w:tcPr>
          <w:p w14:paraId="05107619" w14:textId="22F81275" w:rsidR="00000D1B" w:rsidRPr="009B27AA" w:rsidRDefault="00000D1B" w:rsidP="00000D1B">
            <w:pPr>
              <w:spacing w:after="120" w:line="276" w:lineRule="auto"/>
              <w:jc w:val="center"/>
              <w:rPr>
                <w:i/>
                <w:color w:val="000000"/>
                <w:sz w:val="20"/>
                <w:szCs w:val="20"/>
              </w:rPr>
            </w:pPr>
            <w:proofErr w:type="spellStart"/>
            <w:r w:rsidRPr="002A69DD">
              <w:rPr>
                <w:i/>
                <w:color w:val="000000"/>
                <w:sz w:val="20"/>
                <w:szCs w:val="20"/>
              </w:rPr>
              <w:t>Bothrops</w:t>
            </w:r>
            <w:proofErr w:type="spellEnd"/>
            <w:r w:rsidRPr="002A69DD">
              <w:rPr>
                <w:i/>
                <w:color w:val="000000"/>
                <w:sz w:val="20"/>
                <w:szCs w:val="20"/>
              </w:rPr>
              <w:t xml:space="preserve"> </w:t>
            </w:r>
            <w:proofErr w:type="spellStart"/>
            <w:r w:rsidRPr="002A69DD">
              <w:rPr>
                <w:i/>
                <w:color w:val="000000"/>
                <w:sz w:val="20"/>
                <w:szCs w:val="20"/>
              </w:rPr>
              <w:t>atrox</w:t>
            </w:r>
            <w:proofErr w:type="spellEnd"/>
          </w:p>
        </w:tc>
        <w:tc>
          <w:tcPr>
            <w:tcW w:w="1276" w:type="dxa"/>
            <w:vAlign w:val="center"/>
          </w:tcPr>
          <w:p w14:paraId="638F5055" w14:textId="0C5AB57A" w:rsidR="00000D1B" w:rsidRPr="002A69DD" w:rsidRDefault="00000D1B" w:rsidP="00000D1B">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vAlign w:val="center"/>
          </w:tcPr>
          <w:p w14:paraId="0C09B003" w14:textId="38D16D7D" w:rsidR="00000D1B" w:rsidRPr="002A69DD" w:rsidRDefault="00000D1B"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Blood and scale</w:t>
            </w:r>
          </w:p>
        </w:tc>
        <w:tc>
          <w:tcPr>
            <w:tcW w:w="1275" w:type="dxa"/>
            <w:vAlign w:val="center"/>
          </w:tcPr>
          <w:p w14:paraId="6AB2227A" w14:textId="0888A798" w:rsidR="00000D1B" w:rsidRPr="002A69DD" w:rsidRDefault="00000D1B"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Brazil</w:t>
            </w:r>
          </w:p>
        </w:tc>
        <w:tc>
          <w:tcPr>
            <w:tcW w:w="3119" w:type="dxa"/>
            <w:vAlign w:val="center"/>
          </w:tcPr>
          <w:p w14:paraId="1791C766" w14:textId="7CBA17AB" w:rsidR="00000D1B" w:rsidRPr="00CE0D30" w:rsidRDefault="00CE0D30" w:rsidP="00000D1B">
            <w:pPr>
              <w:pBdr>
                <w:top w:val="nil"/>
                <w:left w:val="nil"/>
                <w:bottom w:val="nil"/>
                <w:right w:val="nil"/>
                <w:between w:val="nil"/>
              </w:pBdr>
              <w:spacing w:line="276" w:lineRule="auto"/>
              <w:ind w:left="-108" w:right="-108"/>
              <w:jc w:val="center"/>
              <w:rPr>
                <w:i/>
                <w:iCs/>
                <w:color w:val="000000"/>
                <w:sz w:val="20"/>
                <w:szCs w:val="20"/>
              </w:rPr>
            </w:pPr>
            <w:r>
              <w:rPr>
                <w:color w:val="000000"/>
                <w:sz w:val="20"/>
                <w:szCs w:val="20"/>
              </w:rPr>
              <w:t xml:space="preserve">To analyze the influence of different landscapes on the diet of </w:t>
            </w:r>
            <w:r>
              <w:rPr>
                <w:i/>
                <w:iCs/>
                <w:color w:val="000000"/>
                <w:sz w:val="20"/>
                <w:szCs w:val="20"/>
              </w:rPr>
              <w:t xml:space="preserve">B. </w:t>
            </w:r>
            <w:proofErr w:type="spellStart"/>
            <w:r>
              <w:rPr>
                <w:i/>
                <w:iCs/>
                <w:color w:val="000000"/>
                <w:sz w:val="20"/>
                <w:szCs w:val="20"/>
              </w:rPr>
              <w:t>atrox</w:t>
            </w:r>
            <w:proofErr w:type="spellEnd"/>
            <w:r>
              <w:rPr>
                <w:i/>
                <w:iCs/>
                <w:color w:val="000000"/>
                <w:sz w:val="20"/>
                <w:szCs w:val="20"/>
              </w:rPr>
              <w:t xml:space="preserve"> </w:t>
            </w:r>
          </w:p>
        </w:tc>
        <w:tc>
          <w:tcPr>
            <w:tcW w:w="2551" w:type="dxa"/>
            <w:vAlign w:val="center"/>
          </w:tcPr>
          <w:p w14:paraId="1FABAB48" w14:textId="4A329D9F" w:rsidR="00000D1B" w:rsidRDefault="00000D1B" w:rsidP="00000D1B">
            <w:pPr>
              <w:pBdr>
                <w:top w:val="nil"/>
                <w:left w:val="nil"/>
                <w:bottom w:val="nil"/>
                <w:right w:val="nil"/>
                <w:between w:val="nil"/>
              </w:pBdr>
              <w:spacing w:line="276" w:lineRule="auto"/>
              <w:ind w:left="-108" w:right="-108"/>
              <w:jc w:val="center"/>
              <w:rPr>
                <w:color w:val="000000"/>
                <w:sz w:val="20"/>
                <w:szCs w:val="20"/>
              </w:rPr>
            </w:pPr>
            <w:r>
              <w:rPr>
                <w:color w:val="000000"/>
                <w:sz w:val="20"/>
                <w:szCs w:val="20"/>
              </w:rPr>
              <w:t>Blood:</w:t>
            </w:r>
          </w:p>
          <w:p w14:paraId="2D8EA1B7" w14:textId="33260A51" w:rsidR="00000D1B" w:rsidRDefault="00000D1B" w:rsidP="00000D1B">
            <w:pPr>
              <w:pBdr>
                <w:top w:val="nil"/>
                <w:left w:val="nil"/>
                <w:bottom w:val="nil"/>
                <w:right w:val="nil"/>
                <w:between w:val="nil"/>
              </w:pBdr>
              <w:spacing w:line="276" w:lineRule="auto"/>
              <w:ind w:left="-108" w:right="-108"/>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w:t>
            </w:r>
            <w:r>
              <w:rPr>
                <w:color w:val="000000"/>
                <w:sz w:val="20"/>
                <w:szCs w:val="20"/>
                <w:vertAlign w:val="subscript"/>
              </w:rPr>
              <w:t>tive</w:t>
            </w:r>
          </w:p>
          <w:p w14:paraId="73901797" w14:textId="6E657C8B" w:rsidR="00000D1B" w:rsidRDefault="00000D1B" w:rsidP="00000D1B">
            <w:pPr>
              <w:pBdr>
                <w:top w:val="nil"/>
                <w:left w:val="nil"/>
                <w:bottom w:val="nil"/>
                <w:right w:val="nil"/>
                <w:between w:val="nil"/>
              </w:pBdr>
              <w:spacing w:line="276" w:lineRule="auto"/>
              <w:ind w:left="-108" w:right="-108"/>
              <w:jc w:val="center"/>
              <w:rPr>
                <w:color w:val="000000"/>
                <w:sz w:val="20"/>
                <w:szCs w:val="20"/>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r>
              <w:rPr>
                <w:color w:val="000000"/>
                <w:sz w:val="20"/>
                <w:szCs w:val="20"/>
              </w:rPr>
              <w:t xml:space="preserve"> </w:t>
            </w:r>
          </w:p>
          <w:p w14:paraId="26F150F1" w14:textId="6F6E3FBD" w:rsidR="00000D1B" w:rsidRDefault="00000D1B" w:rsidP="00000D1B">
            <w:pPr>
              <w:pBdr>
                <w:top w:val="nil"/>
                <w:left w:val="nil"/>
                <w:bottom w:val="nil"/>
                <w:right w:val="nil"/>
                <w:between w:val="nil"/>
              </w:pBdr>
              <w:spacing w:line="276" w:lineRule="auto"/>
              <w:ind w:left="-108" w:right="-108"/>
              <w:jc w:val="center"/>
              <w:rPr>
                <w:color w:val="000000"/>
                <w:sz w:val="20"/>
                <w:szCs w:val="20"/>
              </w:rPr>
            </w:pPr>
            <w:r>
              <w:rPr>
                <w:color w:val="000000"/>
                <w:sz w:val="20"/>
                <w:szCs w:val="20"/>
              </w:rPr>
              <w:t xml:space="preserve">Scale: </w:t>
            </w:r>
          </w:p>
          <w:p w14:paraId="0B07BEAE" w14:textId="77777777" w:rsidR="00000D1B" w:rsidRDefault="00000D1B" w:rsidP="00000D1B">
            <w:pPr>
              <w:pBdr>
                <w:top w:val="nil"/>
                <w:left w:val="nil"/>
                <w:bottom w:val="nil"/>
                <w:right w:val="nil"/>
                <w:between w:val="nil"/>
              </w:pBdr>
              <w:spacing w:line="276" w:lineRule="auto"/>
              <w:ind w:left="-108" w:right="-108"/>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Pr>
                <w:color w:val="000000"/>
                <w:sz w:val="20"/>
                <w:szCs w:val="20"/>
                <w:vertAlign w:val="subscript"/>
              </w:rPr>
              <w:t>_forest</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p>
          <w:p w14:paraId="3F3C1656" w14:textId="615D1837" w:rsidR="00000D1B" w:rsidRPr="00355787" w:rsidRDefault="00000D1B" w:rsidP="00000D1B">
            <w:pPr>
              <w:pBdr>
                <w:top w:val="nil"/>
                <w:left w:val="nil"/>
                <w:bottom w:val="nil"/>
                <w:right w:val="nil"/>
                <w:between w:val="nil"/>
              </w:pBdr>
              <w:spacing w:line="276" w:lineRule="auto"/>
              <w:ind w:left="-108" w:right="-108"/>
              <w:jc w:val="center"/>
              <w:rPr>
                <w:color w:val="000000"/>
                <w:sz w:val="20"/>
                <w:szCs w:val="20"/>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Pr>
                <w:color w:val="000000"/>
                <w:sz w:val="20"/>
                <w:szCs w:val="20"/>
                <w:vertAlign w:val="subscript"/>
              </w:rPr>
              <w:t>_forest</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vAlign w:val="center"/>
          </w:tcPr>
          <w:p w14:paraId="7F31C4AB" w14:textId="18A0D427" w:rsidR="00000D1B" w:rsidRPr="002A69DD" w:rsidRDefault="009B27AA" w:rsidP="009B27AA">
            <w:pPr>
              <w:pBdr>
                <w:top w:val="nil"/>
                <w:left w:val="nil"/>
                <w:bottom w:val="nil"/>
                <w:right w:val="nil"/>
                <w:between w:val="nil"/>
              </w:pBd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{"citationID":"vOaVLnx6","properties":{"formattedCitation":"(Martinez, 2016)","plainCitation":"(Martinez, 2016)","noteIndex":0},"citationItems":[{"id":75,"uris":["http://zotero.org/users/9061160/items/6ZP4DTS6"],"itemData":{"id":75,"type":"thesis","event-place":"Piracicaba","genre":"Doutorado em Química na Agricultura e no Ambiente","language":"pt","note":"DOI: 10.11606/T.64.2016.tde-23032016-152758","publisher":"Universidade de São Paulo","publisher-place":"Piracicaba","source":"DOI.org (Crossref)","title":"Influência da paisagem na dieta de Bothrops atrox na Amazônia oriental","URL":"http://www.teses.usp.br/teses/disponiveis/64/64135/tde-23032016-152758/","author":[{"family":"Martinez","given":"Melissa Gaste"}],"accessed":{"date-parts":[["2022",2,8]]},"issued":{"date-parts":[["2016",5,4]]}}}],"schema":"https://github.com/citation-style-language/schema/raw/master/csl-citation.json"} </w:instrText>
            </w:r>
            <w:r>
              <w:rPr>
                <w:color w:val="000000"/>
                <w:sz w:val="20"/>
                <w:szCs w:val="20"/>
              </w:rPr>
              <w:fldChar w:fldCharType="separate"/>
            </w:r>
            <w:r w:rsidRPr="009B27AA">
              <w:rPr>
                <w:sz w:val="20"/>
              </w:rPr>
              <w:t>(Martinez, 2016)</w:t>
            </w:r>
            <w:r>
              <w:rPr>
                <w:color w:val="000000"/>
                <w:sz w:val="20"/>
                <w:szCs w:val="20"/>
              </w:rPr>
              <w:fldChar w:fldCharType="end"/>
            </w:r>
          </w:p>
        </w:tc>
      </w:tr>
      <w:tr w:rsidR="001765A7" w14:paraId="4C8D08B3" w14:textId="77777777" w:rsidTr="00E136C6">
        <w:trPr>
          <w:jc w:val="center"/>
        </w:trPr>
        <w:tc>
          <w:tcPr>
            <w:tcW w:w="1129" w:type="dxa"/>
            <w:vMerge w:val="restart"/>
            <w:vAlign w:val="center"/>
          </w:tcPr>
          <w:p w14:paraId="0BDEE385" w14:textId="77777777" w:rsidR="001765A7" w:rsidRDefault="001765A7" w:rsidP="00000D1B">
            <w:pPr>
              <w:pBdr>
                <w:top w:val="nil"/>
                <w:left w:val="nil"/>
                <w:bottom w:val="nil"/>
                <w:right w:val="nil"/>
                <w:between w:val="nil"/>
              </w:pBdr>
              <w:spacing w:after="120" w:line="276" w:lineRule="auto"/>
              <w:jc w:val="center"/>
              <w:rPr>
                <w:b/>
                <w:color w:val="000000"/>
                <w:sz w:val="22"/>
                <w:szCs w:val="22"/>
              </w:rPr>
            </w:pPr>
            <w:r w:rsidRPr="00536F03">
              <w:rPr>
                <w:b/>
                <w:color w:val="000000"/>
                <w:sz w:val="20"/>
                <w:szCs w:val="20"/>
              </w:rPr>
              <w:t>BIRD</w:t>
            </w:r>
          </w:p>
        </w:tc>
        <w:tc>
          <w:tcPr>
            <w:tcW w:w="1843" w:type="dxa"/>
            <w:shd w:val="clear" w:color="auto" w:fill="E7E6E6"/>
            <w:vAlign w:val="center"/>
          </w:tcPr>
          <w:p w14:paraId="00CB24B6" w14:textId="77E29147" w:rsidR="001765A7" w:rsidRPr="002A69DD" w:rsidRDefault="001765A7" w:rsidP="00000D1B">
            <w:pPr>
              <w:spacing w:after="120" w:line="276" w:lineRule="auto"/>
              <w:jc w:val="center"/>
              <w:rPr>
                <w:i/>
                <w:color w:val="000000"/>
                <w:sz w:val="20"/>
                <w:szCs w:val="20"/>
                <w:lang w:val="pt-BR"/>
              </w:rPr>
            </w:pPr>
            <w:proofErr w:type="spellStart"/>
            <w:r>
              <w:rPr>
                <w:i/>
                <w:color w:val="000000"/>
                <w:sz w:val="20"/>
                <w:szCs w:val="20"/>
              </w:rPr>
              <w:t>Cerorhinca</w:t>
            </w:r>
            <w:proofErr w:type="spellEnd"/>
            <w:r>
              <w:rPr>
                <w:i/>
                <w:color w:val="000000"/>
                <w:sz w:val="20"/>
                <w:szCs w:val="20"/>
              </w:rPr>
              <w:t xml:space="preserve"> </w:t>
            </w:r>
            <w:proofErr w:type="spellStart"/>
            <w:r>
              <w:rPr>
                <w:i/>
                <w:color w:val="000000"/>
                <w:sz w:val="20"/>
                <w:szCs w:val="20"/>
              </w:rPr>
              <w:t>monocerata</w:t>
            </w:r>
            <w:proofErr w:type="spellEnd"/>
          </w:p>
        </w:tc>
        <w:tc>
          <w:tcPr>
            <w:tcW w:w="1276" w:type="dxa"/>
            <w:shd w:val="clear" w:color="auto" w:fill="E7E6E6"/>
            <w:vAlign w:val="center"/>
          </w:tcPr>
          <w:p w14:paraId="0C4C00DC" w14:textId="49EC54D1" w:rsidR="001765A7" w:rsidRPr="002A69DD" w:rsidRDefault="001765A7" w:rsidP="00000D1B">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shd w:val="clear" w:color="auto" w:fill="E7E6E6"/>
            <w:vAlign w:val="center"/>
          </w:tcPr>
          <w:p w14:paraId="5AC9A7E0" w14:textId="0A7EB1DE" w:rsidR="001765A7" w:rsidRPr="002A69DD" w:rsidRDefault="001765A7" w:rsidP="00000D1B">
            <w:pPr>
              <w:pBdr>
                <w:top w:val="nil"/>
                <w:left w:val="nil"/>
                <w:bottom w:val="nil"/>
                <w:right w:val="nil"/>
                <w:between w:val="nil"/>
              </w:pBdr>
              <w:spacing w:after="120" w:line="276" w:lineRule="auto"/>
              <w:jc w:val="center"/>
              <w:rPr>
                <w:color w:val="000000"/>
                <w:sz w:val="20"/>
                <w:szCs w:val="20"/>
              </w:rPr>
            </w:pPr>
            <w:r>
              <w:rPr>
                <w:color w:val="000000"/>
                <w:sz w:val="20"/>
                <w:szCs w:val="20"/>
              </w:rPr>
              <w:t>Blood and feather</w:t>
            </w:r>
          </w:p>
        </w:tc>
        <w:tc>
          <w:tcPr>
            <w:tcW w:w="1275" w:type="dxa"/>
            <w:shd w:val="clear" w:color="auto" w:fill="E7E6E6"/>
            <w:vAlign w:val="center"/>
          </w:tcPr>
          <w:p w14:paraId="053A2B4F" w14:textId="397A4041" w:rsidR="001765A7" w:rsidRPr="002A69DD" w:rsidRDefault="001765A7" w:rsidP="00000D1B">
            <w:pPr>
              <w:pBdr>
                <w:top w:val="nil"/>
                <w:left w:val="nil"/>
                <w:bottom w:val="nil"/>
                <w:right w:val="nil"/>
                <w:between w:val="nil"/>
              </w:pBdr>
              <w:spacing w:after="120" w:line="276" w:lineRule="auto"/>
              <w:jc w:val="center"/>
              <w:rPr>
                <w:color w:val="000000"/>
                <w:sz w:val="20"/>
                <w:szCs w:val="20"/>
              </w:rPr>
            </w:pPr>
            <w:r>
              <w:rPr>
                <w:color w:val="000000"/>
                <w:sz w:val="20"/>
                <w:szCs w:val="20"/>
              </w:rPr>
              <w:t>USA</w:t>
            </w:r>
          </w:p>
        </w:tc>
        <w:tc>
          <w:tcPr>
            <w:tcW w:w="3119" w:type="dxa"/>
            <w:shd w:val="clear" w:color="auto" w:fill="E7E6E6"/>
          </w:tcPr>
          <w:p w14:paraId="64752F0B" w14:textId="167DCF19" w:rsidR="001765A7" w:rsidRPr="00193232" w:rsidRDefault="001765A7" w:rsidP="00000D1B">
            <w:pPr>
              <w:autoSpaceDE w:val="0"/>
              <w:autoSpaceDN w:val="0"/>
              <w:adjustRightInd w:val="0"/>
              <w:jc w:val="center"/>
              <w:rPr>
                <w:i/>
                <w:iCs/>
                <w:color w:val="000000"/>
                <w:sz w:val="20"/>
                <w:szCs w:val="20"/>
              </w:rPr>
            </w:pPr>
            <w:r w:rsidRPr="00A61F49">
              <w:rPr>
                <w:rFonts w:eastAsiaTheme="minorHAnsi"/>
                <w:sz w:val="20"/>
                <w:szCs w:val="20"/>
                <w:lang w:eastAsia="en-US"/>
              </w:rPr>
              <w:t xml:space="preserve">To examine the effects of growth and nutritional status on stable </w:t>
            </w:r>
            <w:r w:rsidRPr="00A61F49">
              <w:rPr>
                <w:rFonts w:eastAsiaTheme="minorHAnsi"/>
                <w:sz w:val="20"/>
                <w:szCs w:val="20"/>
                <w:lang w:eastAsia="en-US"/>
              </w:rPr>
              <w:lastRenderedPageBreak/>
              <w:t>isotope</w:t>
            </w:r>
            <w:r>
              <w:rPr>
                <w:rFonts w:eastAsiaTheme="minorHAnsi"/>
                <w:sz w:val="20"/>
                <w:szCs w:val="20"/>
                <w:lang w:eastAsia="en-US"/>
              </w:rPr>
              <w:t xml:space="preserve"> </w:t>
            </w:r>
            <w:r w:rsidRPr="00A61F49">
              <w:rPr>
                <w:rFonts w:eastAsiaTheme="minorHAnsi"/>
                <w:sz w:val="20"/>
                <w:szCs w:val="20"/>
                <w:lang w:eastAsia="en-US"/>
              </w:rPr>
              <w:t xml:space="preserve">signatures in </w:t>
            </w:r>
            <w:r>
              <w:rPr>
                <w:rFonts w:eastAsiaTheme="minorHAnsi"/>
                <w:i/>
                <w:iCs/>
                <w:sz w:val="20"/>
                <w:szCs w:val="20"/>
                <w:lang w:eastAsia="en-US"/>
              </w:rPr>
              <w:t xml:space="preserve">C. </w:t>
            </w:r>
            <w:proofErr w:type="spellStart"/>
            <w:r>
              <w:rPr>
                <w:rFonts w:eastAsiaTheme="minorHAnsi"/>
                <w:i/>
                <w:iCs/>
                <w:sz w:val="20"/>
                <w:szCs w:val="20"/>
                <w:lang w:eastAsia="en-US"/>
              </w:rPr>
              <w:t>monocerata</w:t>
            </w:r>
            <w:proofErr w:type="spellEnd"/>
            <w:r>
              <w:rPr>
                <w:rFonts w:eastAsiaTheme="minorHAnsi"/>
                <w:i/>
                <w:iCs/>
                <w:sz w:val="20"/>
                <w:szCs w:val="20"/>
                <w:lang w:eastAsia="en-US"/>
              </w:rPr>
              <w:t xml:space="preserve"> </w:t>
            </w:r>
            <w:r w:rsidRPr="00A61F49">
              <w:rPr>
                <w:rFonts w:eastAsiaTheme="minorHAnsi"/>
                <w:sz w:val="20"/>
                <w:szCs w:val="20"/>
                <w:lang w:eastAsia="en-US"/>
              </w:rPr>
              <w:t>tissues.</w:t>
            </w:r>
          </w:p>
        </w:tc>
        <w:tc>
          <w:tcPr>
            <w:tcW w:w="2551" w:type="dxa"/>
            <w:shd w:val="clear" w:color="auto" w:fill="E7E6E6"/>
            <w:vAlign w:val="center"/>
          </w:tcPr>
          <w:p w14:paraId="7CBD3529" w14:textId="6A8E497B" w:rsidR="001765A7" w:rsidRDefault="001765A7" w:rsidP="00000D1B">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lastRenderedPageBreak/>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w:t>
            </w:r>
          </w:p>
          <w:p w14:paraId="239C3949" w14:textId="4B426BE1" w:rsidR="001765A7" w:rsidRPr="00A42BDA" w:rsidRDefault="001765A7" w:rsidP="00000D1B">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shd w:val="clear" w:color="auto" w:fill="E7E6E6"/>
            <w:vAlign w:val="center"/>
          </w:tcPr>
          <w:p w14:paraId="3B4E7937" w14:textId="529FDCE9" w:rsidR="001765A7" w:rsidRPr="009B27AA" w:rsidRDefault="009B27AA" w:rsidP="009B27AA">
            <w:pP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{"citationID":"L7zXMY1G","properties":{"formattedCitation":"(Sears, Hatch &amp; O\\uc0\\u8217{}Brien, 2009)","plainCitation":"(Sears, Hatch &amp; O’Brien, 2009)","noteIndex":0},"citationItems":[{"id":184,"uris":["http://zotero.org/users/9061160/items/EET28225"],"itemData":{"id":184,"type":"article-journal","container-title":"Oecologia","DOI":"10.1007/s00442-008-1199-3","ISSN":"0029-8549, 1432-1939","issue":"1","journalAbbreviation":"Oecologia","language":"en","page":"41-48","source":"DOI.org (Crossref)","title":"Disentangling effects of growth and nutritional status on seabird stable isotope ratios","volume":"159","author":[{"family":"Sears","given":"Justine"},{"family":"Hatch","given":"Scott A."},{"family":"O’Brien","given":"Diane M."}],"issued":{"date-parts":[["2009",2]]}}}],"schema":"https://github.com/citation-style-language/schema/raw/master/csl-citation.json"} </w:instrText>
            </w:r>
            <w:r>
              <w:rPr>
                <w:color w:val="000000"/>
                <w:sz w:val="20"/>
                <w:szCs w:val="20"/>
              </w:rPr>
              <w:fldChar w:fldCharType="separate"/>
            </w:r>
            <w:r w:rsidRPr="009B27AA">
              <w:rPr>
                <w:sz w:val="20"/>
              </w:rPr>
              <w:t>(Sears, Hatch &amp; O’Brien, 2009)</w:t>
            </w:r>
            <w:r>
              <w:rPr>
                <w:color w:val="000000"/>
                <w:sz w:val="20"/>
                <w:szCs w:val="20"/>
              </w:rPr>
              <w:fldChar w:fldCharType="end"/>
            </w:r>
            <w:r w:rsidRPr="009B27AA">
              <w:rPr>
                <w:color w:val="000000"/>
                <w:sz w:val="20"/>
                <w:szCs w:val="20"/>
                <w:vertAlign w:val="superscript"/>
              </w:rPr>
              <w:t>*</w:t>
            </w:r>
          </w:p>
        </w:tc>
      </w:tr>
      <w:tr w:rsidR="001765A7" w14:paraId="4045DA06" w14:textId="77777777" w:rsidTr="00E136C6">
        <w:trPr>
          <w:jc w:val="center"/>
        </w:trPr>
        <w:tc>
          <w:tcPr>
            <w:tcW w:w="1129" w:type="dxa"/>
            <w:vMerge/>
            <w:vAlign w:val="center"/>
          </w:tcPr>
          <w:p w14:paraId="1A9F1AAA" w14:textId="77777777" w:rsidR="001765A7" w:rsidRPr="00536F03" w:rsidRDefault="001765A7" w:rsidP="00000D1B">
            <w:pPr>
              <w:pBdr>
                <w:top w:val="nil"/>
                <w:left w:val="nil"/>
                <w:bottom w:val="nil"/>
                <w:right w:val="nil"/>
                <w:between w:val="nil"/>
              </w:pBdr>
              <w:spacing w:after="120" w:line="276" w:lineRule="auto"/>
              <w:jc w:val="center"/>
              <w:rPr>
                <w:b/>
                <w:color w:val="000000"/>
                <w:sz w:val="20"/>
                <w:szCs w:val="20"/>
              </w:rPr>
            </w:pPr>
          </w:p>
        </w:tc>
        <w:tc>
          <w:tcPr>
            <w:tcW w:w="1843" w:type="dxa"/>
            <w:shd w:val="clear" w:color="auto" w:fill="FFFFFF" w:themeFill="background1"/>
            <w:vAlign w:val="center"/>
          </w:tcPr>
          <w:p w14:paraId="64CEAE38" w14:textId="18ABF572" w:rsidR="001765A7" w:rsidRPr="002A69DD" w:rsidRDefault="001765A7" w:rsidP="00000D1B">
            <w:pPr>
              <w:spacing w:after="120" w:line="276" w:lineRule="auto"/>
              <w:jc w:val="center"/>
              <w:rPr>
                <w:i/>
                <w:color w:val="000000"/>
                <w:sz w:val="20"/>
                <w:szCs w:val="20"/>
              </w:rPr>
            </w:pPr>
            <w:proofErr w:type="spellStart"/>
            <w:r w:rsidRPr="002A69DD">
              <w:rPr>
                <w:i/>
                <w:color w:val="000000"/>
                <w:sz w:val="20"/>
                <w:szCs w:val="20"/>
              </w:rPr>
              <w:t>Fratercula</w:t>
            </w:r>
            <w:proofErr w:type="spellEnd"/>
            <w:r w:rsidRPr="002A69DD">
              <w:rPr>
                <w:i/>
                <w:color w:val="000000"/>
                <w:sz w:val="20"/>
                <w:szCs w:val="20"/>
              </w:rPr>
              <w:t xml:space="preserve"> </w:t>
            </w:r>
            <w:proofErr w:type="spellStart"/>
            <w:r w:rsidRPr="002A69DD">
              <w:rPr>
                <w:i/>
                <w:color w:val="000000"/>
                <w:sz w:val="20"/>
                <w:szCs w:val="20"/>
              </w:rPr>
              <w:t>arctica</w:t>
            </w:r>
            <w:proofErr w:type="spellEnd"/>
            <w:r w:rsidRPr="002A69DD">
              <w:rPr>
                <w:i/>
                <w:color w:val="000000"/>
                <w:sz w:val="20"/>
                <w:szCs w:val="20"/>
              </w:rPr>
              <w:t xml:space="preserve">; Uria </w:t>
            </w:r>
            <w:proofErr w:type="spellStart"/>
            <w:r w:rsidRPr="002A69DD">
              <w:rPr>
                <w:i/>
                <w:color w:val="000000"/>
                <w:sz w:val="20"/>
                <w:szCs w:val="20"/>
              </w:rPr>
              <w:t>aalge</w:t>
            </w:r>
            <w:proofErr w:type="spellEnd"/>
          </w:p>
        </w:tc>
        <w:tc>
          <w:tcPr>
            <w:tcW w:w="1276" w:type="dxa"/>
            <w:shd w:val="clear" w:color="auto" w:fill="FFFFFF" w:themeFill="background1"/>
            <w:vAlign w:val="center"/>
          </w:tcPr>
          <w:p w14:paraId="67FE789A" w14:textId="17F3DFFF" w:rsidR="001765A7" w:rsidRPr="002A69DD" w:rsidRDefault="001765A7" w:rsidP="00000D1B">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shd w:val="clear" w:color="auto" w:fill="FFFFFF" w:themeFill="background1"/>
            <w:vAlign w:val="center"/>
          </w:tcPr>
          <w:p w14:paraId="2865991E" w14:textId="01E4FB5A" w:rsidR="001765A7" w:rsidRPr="002A69DD" w:rsidRDefault="001765A7"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Blood (RBC and plasma)</w:t>
            </w:r>
          </w:p>
        </w:tc>
        <w:tc>
          <w:tcPr>
            <w:tcW w:w="1275" w:type="dxa"/>
            <w:shd w:val="clear" w:color="auto" w:fill="FFFFFF" w:themeFill="background1"/>
            <w:vAlign w:val="center"/>
          </w:tcPr>
          <w:p w14:paraId="5CAFE053" w14:textId="488B6AA3" w:rsidR="001765A7" w:rsidRPr="002A69DD" w:rsidRDefault="001765A7" w:rsidP="00000D1B">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Canada</w:t>
            </w:r>
          </w:p>
        </w:tc>
        <w:tc>
          <w:tcPr>
            <w:tcW w:w="3119" w:type="dxa"/>
            <w:shd w:val="clear" w:color="auto" w:fill="FFFFFF" w:themeFill="background1"/>
          </w:tcPr>
          <w:p w14:paraId="623DB47B" w14:textId="20C4C330" w:rsidR="001765A7" w:rsidRPr="0040225C" w:rsidRDefault="001765A7" w:rsidP="00000D1B">
            <w:pPr>
              <w:pBdr>
                <w:top w:val="nil"/>
                <w:left w:val="nil"/>
                <w:bottom w:val="nil"/>
                <w:right w:val="nil"/>
                <w:between w:val="nil"/>
              </w:pBdr>
              <w:spacing w:line="276" w:lineRule="auto"/>
              <w:jc w:val="center"/>
              <w:rPr>
                <w:color w:val="000000"/>
                <w:sz w:val="20"/>
                <w:szCs w:val="20"/>
              </w:rPr>
            </w:pPr>
            <w:r>
              <w:rPr>
                <w:color w:val="000000"/>
                <w:sz w:val="20"/>
                <w:szCs w:val="20"/>
              </w:rPr>
              <w:t xml:space="preserve">To estimate the DTDFs for captive </w:t>
            </w:r>
            <w:r>
              <w:rPr>
                <w:i/>
                <w:iCs/>
                <w:color w:val="000000"/>
                <w:sz w:val="20"/>
                <w:szCs w:val="20"/>
              </w:rPr>
              <w:t xml:space="preserve">F. </w:t>
            </w:r>
            <w:proofErr w:type="spellStart"/>
            <w:r>
              <w:rPr>
                <w:i/>
                <w:iCs/>
                <w:color w:val="000000"/>
                <w:sz w:val="20"/>
                <w:szCs w:val="20"/>
              </w:rPr>
              <w:t>artica</w:t>
            </w:r>
            <w:proofErr w:type="spellEnd"/>
            <w:r>
              <w:rPr>
                <w:i/>
                <w:iCs/>
                <w:color w:val="000000"/>
                <w:sz w:val="20"/>
                <w:szCs w:val="20"/>
              </w:rPr>
              <w:t xml:space="preserve"> </w:t>
            </w:r>
            <w:r>
              <w:rPr>
                <w:color w:val="000000"/>
                <w:sz w:val="20"/>
                <w:szCs w:val="20"/>
              </w:rPr>
              <w:t xml:space="preserve">and </w:t>
            </w:r>
            <w:r>
              <w:rPr>
                <w:i/>
                <w:iCs/>
                <w:color w:val="000000"/>
                <w:sz w:val="20"/>
                <w:szCs w:val="20"/>
              </w:rPr>
              <w:t xml:space="preserve">U. </w:t>
            </w:r>
            <w:proofErr w:type="spellStart"/>
            <w:r>
              <w:rPr>
                <w:i/>
                <w:iCs/>
                <w:color w:val="000000"/>
                <w:sz w:val="20"/>
                <w:szCs w:val="20"/>
              </w:rPr>
              <w:t>aalge</w:t>
            </w:r>
            <w:proofErr w:type="spellEnd"/>
            <w:r>
              <w:rPr>
                <w:i/>
                <w:iCs/>
                <w:color w:val="000000"/>
                <w:sz w:val="20"/>
                <w:szCs w:val="20"/>
              </w:rPr>
              <w:t xml:space="preserve"> </w:t>
            </w:r>
            <w:r>
              <w:rPr>
                <w:color w:val="000000"/>
                <w:sz w:val="20"/>
                <w:szCs w:val="20"/>
              </w:rPr>
              <w:t xml:space="preserve">and to reconstruct </w:t>
            </w:r>
            <w:r w:rsidRPr="0040225C">
              <w:rPr>
                <w:color w:val="000000"/>
                <w:sz w:val="20"/>
                <w:szCs w:val="20"/>
              </w:rPr>
              <w:t xml:space="preserve">the diet of wild </w:t>
            </w:r>
            <w:r>
              <w:rPr>
                <w:color w:val="000000"/>
                <w:sz w:val="20"/>
                <w:szCs w:val="20"/>
              </w:rPr>
              <w:t>breeding individuals of the same species</w:t>
            </w:r>
          </w:p>
        </w:tc>
        <w:tc>
          <w:tcPr>
            <w:tcW w:w="2551" w:type="dxa"/>
            <w:shd w:val="clear" w:color="auto" w:fill="FFFFFF" w:themeFill="background1"/>
            <w:vAlign w:val="center"/>
          </w:tcPr>
          <w:p w14:paraId="2786B8E0" w14:textId="77777777" w:rsidR="001765A7" w:rsidRDefault="001765A7" w:rsidP="00000D1B">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w:t>
            </w:r>
          </w:p>
          <w:p w14:paraId="766F22B1" w14:textId="77777777" w:rsidR="001765A7" w:rsidRDefault="001765A7" w:rsidP="00000D1B">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p w14:paraId="7441B4D6" w14:textId="2092DEC8" w:rsidR="001765A7" w:rsidRPr="00193232" w:rsidRDefault="001765A7" w:rsidP="00000D1B">
            <w:pPr>
              <w:pBdr>
                <w:top w:val="nil"/>
                <w:left w:val="nil"/>
                <w:bottom w:val="nil"/>
                <w:right w:val="nil"/>
                <w:between w:val="nil"/>
              </w:pBdr>
              <w:spacing w:line="276" w:lineRule="auto"/>
              <w:jc w:val="center"/>
              <w:rPr>
                <w:i/>
                <w:iCs/>
                <w:color w:val="000000"/>
                <w:sz w:val="20"/>
                <w:szCs w:val="20"/>
              </w:rPr>
            </w:pPr>
            <w:r>
              <w:rPr>
                <w:color w:val="000000"/>
                <w:sz w:val="20"/>
                <w:szCs w:val="20"/>
              </w:rPr>
              <w:t>(RBC and plasma, both species)</w:t>
            </w:r>
          </w:p>
        </w:tc>
        <w:tc>
          <w:tcPr>
            <w:tcW w:w="1706" w:type="dxa"/>
            <w:shd w:val="clear" w:color="auto" w:fill="FFFFFF" w:themeFill="background1"/>
            <w:vAlign w:val="center"/>
          </w:tcPr>
          <w:p w14:paraId="17C37400" w14:textId="1FC49DB0" w:rsidR="001765A7" w:rsidRPr="009B27AA" w:rsidRDefault="009B27AA" w:rsidP="009B27AA">
            <w:pP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{"citationID":"Ub6QMRMn","properties":{"formattedCitation":"(Jenkins et al., 2020)","plainCitation":"(Jenkins et al., 2020)","noteIndex":0},"citationItems":[{"id":107,"uris":["http://zotero.org/users/9061160/items/NPI7X64A"],"itemData":{"id":107,"type":"article-journal","container-title":"Physiological and Biochemical Zoology","DOI":"10.1086/709460","ISSN":"1522-2152, 1537-5293","issue":"4","journalAbbreviation":"Physiological and Biochemical Zoology","language":"en","page":"296-309","source":"DOI.org (Crossref)","title":"Isotopic Discrimination (δ &lt;sup&gt;15&lt;/sup&gt; N, δ &lt;sup&gt;13&lt;/sup&gt; C) in Captive and Wild Common Murres ( &lt;i&gt;Uria aalge&lt;/i&gt; ) and Atlantic Puffins ( &lt;i&gt;Fratercula arctica&lt;/i&gt; )","volume":"93","author":[{"family":"Jenkins","given":"Edward"},{"family":"Gulka","given":"Julia"},{"family":"Yurkowski","given":"David J."},{"family":"Le François","given":"Nathalie R."},{"family":"Wong","given":"Emiko"},{"family":"Davoren","given":"Gail K."}],"issued":{"date-parts":[["2020",7]]}}}],"schema":"https://github.com/citation-style-language/schema/raw/master/csl-citation.json"} </w:instrText>
            </w:r>
            <w:r>
              <w:rPr>
                <w:color w:val="000000"/>
                <w:sz w:val="20"/>
                <w:szCs w:val="20"/>
              </w:rPr>
              <w:fldChar w:fldCharType="separate"/>
            </w:r>
            <w:r w:rsidRPr="009B27AA">
              <w:rPr>
                <w:sz w:val="20"/>
              </w:rPr>
              <w:t>(Jenkins et al., 2020)</w:t>
            </w:r>
            <w:r>
              <w:rPr>
                <w:color w:val="000000"/>
                <w:sz w:val="20"/>
                <w:szCs w:val="20"/>
              </w:rPr>
              <w:fldChar w:fldCharType="end"/>
            </w:r>
          </w:p>
        </w:tc>
      </w:tr>
      <w:tr w:rsidR="001765A7" w14:paraId="08E7F6C2" w14:textId="77777777" w:rsidTr="00E136C6">
        <w:trPr>
          <w:jc w:val="center"/>
        </w:trPr>
        <w:tc>
          <w:tcPr>
            <w:tcW w:w="1129" w:type="dxa"/>
            <w:vMerge w:val="restart"/>
            <w:vAlign w:val="center"/>
          </w:tcPr>
          <w:p w14:paraId="7E0BB0CD" w14:textId="36E5A5FB" w:rsidR="001765A7" w:rsidRPr="00536F03" w:rsidRDefault="001765A7" w:rsidP="00883B2D">
            <w:pPr>
              <w:pBdr>
                <w:top w:val="nil"/>
                <w:left w:val="nil"/>
                <w:bottom w:val="nil"/>
                <w:right w:val="nil"/>
                <w:between w:val="nil"/>
              </w:pBdr>
              <w:spacing w:after="120" w:line="276" w:lineRule="auto"/>
              <w:ind w:left="-110" w:right="-106"/>
              <w:jc w:val="center"/>
              <w:rPr>
                <w:b/>
                <w:color w:val="000000"/>
                <w:sz w:val="20"/>
                <w:szCs w:val="20"/>
              </w:rPr>
            </w:pPr>
            <w:r w:rsidRPr="00536F03">
              <w:rPr>
                <w:b/>
                <w:color w:val="000000"/>
                <w:sz w:val="20"/>
                <w:szCs w:val="20"/>
              </w:rPr>
              <w:t>MAMMAL</w:t>
            </w:r>
          </w:p>
        </w:tc>
        <w:tc>
          <w:tcPr>
            <w:tcW w:w="1843" w:type="dxa"/>
            <w:shd w:val="clear" w:color="auto" w:fill="E7E6E6"/>
            <w:vAlign w:val="center"/>
          </w:tcPr>
          <w:p w14:paraId="218AB26B" w14:textId="59E5EECD" w:rsidR="001765A7" w:rsidRDefault="001765A7" w:rsidP="00883B2D">
            <w:pPr>
              <w:spacing w:after="120" w:line="276" w:lineRule="auto"/>
              <w:jc w:val="center"/>
              <w:rPr>
                <w:i/>
                <w:color w:val="000000"/>
                <w:sz w:val="20"/>
                <w:szCs w:val="20"/>
              </w:rPr>
            </w:pPr>
            <w:r w:rsidRPr="002A69DD">
              <w:rPr>
                <w:i/>
                <w:sz w:val="20"/>
                <w:szCs w:val="20"/>
              </w:rPr>
              <w:t>Mustela vison</w:t>
            </w:r>
          </w:p>
        </w:tc>
        <w:tc>
          <w:tcPr>
            <w:tcW w:w="1276" w:type="dxa"/>
            <w:shd w:val="clear" w:color="auto" w:fill="E7E6E6"/>
            <w:vAlign w:val="center"/>
          </w:tcPr>
          <w:p w14:paraId="60EB75C8" w14:textId="65071187" w:rsidR="001765A7" w:rsidRPr="002A69DD" w:rsidRDefault="001765A7" w:rsidP="00883B2D">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C</w:t>
            </w:r>
          </w:p>
        </w:tc>
        <w:tc>
          <w:tcPr>
            <w:tcW w:w="1276" w:type="dxa"/>
            <w:shd w:val="clear" w:color="auto" w:fill="E7E6E6"/>
            <w:vAlign w:val="center"/>
          </w:tcPr>
          <w:p w14:paraId="44125B5D" w14:textId="5B3846D3" w:rsidR="001765A7" w:rsidRDefault="001765A7" w:rsidP="00883B2D">
            <w:pPr>
              <w:pBdr>
                <w:top w:val="nil"/>
                <w:left w:val="nil"/>
                <w:bottom w:val="nil"/>
                <w:right w:val="nil"/>
                <w:between w:val="nil"/>
              </w:pBdr>
              <w:spacing w:after="120" w:line="276" w:lineRule="auto"/>
              <w:jc w:val="center"/>
              <w:rPr>
                <w:color w:val="000000"/>
                <w:sz w:val="20"/>
                <w:szCs w:val="20"/>
              </w:rPr>
            </w:pPr>
            <w:r w:rsidRPr="002A69DD">
              <w:rPr>
                <w:iCs/>
                <w:color w:val="000000"/>
                <w:sz w:val="20"/>
                <w:szCs w:val="20"/>
              </w:rPr>
              <w:t>Claw and teeth</w:t>
            </w:r>
          </w:p>
        </w:tc>
        <w:tc>
          <w:tcPr>
            <w:tcW w:w="1275" w:type="dxa"/>
            <w:shd w:val="clear" w:color="auto" w:fill="E7E6E6"/>
            <w:vAlign w:val="center"/>
          </w:tcPr>
          <w:p w14:paraId="0F47D33C" w14:textId="1902043E" w:rsidR="001765A7"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Denmark</w:t>
            </w:r>
          </w:p>
        </w:tc>
        <w:tc>
          <w:tcPr>
            <w:tcW w:w="3119" w:type="dxa"/>
            <w:shd w:val="clear" w:color="auto" w:fill="E7E6E6"/>
          </w:tcPr>
          <w:p w14:paraId="517F4D1C" w14:textId="2B9A80E0" w:rsidR="001765A7" w:rsidRPr="00A62328" w:rsidRDefault="001765A7" w:rsidP="00883B2D">
            <w:pPr>
              <w:pBdr>
                <w:top w:val="nil"/>
                <w:left w:val="nil"/>
                <w:bottom w:val="nil"/>
                <w:right w:val="nil"/>
                <w:between w:val="nil"/>
              </w:pBdr>
              <w:spacing w:line="276" w:lineRule="auto"/>
              <w:jc w:val="center"/>
              <w:rPr>
                <w:color w:val="000000"/>
                <w:sz w:val="20"/>
                <w:szCs w:val="20"/>
              </w:rPr>
            </w:pPr>
            <w:r>
              <w:rPr>
                <w:color w:val="000000"/>
                <w:sz w:val="20"/>
                <w:szCs w:val="20"/>
              </w:rPr>
              <w:t xml:space="preserve">To </w:t>
            </w:r>
            <w:r w:rsidR="00753477">
              <w:rPr>
                <w:color w:val="000000"/>
                <w:sz w:val="20"/>
                <w:szCs w:val="20"/>
              </w:rPr>
              <w:t xml:space="preserve">conduct a diet-change experiment to </w:t>
            </w:r>
            <w:r w:rsidR="00A62328">
              <w:rPr>
                <w:color w:val="000000"/>
                <w:sz w:val="20"/>
                <w:szCs w:val="20"/>
              </w:rPr>
              <w:t>verify if</w:t>
            </w:r>
            <w:r>
              <w:rPr>
                <w:color w:val="000000"/>
                <w:sz w:val="20"/>
                <w:szCs w:val="20"/>
              </w:rPr>
              <w:t xml:space="preserve"> </w:t>
            </w:r>
            <w:r w:rsidR="00A62328">
              <w:rPr>
                <w:color w:val="000000"/>
                <w:sz w:val="20"/>
                <w:szCs w:val="20"/>
              </w:rPr>
              <w:t xml:space="preserve">the </w:t>
            </w:r>
            <w:r w:rsidR="00753477">
              <w:rPr>
                <w:color w:val="000000"/>
                <w:sz w:val="20"/>
                <w:szCs w:val="20"/>
              </w:rPr>
              <w:t xml:space="preserve">SIA </w:t>
            </w:r>
            <w:r w:rsidR="00A62328">
              <w:rPr>
                <w:color w:val="000000"/>
                <w:sz w:val="20"/>
                <w:szCs w:val="20"/>
              </w:rPr>
              <w:t>could identify</w:t>
            </w:r>
            <w:r>
              <w:rPr>
                <w:color w:val="000000"/>
                <w:sz w:val="20"/>
                <w:szCs w:val="20"/>
              </w:rPr>
              <w:t xml:space="preserve"> farm-scaped mink</w:t>
            </w:r>
            <w:r w:rsidR="00A62328">
              <w:rPr>
                <w:color w:val="000000"/>
                <w:sz w:val="20"/>
                <w:szCs w:val="20"/>
              </w:rPr>
              <w:t>s (</w:t>
            </w:r>
            <w:r w:rsidR="00A62328">
              <w:rPr>
                <w:i/>
                <w:iCs/>
                <w:color w:val="000000"/>
                <w:sz w:val="20"/>
                <w:szCs w:val="20"/>
              </w:rPr>
              <w:t>M. vison</w:t>
            </w:r>
            <w:r w:rsidR="00A62328">
              <w:rPr>
                <w:color w:val="000000"/>
                <w:sz w:val="20"/>
                <w:szCs w:val="20"/>
              </w:rPr>
              <w:t>)</w:t>
            </w:r>
            <w:r w:rsidR="00753477">
              <w:rPr>
                <w:color w:val="000000"/>
                <w:sz w:val="20"/>
                <w:szCs w:val="20"/>
              </w:rPr>
              <w:t xml:space="preserve">. </w:t>
            </w:r>
          </w:p>
        </w:tc>
        <w:tc>
          <w:tcPr>
            <w:tcW w:w="2551" w:type="dxa"/>
            <w:shd w:val="clear" w:color="auto" w:fill="E7E6E6"/>
            <w:vAlign w:val="center"/>
          </w:tcPr>
          <w:p w14:paraId="50B1C265" w14:textId="77777777" w:rsidR="001765A7" w:rsidRDefault="001765A7" w:rsidP="00883B2D">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 xml:space="preserve"> </w:t>
            </w:r>
          </w:p>
          <w:p w14:paraId="1BBDFA60" w14:textId="4E7B8CB5" w:rsidR="001765A7" w:rsidRPr="00193232" w:rsidRDefault="001765A7" w:rsidP="00883B2D">
            <w:pPr>
              <w:pBdr>
                <w:top w:val="nil"/>
                <w:left w:val="nil"/>
                <w:bottom w:val="nil"/>
                <w:right w:val="nil"/>
                <w:between w:val="nil"/>
              </w:pBdr>
              <w:spacing w:line="276" w:lineRule="auto"/>
              <w:jc w:val="center"/>
              <w:rPr>
                <w:i/>
                <w:iCs/>
                <w:color w:val="000000"/>
                <w:sz w:val="20"/>
                <w:szCs w:val="20"/>
              </w:rPr>
            </w:pPr>
            <w:r w:rsidRPr="00D13EFA">
              <w:rPr>
                <w:color w:val="000000"/>
                <w:sz w:val="20"/>
                <w:szCs w:val="20"/>
              </w:rPr>
              <w:t>(Claw and teeth)</w:t>
            </w:r>
          </w:p>
        </w:tc>
        <w:tc>
          <w:tcPr>
            <w:tcW w:w="1706" w:type="dxa"/>
            <w:shd w:val="clear" w:color="auto" w:fill="E7E6E6"/>
            <w:vAlign w:val="center"/>
          </w:tcPr>
          <w:p w14:paraId="623AE820" w14:textId="44126166" w:rsidR="001765A7" w:rsidRPr="009B27AA" w:rsidRDefault="009B27AA" w:rsidP="009B27AA">
            <w:pP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{"citationID":"5vGaTPmG","properties":{"formattedCitation":"(Hammersh\\uc0\\u248{}j, Asferg &amp; Kristensen, 2004)","plainCitation":"(Hammershøj, Asferg &amp; Kristensen, 2004)","noteIndex":0},"citationItems":[{"id":80,"uris":["http://zotero.org/users/9061160/items/E6ZPXA2T"],"itemData":{"id":80,"type":"article-journal","container-title":"Mammalian Biology","DOI":"10.1078/1616-5047-00145","ISSN":"16165047","issue":"4","journalAbbreviation":"Mammalian Biology","language":"en","page":"281-286","source":"DOI.org (Crossref)","title":"Comparison of methods to separate wild American mink from fur farm escapees","volume":"69","author":[{"family":"Hammershøj","given":"M."},{"family":"Asferg","given":"T."},{"family":"Kristensen","given":"N.B."}],"issued":{"date-parts":[["2004",4]]}}}],"schema":"https://github.com/citation-style-language/schema/raw/master/csl-citation.json"} </w:instrText>
            </w:r>
            <w:r>
              <w:rPr>
                <w:color w:val="000000"/>
                <w:sz w:val="20"/>
                <w:szCs w:val="20"/>
              </w:rPr>
              <w:fldChar w:fldCharType="separate"/>
            </w:r>
            <w:r w:rsidRPr="009B27AA">
              <w:rPr>
                <w:sz w:val="20"/>
              </w:rPr>
              <w:t>(Hammershøj, Asferg &amp; Kristensen, 2004)</w:t>
            </w:r>
            <w:r>
              <w:rPr>
                <w:color w:val="000000"/>
                <w:sz w:val="20"/>
                <w:szCs w:val="20"/>
              </w:rPr>
              <w:fldChar w:fldCharType="end"/>
            </w:r>
          </w:p>
        </w:tc>
      </w:tr>
      <w:tr w:rsidR="001765A7" w:rsidRPr="002A69DD" w14:paraId="6E284EF1" w14:textId="77777777" w:rsidTr="00E136C6">
        <w:trPr>
          <w:jc w:val="center"/>
        </w:trPr>
        <w:tc>
          <w:tcPr>
            <w:tcW w:w="1129" w:type="dxa"/>
            <w:vMerge/>
            <w:vAlign w:val="center"/>
          </w:tcPr>
          <w:p w14:paraId="7D3F164F" w14:textId="434265EC" w:rsidR="001765A7" w:rsidRDefault="001765A7" w:rsidP="00883B2D">
            <w:pPr>
              <w:pBdr>
                <w:top w:val="nil"/>
                <w:left w:val="nil"/>
                <w:bottom w:val="nil"/>
                <w:right w:val="nil"/>
                <w:between w:val="nil"/>
              </w:pBdr>
              <w:spacing w:after="120" w:line="276" w:lineRule="auto"/>
              <w:ind w:left="-110" w:right="-106"/>
              <w:jc w:val="center"/>
              <w:rPr>
                <w:b/>
                <w:color w:val="000000"/>
                <w:sz w:val="22"/>
                <w:szCs w:val="22"/>
              </w:rPr>
            </w:pPr>
          </w:p>
        </w:tc>
        <w:tc>
          <w:tcPr>
            <w:tcW w:w="1843" w:type="dxa"/>
            <w:vAlign w:val="center"/>
          </w:tcPr>
          <w:p w14:paraId="7847C922" w14:textId="5ECCB0D2" w:rsidR="001765A7" w:rsidRPr="002A69DD" w:rsidRDefault="001765A7" w:rsidP="00883B2D">
            <w:pPr>
              <w:spacing w:after="120" w:line="276" w:lineRule="auto"/>
              <w:jc w:val="center"/>
              <w:rPr>
                <w:i/>
                <w:color w:val="000000"/>
                <w:sz w:val="20"/>
                <w:szCs w:val="20"/>
                <w:lang w:val="pt-BR"/>
              </w:rPr>
            </w:pPr>
            <w:r w:rsidRPr="002A69DD">
              <w:rPr>
                <w:i/>
                <w:sz w:val="20"/>
                <w:szCs w:val="20"/>
              </w:rPr>
              <w:t>Hydrochoerus hydrochaeris</w:t>
            </w:r>
          </w:p>
        </w:tc>
        <w:tc>
          <w:tcPr>
            <w:tcW w:w="1276" w:type="dxa"/>
            <w:vAlign w:val="center"/>
          </w:tcPr>
          <w:p w14:paraId="74FC280A" w14:textId="6DA8571B" w:rsidR="001765A7" w:rsidRPr="002A69DD" w:rsidRDefault="001765A7" w:rsidP="00883B2D">
            <w:pPr>
              <w:pBdr>
                <w:top w:val="nil"/>
                <w:left w:val="nil"/>
                <w:bottom w:val="nil"/>
                <w:right w:val="nil"/>
                <w:between w:val="nil"/>
              </w:pBdr>
              <w:spacing w:after="120" w:line="276" w:lineRule="auto"/>
              <w:jc w:val="center"/>
              <w:rPr>
                <w:iCs/>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vAlign w:val="center"/>
          </w:tcPr>
          <w:p w14:paraId="0899103B" w14:textId="7314660C"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Blood, claw, hair</w:t>
            </w:r>
            <w:r>
              <w:rPr>
                <w:color w:val="000000"/>
                <w:sz w:val="20"/>
                <w:szCs w:val="20"/>
              </w:rPr>
              <w:t xml:space="preserve">, </w:t>
            </w:r>
            <w:r w:rsidRPr="002A69DD">
              <w:rPr>
                <w:color w:val="000000"/>
                <w:sz w:val="20"/>
                <w:szCs w:val="20"/>
              </w:rPr>
              <w:t>and muscle</w:t>
            </w:r>
          </w:p>
        </w:tc>
        <w:tc>
          <w:tcPr>
            <w:tcW w:w="1275" w:type="dxa"/>
            <w:vAlign w:val="center"/>
          </w:tcPr>
          <w:p w14:paraId="73106000" w14:textId="4065A752" w:rsidR="001765A7" w:rsidRPr="002A69DD" w:rsidRDefault="001765A7" w:rsidP="00883B2D">
            <w:pPr>
              <w:spacing w:after="120" w:line="276" w:lineRule="auto"/>
              <w:jc w:val="center"/>
              <w:rPr>
                <w:color w:val="000000"/>
                <w:sz w:val="20"/>
                <w:szCs w:val="20"/>
                <w:lang w:val="pt-BR"/>
              </w:rPr>
            </w:pPr>
            <w:r w:rsidRPr="002A69DD">
              <w:rPr>
                <w:color w:val="000000"/>
                <w:sz w:val="20"/>
                <w:szCs w:val="20"/>
              </w:rPr>
              <w:t>Brazil</w:t>
            </w:r>
          </w:p>
        </w:tc>
        <w:tc>
          <w:tcPr>
            <w:tcW w:w="3119" w:type="dxa"/>
            <w:vAlign w:val="center"/>
          </w:tcPr>
          <w:p w14:paraId="725DCEA2" w14:textId="16D0C6D7" w:rsidR="001765A7" w:rsidRPr="009A134E" w:rsidRDefault="001765A7" w:rsidP="00883B2D">
            <w:pPr>
              <w:pBdr>
                <w:top w:val="nil"/>
                <w:left w:val="nil"/>
                <w:bottom w:val="nil"/>
                <w:right w:val="nil"/>
                <w:between w:val="nil"/>
              </w:pBdr>
              <w:spacing w:line="276" w:lineRule="auto"/>
              <w:jc w:val="center"/>
              <w:rPr>
                <w:color w:val="000000"/>
                <w:sz w:val="20"/>
                <w:szCs w:val="20"/>
              </w:rPr>
            </w:pPr>
            <w:r>
              <w:rPr>
                <w:color w:val="000000"/>
                <w:sz w:val="20"/>
                <w:szCs w:val="20"/>
              </w:rPr>
              <w:t>To analyze t</w:t>
            </w:r>
            <w:r w:rsidRPr="00FE2487">
              <w:rPr>
                <w:color w:val="000000"/>
                <w:sz w:val="20"/>
                <w:szCs w:val="20"/>
              </w:rPr>
              <w:t xml:space="preserve">he </w:t>
            </w:r>
            <w:r>
              <w:rPr>
                <w:color w:val="000000"/>
                <w:sz w:val="20"/>
                <w:szCs w:val="20"/>
              </w:rPr>
              <w:t xml:space="preserve">diet composition of </w:t>
            </w:r>
            <w:r>
              <w:rPr>
                <w:i/>
                <w:iCs/>
                <w:color w:val="000000"/>
                <w:sz w:val="20"/>
                <w:szCs w:val="20"/>
              </w:rPr>
              <w:t>H. hydrochaeris</w:t>
            </w:r>
            <w:r>
              <w:rPr>
                <w:color w:val="000000"/>
                <w:sz w:val="20"/>
                <w:szCs w:val="20"/>
              </w:rPr>
              <w:t xml:space="preserve"> and the reliability of using stable isotopes as a proxy</w:t>
            </w:r>
          </w:p>
        </w:tc>
        <w:tc>
          <w:tcPr>
            <w:tcW w:w="2551" w:type="dxa"/>
            <w:vAlign w:val="center"/>
          </w:tcPr>
          <w:p w14:paraId="6268D59C" w14:textId="2E0B8161" w:rsidR="001765A7" w:rsidRDefault="001765A7" w:rsidP="00883B2D">
            <w:pPr>
              <w:pBdr>
                <w:top w:val="nil"/>
                <w:left w:val="nil"/>
                <w:bottom w:val="nil"/>
                <w:right w:val="nil"/>
                <w:between w:val="nil"/>
              </w:pBdr>
              <w:spacing w:line="276" w:lineRule="auto"/>
              <w:jc w:val="center"/>
              <w:rPr>
                <w:color w:val="000000"/>
                <w:sz w:val="20"/>
                <w:szCs w:val="20"/>
              </w:rPr>
            </w:pPr>
            <w:r w:rsidRPr="00355787">
              <w:rPr>
                <w:color w:val="000000"/>
                <w:sz w:val="20"/>
                <w:szCs w:val="20"/>
              </w:rPr>
              <w:t>Blood</w:t>
            </w:r>
            <w:r>
              <w:rPr>
                <w:color w:val="000000"/>
                <w:sz w:val="20"/>
                <w:szCs w:val="20"/>
              </w:rPr>
              <w:t>, claw</w:t>
            </w:r>
            <w:r w:rsidR="0086053F">
              <w:rPr>
                <w:color w:val="000000"/>
                <w:sz w:val="20"/>
                <w:szCs w:val="20"/>
              </w:rPr>
              <w:t>,</w:t>
            </w:r>
            <w:r>
              <w:rPr>
                <w:color w:val="000000"/>
                <w:sz w:val="20"/>
                <w:szCs w:val="20"/>
              </w:rPr>
              <w:t xml:space="preserve"> and hair:</w:t>
            </w:r>
          </w:p>
          <w:p w14:paraId="6AD7A1A7" w14:textId="77777777" w:rsidR="001765A7" w:rsidRDefault="001765A7" w:rsidP="00883B2D">
            <w:pPr>
              <w:pBdr>
                <w:top w:val="nil"/>
                <w:left w:val="nil"/>
                <w:bottom w:val="nil"/>
                <w:right w:val="nil"/>
                <w:between w:val="nil"/>
              </w:pBdr>
              <w:spacing w:line="276" w:lineRule="auto"/>
              <w:ind w:left="-108" w:right="-108"/>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w:t>
            </w:r>
            <w:r>
              <w:rPr>
                <w:color w:val="000000"/>
                <w:sz w:val="20"/>
                <w:szCs w:val="20"/>
                <w:vertAlign w:val="subscript"/>
              </w:rPr>
              <w:t>tive</w:t>
            </w:r>
          </w:p>
          <w:p w14:paraId="6D6177A8" w14:textId="77777777" w:rsidR="001765A7" w:rsidRDefault="001765A7" w:rsidP="00883B2D">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p w14:paraId="4F3848C3" w14:textId="77777777" w:rsidR="001765A7" w:rsidRDefault="001765A7" w:rsidP="00883B2D">
            <w:pPr>
              <w:pBdr>
                <w:top w:val="nil"/>
                <w:left w:val="nil"/>
                <w:bottom w:val="nil"/>
                <w:right w:val="nil"/>
                <w:between w:val="nil"/>
              </w:pBdr>
              <w:spacing w:line="276" w:lineRule="auto"/>
              <w:jc w:val="center"/>
              <w:rPr>
                <w:color w:val="000000"/>
                <w:sz w:val="20"/>
                <w:szCs w:val="20"/>
              </w:rPr>
            </w:pPr>
            <w:r>
              <w:rPr>
                <w:color w:val="000000"/>
                <w:sz w:val="20"/>
                <w:szCs w:val="20"/>
              </w:rPr>
              <w:t>Muscle:</w:t>
            </w:r>
          </w:p>
          <w:p w14:paraId="3D4C4DDC" w14:textId="77777777" w:rsidR="001765A7" w:rsidRDefault="001765A7" w:rsidP="00883B2D">
            <w:pPr>
              <w:pBdr>
                <w:top w:val="nil"/>
                <w:left w:val="nil"/>
                <w:bottom w:val="nil"/>
                <w:right w:val="nil"/>
                <w:between w:val="nil"/>
              </w:pBdr>
              <w:spacing w:line="276" w:lineRule="auto"/>
              <w:ind w:left="-108" w:right="-108"/>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w:t>
            </w:r>
            <w:r>
              <w:rPr>
                <w:color w:val="000000"/>
                <w:sz w:val="20"/>
                <w:szCs w:val="20"/>
                <w:vertAlign w:val="subscript"/>
              </w:rPr>
              <w:t>tive</w:t>
            </w:r>
          </w:p>
          <w:p w14:paraId="6C551387" w14:textId="3353D5C7" w:rsidR="001765A7" w:rsidRPr="00D13EFA" w:rsidRDefault="001765A7" w:rsidP="00883B2D">
            <w:pPr>
              <w:pBdr>
                <w:top w:val="nil"/>
                <w:left w:val="nil"/>
                <w:bottom w:val="nil"/>
                <w:right w:val="nil"/>
                <w:between w:val="nil"/>
              </w:pBdr>
              <w:spacing w:line="276" w:lineRule="auto"/>
              <w:jc w:val="center"/>
              <w:rPr>
                <w:color w:val="000000"/>
                <w:sz w:val="20"/>
                <w:szCs w:val="20"/>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vAlign w:val="center"/>
          </w:tcPr>
          <w:p w14:paraId="16DB17AF" w14:textId="4A1A4182" w:rsidR="001765A7" w:rsidRPr="002A69DD" w:rsidRDefault="009B27AA" w:rsidP="009B27AA">
            <w:pPr>
              <w:pBdr>
                <w:top w:val="nil"/>
                <w:left w:val="nil"/>
                <w:bottom w:val="nil"/>
                <w:right w:val="nil"/>
                <w:between w:val="nil"/>
              </w:pBd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{"citationID":"HJZi3vAo","properties":{"formattedCitation":"(Navarro, 2009)","plainCitation":"(Navarro, 2009)","noteIndex":0},"citationItems":[{"id":74,"uris":["http://zotero.org/users/9061160/items/BHVL5274"],"itemData":{"id":74,"type":"thesis","event-place":"Piracicaba","genre":"Mestrado em Ecologia Aplicada","language":"pt","note":"DOI: 10.11606/D.91.2009.tde-07082009-144857","publisher":"Universidade de São Paulo","publisher-place":"Piracicaba","source":"DOI.org (Crossref)","title":"Análise isotópica de diferentes tecidos de capivara (Hydrochoerus hydrochaeris) de criadouro e vida livre","URL":"http://www.teses.usp.br/teses/disponiveis/91/91131/tde-07082009-144857/","author":[{"family":"Navarro","given":"Sandra Maria"}],"accessed":{"date-parts":[["2022",2,8]]},"issued":{"date-parts":[["2009",6,26]]}}}],"schema":"https://github.com/citation-style-language/schema/raw/master/csl-citation.json"} </w:instrText>
            </w:r>
            <w:r>
              <w:rPr>
                <w:color w:val="000000"/>
                <w:sz w:val="20"/>
                <w:szCs w:val="20"/>
              </w:rPr>
              <w:fldChar w:fldCharType="separate"/>
            </w:r>
            <w:r w:rsidRPr="009B27AA">
              <w:rPr>
                <w:sz w:val="20"/>
              </w:rPr>
              <w:t>(Navarro, 2009)</w:t>
            </w:r>
            <w:r>
              <w:rPr>
                <w:color w:val="000000"/>
                <w:sz w:val="20"/>
                <w:szCs w:val="20"/>
              </w:rPr>
              <w:fldChar w:fldCharType="end"/>
            </w:r>
          </w:p>
        </w:tc>
      </w:tr>
      <w:tr w:rsidR="001765A7" w:rsidRPr="002A69DD" w14:paraId="093C2250" w14:textId="77777777" w:rsidTr="00E136C6">
        <w:trPr>
          <w:jc w:val="center"/>
        </w:trPr>
        <w:tc>
          <w:tcPr>
            <w:tcW w:w="1129" w:type="dxa"/>
            <w:vMerge/>
            <w:vAlign w:val="center"/>
          </w:tcPr>
          <w:p w14:paraId="1B696080" w14:textId="77777777" w:rsidR="001765A7" w:rsidRDefault="001765A7" w:rsidP="00883B2D">
            <w:pPr>
              <w:widowControl w:val="0"/>
              <w:pBdr>
                <w:top w:val="nil"/>
                <w:left w:val="nil"/>
                <w:bottom w:val="nil"/>
                <w:right w:val="nil"/>
                <w:between w:val="nil"/>
              </w:pBdr>
              <w:spacing w:after="120" w:line="276" w:lineRule="auto"/>
              <w:rPr>
                <w:color w:val="000000"/>
                <w:sz w:val="20"/>
                <w:szCs w:val="20"/>
              </w:rPr>
            </w:pPr>
          </w:p>
        </w:tc>
        <w:tc>
          <w:tcPr>
            <w:tcW w:w="1843" w:type="dxa"/>
            <w:shd w:val="clear" w:color="auto" w:fill="E7E6E6"/>
            <w:vAlign w:val="center"/>
          </w:tcPr>
          <w:p w14:paraId="34A7C62C" w14:textId="683C84E8" w:rsidR="001765A7" w:rsidRPr="002A69DD" w:rsidRDefault="001765A7" w:rsidP="00883B2D">
            <w:pPr>
              <w:spacing w:after="120" w:line="276" w:lineRule="auto"/>
              <w:jc w:val="center"/>
              <w:rPr>
                <w:i/>
                <w:sz w:val="20"/>
                <w:szCs w:val="20"/>
              </w:rPr>
            </w:pPr>
            <w:proofErr w:type="spellStart"/>
            <w:r w:rsidRPr="002A69DD">
              <w:rPr>
                <w:i/>
                <w:sz w:val="20"/>
                <w:szCs w:val="20"/>
              </w:rPr>
              <w:t>Phoca</w:t>
            </w:r>
            <w:proofErr w:type="spellEnd"/>
            <w:r w:rsidRPr="002A69DD">
              <w:rPr>
                <w:i/>
                <w:sz w:val="20"/>
                <w:szCs w:val="20"/>
              </w:rPr>
              <w:t xml:space="preserve"> </w:t>
            </w:r>
            <w:proofErr w:type="spellStart"/>
            <w:r w:rsidRPr="002A69DD">
              <w:rPr>
                <w:i/>
                <w:sz w:val="20"/>
                <w:szCs w:val="20"/>
              </w:rPr>
              <w:t>vitulina</w:t>
            </w:r>
            <w:proofErr w:type="spellEnd"/>
          </w:p>
        </w:tc>
        <w:tc>
          <w:tcPr>
            <w:tcW w:w="1276" w:type="dxa"/>
            <w:shd w:val="clear" w:color="auto" w:fill="E7E6E6"/>
            <w:vAlign w:val="center"/>
          </w:tcPr>
          <w:p w14:paraId="236A5E41" w14:textId="74C39736" w:rsidR="001765A7" w:rsidRPr="002A69DD" w:rsidRDefault="001765A7" w:rsidP="00883B2D">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shd w:val="clear" w:color="auto" w:fill="E7E6E6"/>
            <w:vAlign w:val="center"/>
          </w:tcPr>
          <w:p w14:paraId="42AE960A" w14:textId="0E8CF825"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Blood (serum)</w:t>
            </w:r>
          </w:p>
        </w:tc>
        <w:tc>
          <w:tcPr>
            <w:tcW w:w="1275" w:type="dxa"/>
            <w:shd w:val="clear" w:color="auto" w:fill="E7E6E6"/>
            <w:vAlign w:val="center"/>
          </w:tcPr>
          <w:p w14:paraId="3EBEE0D7" w14:textId="51184AEE"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Pr>
                <w:color w:val="000000"/>
                <w:sz w:val="20"/>
                <w:szCs w:val="20"/>
              </w:rPr>
              <w:t>USA</w:t>
            </w:r>
          </w:p>
        </w:tc>
        <w:tc>
          <w:tcPr>
            <w:tcW w:w="3119" w:type="dxa"/>
            <w:shd w:val="clear" w:color="auto" w:fill="E7E6E6"/>
          </w:tcPr>
          <w:p w14:paraId="15BC77CD" w14:textId="0D05A40F" w:rsidR="001765A7" w:rsidRPr="00FE2487" w:rsidRDefault="001765A7" w:rsidP="00883B2D">
            <w:pPr>
              <w:pBdr>
                <w:top w:val="nil"/>
                <w:left w:val="nil"/>
                <w:bottom w:val="nil"/>
                <w:right w:val="nil"/>
                <w:between w:val="nil"/>
              </w:pBdr>
              <w:spacing w:after="120" w:line="276" w:lineRule="auto"/>
              <w:jc w:val="center"/>
              <w:rPr>
                <w:color w:val="000000"/>
                <w:sz w:val="20"/>
                <w:szCs w:val="20"/>
              </w:rPr>
            </w:pPr>
            <w:r>
              <w:rPr>
                <w:color w:val="000000"/>
                <w:sz w:val="20"/>
                <w:szCs w:val="20"/>
              </w:rPr>
              <w:t xml:space="preserve">To </w:t>
            </w:r>
            <w:r w:rsidR="00A62328">
              <w:rPr>
                <w:color w:val="000000"/>
                <w:sz w:val="20"/>
                <w:szCs w:val="20"/>
              </w:rPr>
              <w:t>determine</w:t>
            </w:r>
            <w:r>
              <w:rPr>
                <w:color w:val="000000"/>
                <w:sz w:val="20"/>
                <w:szCs w:val="20"/>
              </w:rPr>
              <w:t xml:space="preserve"> t</w:t>
            </w:r>
            <w:r w:rsidRPr="00CF31E8">
              <w:rPr>
                <w:rFonts w:eastAsiaTheme="minorHAnsi"/>
                <w:sz w:val="20"/>
                <w:szCs w:val="20"/>
                <w:lang w:eastAsia="en-US"/>
              </w:rPr>
              <w:t xml:space="preserve">he trophic level and </w:t>
            </w:r>
            <w:r>
              <w:rPr>
                <w:rFonts w:eastAsiaTheme="minorHAnsi"/>
                <w:sz w:val="20"/>
                <w:szCs w:val="20"/>
                <w:lang w:eastAsia="en-US"/>
              </w:rPr>
              <w:t xml:space="preserve">DTDFs </w:t>
            </w:r>
            <w:r w:rsidRPr="00CF31E8">
              <w:rPr>
                <w:rFonts w:eastAsiaTheme="minorHAnsi"/>
                <w:sz w:val="20"/>
                <w:szCs w:val="20"/>
                <w:lang w:eastAsia="en-US"/>
              </w:rPr>
              <w:t xml:space="preserve">of different </w:t>
            </w:r>
            <w:r>
              <w:rPr>
                <w:rFonts w:eastAsiaTheme="minorHAnsi"/>
                <w:sz w:val="20"/>
                <w:szCs w:val="20"/>
                <w:lang w:eastAsia="en-US"/>
              </w:rPr>
              <w:t xml:space="preserve">tissues and </w:t>
            </w:r>
            <w:r w:rsidRPr="00CF31E8">
              <w:rPr>
                <w:rFonts w:eastAsiaTheme="minorHAnsi"/>
                <w:sz w:val="20"/>
                <w:szCs w:val="20"/>
                <w:lang w:eastAsia="en-US"/>
              </w:rPr>
              <w:t>groups of harbor seals</w:t>
            </w:r>
          </w:p>
        </w:tc>
        <w:tc>
          <w:tcPr>
            <w:tcW w:w="2551" w:type="dxa"/>
            <w:shd w:val="clear" w:color="auto" w:fill="E7E6E6"/>
            <w:vAlign w:val="center"/>
          </w:tcPr>
          <w:p w14:paraId="7E6F1BE0" w14:textId="77777777" w:rsidR="001765A7" w:rsidRDefault="001765A7" w:rsidP="00883B2D">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w:t>
            </w:r>
          </w:p>
          <w:p w14:paraId="3BC45E77" w14:textId="078D65C0" w:rsidR="001765A7" w:rsidRPr="00355787" w:rsidRDefault="001765A7" w:rsidP="00883B2D">
            <w:pPr>
              <w:pBdr>
                <w:top w:val="nil"/>
                <w:left w:val="nil"/>
                <w:bottom w:val="nil"/>
                <w:right w:val="nil"/>
                <w:between w:val="nil"/>
              </w:pBdr>
              <w:spacing w:line="276" w:lineRule="auto"/>
              <w:jc w:val="center"/>
              <w:rPr>
                <w:color w:val="000000"/>
                <w:sz w:val="20"/>
                <w:szCs w:val="20"/>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shd w:val="clear" w:color="auto" w:fill="E7E6E6"/>
            <w:vAlign w:val="center"/>
          </w:tcPr>
          <w:p w14:paraId="7768C435" w14:textId="30E6CE2B" w:rsidR="001765A7" w:rsidRPr="002A69DD" w:rsidRDefault="009B27AA" w:rsidP="009B27AA">
            <w:pPr>
              <w:pBdr>
                <w:top w:val="nil"/>
                <w:left w:val="nil"/>
                <w:bottom w:val="nil"/>
                <w:right w:val="nil"/>
                <w:between w:val="nil"/>
              </w:pBd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{"citationID":"bWmNnSfK","properties":{"formattedCitation":"(Germain et al., 2012)","plainCitation":"(Germain et al., 2012)","noteIndex":0},"citationItems":[{"id":160,"uris":["http://zotero.org/users/9061160/items/GUZGAHWA"],"itemData":{"id":160,"type":"article-journal","abstract":"Stable carbon and nitrogen isotope ratios (</w:instrText>
            </w:r>
            <w:r>
              <w:rPr>
                <w:rFonts w:ascii="Cascadia Code ExtraLight" w:hAnsi="Cascadia Code ExtraLight" w:cs="Cascadia Code ExtraLight"/>
                <w:color w:val="000000"/>
                <w:sz w:val="20"/>
                <w:szCs w:val="20"/>
              </w:rPr>
              <w:instrText>␦</w:instrText>
            </w:r>
            <w:r>
              <w:rPr>
                <w:color w:val="000000"/>
                <w:sz w:val="20"/>
                <w:szCs w:val="20"/>
              </w:rPr>
              <w:instrText xml:space="preserve">13C and </w:instrText>
            </w:r>
            <w:r>
              <w:rPr>
                <w:rFonts w:ascii="Cascadia Code ExtraLight" w:hAnsi="Cascadia Code ExtraLight" w:cs="Cascadia Code ExtraLight"/>
                <w:color w:val="000000"/>
                <w:sz w:val="20"/>
                <w:szCs w:val="20"/>
              </w:rPr>
              <w:instrText>␦</w:instrText>
            </w:r>
            <w:r>
              <w:rPr>
                <w:color w:val="000000"/>
                <w:sz w:val="20"/>
                <w:szCs w:val="20"/>
              </w:rPr>
              <w:instrText xml:space="preserve">15N) of serum, red blood cells (RBC), muscle, and blubber were measured in captive and wild northeast Paciﬁc harbor seals (Phoca vitulina richardii) at three coastal California sites (San Francisco Bay, Tomales Bay, and Channel Islands). Trophic discrimination factors ( Tissue−Diet) were calculated for captive seals and then applied in wild counterparts in each habitat to estimate trophic position and feeding behavior. Trophic discrimination factors for </w:instrText>
            </w:r>
            <w:r>
              <w:rPr>
                <w:rFonts w:ascii="Cascadia Code ExtraLight" w:hAnsi="Cascadia Code ExtraLight" w:cs="Cascadia Code ExtraLight"/>
                <w:color w:val="000000"/>
                <w:sz w:val="20"/>
                <w:szCs w:val="20"/>
              </w:rPr>
              <w:instrText>␦</w:instrText>
            </w:r>
            <w:r>
              <w:rPr>
                <w:color w:val="000000"/>
                <w:sz w:val="20"/>
                <w:szCs w:val="20"/>
              </w:rPr>
              <w:instrText xml:space="preserve">15N of serum (+3.8 ), lipid-extracted muscle (+1.6 ), and lipidblubber (+6.5 ) are proposed to determine trophic position. An offset between RBC and serum of +0.3 for </w:instrText>
            </w:r>
            <w:r>
              <w:rPr>
                <w:rFonts w:ascii="Cascadia Code ExtraLight" w:hAnsi="Cascadia Code ExtraLight" w:cs="Cascadia Code ExtraLight"/>
                <w:color w:val="000000"/>
                <w:sz w:val="20"/>
                <w:szCs w:val="20"/>
              </w:rPr>
              <w:instrText>␦</w:instrText>
            </w:r>
            <w:r>
              <w:rPr>
                <w:color w:val="000000"/>
                <w:sz w:val="20"/>
                <w:szCs w:val="20"/>
              </w:rPr>
              <w:instrText xml:space="preserve">13C and −0.6 for </w:instrText>
            </w:r>
            <w:r>
              <w:rPr>
                <w:rFonts w:ascii="Cascadia Code ExtraLight" w:hAnsi="Cascadia Code ExtraLight" w:cs="Cascadia Code ExtraLight"/>
                <w:color w:val="000000"/>
                <w:sz w:val="20"/>
                <w:szCs w:val="20"/>
              </w:rPr>
              <w:instrText>␦</w:instrText>
            </w:r>
            <w:r>
              <w:rPr>
                <w:color w:val="000000"/>
                <w:sz w:val="20"/>
                <w:szCs w:val="20"/>
              </w:rPr>
              <w:instrText xml:space="preserve">15N was observed, which is consistent with previous research. Speciﬁcally, weaner seals (&lt;1 yr) had large offsets, suggesting strong trophic position shifts during this life stage. Isotopic values indicated an average trophic position of 3.6 at both San Francisco Bay and Tomales Bay and 4.2 at Channel Islands. Isotopic means were strongly dependent on age class and also suggested that mean diet composition varies considerably between all locations. Together, these data indicate that isotopic composition of blood fractions can be an effective approach to estimate trophic position and dietary behavior in wild pinnipeds.","container-title":"Marine Mammal Science","DOI":"10.1111/j.1748-7692.2011.00516.x","ISSN":"08240469","issue":"3","language":"en","page":"542-560","source":"DOI.org (Crossref)","title":"Stable carbon and nitrogen isotopes in multiple tissues of wild and captive harbor seals (Phoca vitulina) off the California coast","volume":"28","author":[{"family":"Germain","given":"Leslie R."},{"family":"McCarthy","given":"Matthew D."},{"family":"Koch","given":"Paul L."},{"family":"Harvey","given":"James T."}],"issued":{"date-parts":[["2012",7]]}}}],"schema":"https://github.com/citation-style-language/schema/raw/master/csl-citation.json"} </w:instrText>
            </w:r>
            <w:r>
              <w:rPr>
                <w:color w:val="000000"/>
                <w:sz w:val="20"/>
                <w:szCs w:val="20"/>
              </w:rPr>
              <w:fldChar w:fldCharType="separate"/>
            </w:r>
            <w:r w:rsidRPr="009B27AA">
              <w:rPr>
                <w:sz w:val="20"/>
              </w:rPr>
              <w:t>(Germain et al., 2012)</w:t>
            </w:r>
            <w:r>
              <w:rPr>
                <w:color w:val="000000"/>
                <w:sz w:val="20"/>
                <w:szCs w:val="20"/>
              </w:rPr>
              <w:fldChar w:fldCharType="end"/>
            </w:r>
            <w:r>
              <w:rPr>
                <w:color w:val="000000"/>
                <w:sz w:val="20"/>
                <w:szCs w:val="20"/>
              </w:rPr>
              <w:t xml:space="preserve"> </w:t>
            </w:r>
          </w:p>
        </w:tc>
      </w:tr>
      <w:tr w:rsidR="001765A7" w:rsidRPr="002A69DD" w14:paraId="5DCE70A2" w14:textId="77777777" w:rsidTr="00E136C6">
        <w:trPr>
          <w:jc w:val="center"/>
        </w:trPr>
        <w:tc>
          <w:tcPr>
            <w:tcW w:w="1129" w:type="dxa"/>
            <w:vMerge/>
            <w:vAlign w:val="center"/>
          </w:tcPr>
          <w:p w14:paraId="62FD10AE" w14:textId="77777777" w:rsidR="001765A7" w:rsidRDefault="001765A7" w:rsidP="00883B2D">
            <w:pPr>
              <w:widowControl w:val="0"/>
              <w:pBdr>
                <w:top w:val="nil"/>
                <w:left w:val="nil"/>
                <w:bottom w:val="nil"/>
                <w:right w:val="nil"/>
                <w:between w:val="nil"/>
              </w:pBdr>
              <w:spacing w:after="120" w:line="276" w:lineRule="auto"/>
              <w:rPr>
                <w:color w:val="000000"/>
                <w:sz w:val="20"/>
                <w:szCs w:val="20"/>
              </w:rPr>
            </w:pPr>
          </w:p>
        </w:tc>
        <w:tc>
          <w:tcPr>
            <w:tcW w:w="1843" w:type="dxa"/>
            <w:vAlign w:val="center"/>
          </w:tcPr>
          <w:p w14:paraId="2175D734" w14:textId="4F892F88" w:rsidR="001765A7" w:rsidRPr="002A69DD" w:rsidRDefault="001765A7" w:rsidP="00883B2D">
            <w:pPr>
              <w:spacing w:after="120" w:line="276" w:lineRule="auto"/>
              <w:jc w:val="center"/>
              <w:rPr>
                <w:i/>
                <w:sz w:val="20"/>
                <w:szCs w:val="20"/>
              </w:rPr>
            </w:pPr>
            <w:r w:rsidRPr="002A69DD">
              <w:rPr>
                <w:i/>
                <w:color w:val="000000"/>
                <w:sz w:val="20"/>
                <w:szCs w:val="20"/>
              </w:rPr>
              <w:t xml:space="preserve">Loxodonta </w:t>
            </w:r>
            <w:proofErr w:type="spellStart"/>
            <w:r w:rsidRPr="002A69DD">
              <w:rPr>
                <w:i/>
                <w:color w:val="000000"/>
                <w:sz w:val="20"/>
                <w:szCs w:val="20"/>
              </w:rPr>
              <w:t>africana</w:t>
            </w:r>
            <w:proofErr w:type="spellEnd"/>
          </w:p>
        </w:tc>
        <w:tc>
          <w:tcPr>
            <w:tcW w:w="1276" w:type="dxa"/>
            <w:vAlign w:val="center"/>
          </w:tcPr>
          <w:p w14:paraId="40CDA043" w14:textId="5CF15C7B" w:rsidR="001765A7" w:rsidRPr="002A69DD" w:rsidRDefault="001765A7" w:rsidP="00883B2D">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vAlign w:val="center"/>
          </w:tcPr>
          <w:p w14:paraId="2B89F0ED" w14:textId="3275BFFD"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Hair</w:t>
            </w:r>
          </w:p>
        </w:tc>
        <w:tc>
          <w:tcPr>
            <w:tcW w:w="1275" w:type="dxa"/>
            <w:vAlign w:val="center"/>
          </w:tcPr>
          <w:p w14:paraId="65EC6B9E" w14:textId="6A531690"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South Africa</w:t>
            </w:r>
          </w:p>
        </w:tc>
        <w:tc>
          <w:tcPr>
            <w:tcW w:w="3119" w:type="dxa"/>
          </w:tcPr>
          <w:p w14:paraId="2A40AF74" w14:textId="1095815C" w:rsidR="001765A7" w:rsidRPr="00CF31E8" w:rsidRDefault="001765A7" w:rsidP="00883B2D">
            <w:pPr>
              <w:pBdr>
                <w:top w:val="nil"/>
                <w:left w:val="nil"/>
                <w:bottom w:val="nil"/>
                <w:right w:val="nil"/>
                <w:between w:val="nil"/>
              </w:pBdr>
              <w:spacing w:line="276" w:lineRule="auto"/>
              <w:jc w:val="center"/>
              <w:rPr>
                <w:i/>
                <w:iCs/>
                <w:color w:val="000000"/>
                <w:sz w:val="20"/>
                <w:szCs w:val="20"/>
              </w:rPr>
            </w:pPr>
            <w:r>
              <w:rPr>
                <w:color w:val="000000"/>
                <w:sz w:val="20"/>
                <w:szCs w:val="20"/>
              </w:rPr>
              <w:t xml:space="preserve">To compare the </w:t>
            </w:r>
            <w:r w:rsidRPr="007466C6">
              <w:rPr>
                <w:color w:val="000000"/>
                <w:sz w:val="20"/>
                <w:szCs w:val="20"/>
              </w:rPr>
              <w:t>patterns</w:t>
            </w:r>
            <w:r>
              <w:rPr>
                <w:color w:val="000000"/>
                <w:sz w:val="20"/>
                <w:szCs w:val="20"/>
              </w:rPr>
              <w:t xml:space="preserve"> </w:t>
            </w:r>
            <w:r w:rsidRPr="007466C6">
              <w:rPr>
                <w:color w:val="000000"/>
                <w:sz w:val="20"/>
                <w:szCs w:val="20"/>
              </w:rPr>
              <w:t>of seasonal dietary variability across individuals</w:t>
            </w:r>
            <w:r>
              <w:rPr>
                <w:color w:val="000000"/>
                <w:sz w:val="20"/>
                <w:szCs w:val="20"/>
              </w:rPr>
              <w:t xml:space="preserve"> of </w:t>
            </w:r>
            <w:r>
              <w:rPr>
                <w:i/>
                <w:iCs/>
                <w:color w:val="000000"/>
                <w:sz w:val="20"/>
                <w:szCs w:val="20"/>
              </w:rPr>
              <w:t>L. Africana.</w:t>
            </w:r>
          </w:p>
        </w:tc>
        <w:tc>
          <w:tcPr>
            <w:tcW w:w="2551" w:type="dxa"/>
            <w:vAlign w:val="center"/>
          </w:tcPr>
          <w:p w14:paraId="5290613D" w14:textId="77777777" w:rsidR="001765A7" w:rsidRDefault="001765A7" w:rsidP="00883B2D">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&lt;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w:t>
            </w:r>
          </w:p>
          <w:p w14:paraId="4D70BC63" w14:textId="07EF518E" w:rsidR="001765A7" w:rsidRPr="002A69DD" w:rsidRDefault="001765A7" w:rsidP="00883B2D">
            <w:pPr>
              <w:pBdr>
                <w:top w:val="nil"/>
                <w:left w:val="nil"/>
                <w:bottom w:val="nil"/>
                <w:right w:val="nil"/>
                <w:between w:val="nil"/>
              </w:pBdr>
              <w:spacing w:line="276" w:lineRule="auto"/>
              <w:jc w:val="center"/>
              <w:rPr>
                <w:color w:val="000000"/>
                <w:sz w:val="20"/>
                <w:szCs w:val="20"/>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vAlign w:val="center"/>
          </w:tcPr>
          <w:p w14:paraId="78F8046B" w14:textId="15A9D236" w:rsidR="001765A7" w:rsidRPr="002A69DD" w:rsidRDefault="009B27AA" w:rsidP="009B27AA">
            <w:pPr>
              <w:pBdr>
                <w:top w:val="nil"/>
                <w:left w:val="nil"/>
                <w:bottom w:val="nil"/>
                <w:right w:val="nil"/>
                <w:between w:val="nil"/>
              </w:pBdr>
              <w:spacing w:after="12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{"citationID":"rYCDI86h","properties":{"formattedCitation":"(Codron et al., 2013)","plainCitation":"(Codron et al., 2013)","noteIndex":0},"citationItems":[{"id":144,"uris":["http://zotero.org/users/9061160/items/HISSJ84S"],"itemData":{"id":144,"type":"article-journal","abstract":"Many herbivore species expand their dietary niche breadths by switching from browse-rich diets in dry seasons to grass-rich diets in rainy seasons, in response to phenological changes in plant availability and quality. We analyzed stable isotope series along tail hairs of captive and free-ranging African elephant (Loxodonta africana (Blumenbach, 1797)) to compare patterns of seasonal dietary variability across individuals. Results from elephants translocated from the wild into captivity, where their diets are semicontrolled, revealed tail hair growth rates of ϳ0.34 mm/day, on average, and relatively rapid isotope turnover through the transition from wild into captivity. Sampling hairs at 10 mm increments thus archives dietary chronologies at a resolution suitable for tracking diet switches at seasonal, and even subseasonal, scales. Hairs of free-ranging elephants showed extensive carbon isotopic variability within individuals, consistent with seasonal switches between C3-browsing and C4-grazing. Similarly extensive, but asynchronous, shifts in nitrogen isotope ratios were also observed, suggesting an inﬂuence of factors other than seasonality. Across individuals, switching patterns differed across habitats, and across age classes, with older, larger animals including increasing amounts of C3 browse into their diets. These results demonstrate how stable isotope approaches characterize complex patterns of resource use in wildlife populations.","container-title":"Canadian Journal of Zoology","DOI":"10.1139/cjz-2012-0155","ISSN":"0008-4301, 1480-3283","issue":"3","journalAbbreviation":"Can. J. Zool.","language":"en","page":"124-134","source":"DOI.org (Crossref)","title":"Stable isotope turnover and variability in tail hairs of captive and free-ranging African elephants ( &lt;i&gt;Loxodonta africana&lt;/i&gt; ) reveal dietary niche differences within populations","volume":"91","author":[{"family":"Codron","given":"Jacqueline"},{"family":"Kirkman","given":"Kevin"},{"family":"Duffy","given":"Kevin J."},{"family":"Sponheimer","given":"Matt"},{"family":"Lee-Thorp","given":"Julia A."},{"family":"Ganswindt","given":"Andre"},{"family":"Clauss","given":"Marcus"},{"family":"Codron","given":"Daryl"}],"issued":{"date-parts":[["2013",3]]}}}],"schema":"https://github.com/citation-style-language/schema/raw/master/csl-citation.json"} </w:instrText>
            </w:r>
            <w:r>
              <w:rPr>
                <w:color w:val="000000"/>
                <w:sz w:val="20"/>
                <w:szCs w:val="20"/>
              </w:rPr>
              <w:fldChar w:fldCharType="separate"/>
            </w:r>
            <w:r w:rsidRPr="009B27AA">
              <w:rPr>
                <w:sz w:val="20"/>
              </w:rPr>
              <w:t>(Codron et al., 2013)</w:t>
            </w:r>
            <w:r>
              <w:rPr>
                <w:color w:val="000000"/>
                <w:sz w:val="20"/>
                <w:szCs w:val="20"/>
              </w:rPr>
              <w:fldChar w:fldCharType="end"/>
            </w:r>
          </w:p>
        </w:tc>
      </w:tr>
      <w:tr w:rsidR="001765A7" w:rsidRPr="002A69DD" w14:paraId="5A684E09" w14:textId="77777777" w:rsidTr="00E136C6">
        <w:trPr>
          <w:jc w:val="center"/>
        </w:trPr>
        <w:tc>
          <w:tcPr>
            <w:tcW w:w="1129" w:type="dxa"/>
            <w:vMerge/>
            <w:vAlign w:val="center"/>
          </w:tcPr>
          <w:p w14:paraId="53C3E91E" w14:textId="77777777" w:rsidR="001765A7" w:rsidRDefault="001765A7" w:rsidP="00883B2D">
            <w:pPr>
              <w:widowControl w:val="0"/>
              <w:pBdr>
                <w:top w:val="nil"/>
                <w:left w:val="nil"/>
                <w:bottom w:val="nil"/>
                <w:right w:val="nil"/>
                <w:between w:val="nil"/>
              </w:pBdr>
              <w:spacing w:after="120" w:line="276" w:lineRule="auto"/>
              <w:rPr>
                <w:color w:val="000000"/>
                <w:sz w:val="20"/>
                <w:szCs w:val="20"/>
              </w:rPr>
            </w:pPr>
          </w:p>
        </w:tc>
        <w:tc>
          <w:tcPr>
            <w:tcW w:w="1843" w:type="dxa"/>
            <w:shd w:val="clear" w:color="auto" w:fill="E7E6E6"/>
            <w:vAlign w:val="center"/>
          </w:tcPr>
          <w:p w14:paraId="1DD2FDD1" w14:textId="63331E93" w:rsidR="001765A7" w:rsidRPr="002A69DD" w:rsidRDefault="001765A7" w:rsidP="00883B2D">
            <w:pPr>
              <w:spacing w:after="120" w:line="276" w:lineRule="auto"/>
              <w:jc w:val="center"/>
              <w:rPr>
                <w:i/>
                <w:color w:val="000000"/>
                <w:sz w:val="20"/>
                <w:szCs w:val="20"/>
                <w:lang w:val="pt-BR"/>
              </w:rPr>
            </w:pPr>
            <w:proofErr w:type="spellStart"/>
            <w:r w:rsidRPr="002A69DD">
              <w:rPr>
                <w:i/>
                <w:color w:val="000000"/>
                <w:sz w:val="20"/>
                <w:szCs w:val="20"/>
              </w:rPr>
              <w:t>Otaria</w:t>
            </w:r>
            <w:proofErr w:type="spellEnd"/>
            <w:r w:rsidRPr="002A69DD">
              <w:rPr>
                <w:i/>
                <w:color w:val="000000"/>
                <w:sz w:val="20"/>
                <w:szCs w:val="20"/>
              </w:rPr>
              <w:t xml:space="preserve"> </w:t>
            </w:r>
            <w:proofErr w:type="spellStart"/>
            <w:r w:rsidRPr="002A69DD">
              <w:rPr>
                <w:i/>
                <w:color w:val="000000"/>
                <w:sz w:val="20"/>
                <w:szCs w:val="20"/>
              </w:rPr>
              <w:t>flavescens</w:t>
            </w:r>
            <w:proofErr w:type="spellEnd"/>
          </w:p>
        </w:tc>
        <w:tc>
          <w:tcPr>
            <w:tcW w:w="1276" w:type="dxa"/>
            <w:shd w:val="clear" w:color="auto" w:fill="E7E6E6"/>
            <w:vAlign w:val="center"/>
          </w:tcPr>
          <w:p w14:paraId="425FED34" w14:textId="24C0950F" w:rsidR="001765A7" w:rsidRPr="002A69DD" w:rsidRDefault="001765A7" w:rsidP="00883B2D">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shd w:val="clear" w:color="auto" w:fill="E7E6E6"/>
            <w:vAlign w:val="center"/>
          </w:tcPr>
          <w:p w14:paraId="751BB928" w14:textId="2BFC58BE"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 xml:space="preserve">Blood (RBC and </w:t>
            </w:r>
            <w:r>
              <w:rPr>
                <w:color w:val="000000"/>
                <w:sz w:val="20"/>
                <w:szCs w:val="20"/>
              </w:rPr>
              <w:t>serum</w:t>
            </w:r>
            <w:r w:rsidRPr="002A69DD">
              <w:rPr>
                <w:color w:val="000000"/>
                <w:sz w:val="20"/>
                <w:szCs w:val="20"/>
              </w:rPr>
              <w:t>)</w:t>
            </w:r>
          </w:p>
        </w:tc>
        <w:tc>
          <w:tcPr>
            <w:tcW w:w="1275" w:type="dxa"/>
            <w:shd w:val="clear" w:color="auto" w:fill="E7E6E6"/>
            <w:vAlign w:val="center"/>
          </w:tcPr>
          <w:p w14:paraId="439B287F" w14:textId="6577061A"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Pr>
                <w:color w:val="000000"/>
                <w:sz w:val="20"/>
                <w:szCs w:val="20"/>
              </w:rPr>
              <w:t>Uruguay; Spain</w:t>
            </w:r>
          </w:p>
        </w:tc>
        <w:tc>
          <w:tcPr>
            <w:tcW w:w="3119" w:type="dxa"/>
            <w:shd w:val="clear" w:color="auto" w:fill="E7E6E6"/>
          </w:tcPr>
          <w:p w14:paraId="7629E507" w14:textId="6FF893E0" w:rsidR="001765A7" w:rsidRPr="00EE264E" w:rsidRDefault="001765A7" w:rsidP="00883B2D">
            <w:pPr>
              <w:pBdr>
                <w:top w:val="nil"/>
                <w:left w:val="nil"/>
                <w:bottom w:val="nil"/>
                <w:right w:val="nil"/>
                <w:between w:val="nil"/>
              </w:pBdr>
              <w:spacing w:line="276" w:lineRule="auto"/>
              <w:jc w:val="center"/>
              <w:rPr>
                <w:color w:val="000000"/>
                <w:sz w:val="20"/>
                <w:szCs w:val="20"/>
              </w:rPr>
            </w:pPr>
            <w:r>
              <w:rPr>
                <w:color w:val="000000"/>
                <w:sz w:val="20"/>
                <w:szCs w:val="20"/>
              </w:rPr>
              <w:t xml:space="preserve">To estimate DTDF for females and pups </w:t>
            </w:r>
            <w:r>
              <w:rPr>
                <w:i/>
                <w:iCs/>
                <w:color w:val="000000"/>
                <w:sz w:val="20"/>
                <w:szCs w:val="20"/>
              </w:rPr>
              <w:t xml:space="preserve">O. </w:t>
            </w:r>
            <w:proofErr w:type="spellStart"/>
            <w:r>
              <w:rPr>
                <w:i/>
                <w:iCs/>
                <w:color w:val="000000"/>
                <w:sz w:val="20"/>
                <w:szCs w:val="20"/>
              </w:rPr>
              <w:t>flavescens</w:t>
            </w:r>
            <w:proofErr w:type="spellEnd"/>
            <w:r>
              <w:rPr>
                <w:i/>
                <w:iCs/>
                <w:color w:val="000000"/>
                <w:sz w:val="20"/>
                <w:szCs w:val="20"/>
              </w:rPr>
              <w:t xml:space="preserve"> </w:t>
            </w:r>
            <w:r>
              <w:rPr>
                <w:color w:val="000000"/>
                <w:sz w:val="20"/>
                <w:szCs w:val="20"/>
              </w:rPr>
              <w:t>in the wild and captive.</w:t>
            </w:r>
          </w:p>
        </w:tc>
        <w:tc>
          <w:tcPr>
            <w:tcW w:w="2551" w:type="dxa"/>
            <w:shd w:val="clear" w:color="auto" w:fill="E7E6E6"/>
            <w:vAlign w:val="center"/>
          </w:tcPr>
          <w:p w14:paraId="58639B4C" w14:textId="6E55F445" w:rsidR="001765A7" w:rsidRDefault="001765A7" w:rsidP="00EE264E">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w:t>
            </w:r>
          </w:p>
          <w:p w14:paraId="27E6CBC2" w14:textId="0049A3AE" w:rsidR="001765A7" w:rsidRPr="002A69DD" w:rsidRDefault="001765A7" w:rsidP="00EE264E">
            <w:pPr>
              <w:pBdr>
                <w:top w:val="nil"/>
                <w:left w:val="nil"/>
                <w:bottom w:val="nil"/>
                <w:right w:val="nil"/>
                <w:between w:val="nil"/>
              </w:pBdr>
              <w:spacing w:after="120" w:line="276" w:lineRule="auto"/>
              <w:jc w:val="center"/>
              <w:rPr>
                <w:color w:val="000000"/>
                <w:sz w:val="20"/>
                <w:szCs w:val="20"/>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shd w:val="clear" w:color="auto" w:fill="E7E6E6"/>
            <w:vAlign w:val="center"/>
          </w:tcPr>
          <w:p w14:paraId="5C2389BF" w14:textId="67EFF8C9" w:rsidR="001765A7" w:rsidRPr="009B27AA" w:rsidRDefault="009B27AA" w:rsidP="009B27AA">
            <w:pPr>
              <w:spacing w:after="120" w:line="276" w:lineRule="auto"/>
              <w:jc w:val="center"/>
              <w:rPr>
                <w:color w:val="000000"/>
                <w:sz w:val="20"/>
                <w:szCs w:val="20"/>
              </w:rPr>
            </w:pPr>
            <w:r>
              <w:rPr>
                <w:color w:val="000000"/>
                <w:sz w:val="20"/>
                <w:szCs w:val="20"/>
                <w:lang w:val="pt-BR"/>
              </w:rPr>
              <w:fldChar w:fldCharType="begin"/>
            </w:r>
            <w:r w:rsidRPr="009B27AA">
              <w:rPr>
                <w:color w:val="000000"/>
                <w:sz w:val="20"/>
                <w:szCs w:val="20"/>
              </w:rPr>
              <w:instrText xml:space="preserve"> ADDIN ZOTERO_ITEM CSL_CITATION {"citationID":"ejYSxxTt","properties":{"formattedCitation":"(Drago et al., 2015)","plainCitation":"(Drago et al., 2015)","noteIndex":0},"citationItems":[{"id":143,"uris":["http://zotero.org/users/9061160/items/64IVRZN7"],"itemData":{"id":143,"type":"article-journal","abstract":"METHODS: Stable carbon and nitrogen isotope ratios in the blood components of two female-pup pairs and females’ prey muscle from captive individuals were determined by elemental analyzer/isotope ratio mass spectrometry (EA/IRMS) to calculate the respective isotopic discrimination factors. The same analysis was carried out in both blood components, and skin and hair tissues for eight female-pup pairs from wild individuals.\nRESULTS: Mean diet-to-female </w:instrText>
            </w:r>
            <w:r>
              <w:rPr>
                <w:color w:val="000000"/>
                <w:sz w:val="20"/>
                <w:szCs w:val="20"/>
                <w:lang w:val="pt-BR"/>
              </w:rPr>
              <w:instrText>Δ</w:instrText>
            </w:r>
            <w:r w:rsidRPr="009B27AA">
              <w:rPr>
                <w:color w:val="000000"/>
                <w:sz w:val="20"/>
                <w:szCs w:val="20"/>
              </w:rPr>
              <w:instrText xml:space="preserve">13C and </w:instrText>
            </w:r>
            <w:r>
              <w:rPr>
                <w:color w:val="000000"/>
                <w:sz w:val="20"/>
                <w:szCs w:val="20"/>
                <w:lang w:val="pt-BR"/>
              </w:rPr>
              <w:instrText>Δ</w:instrText>
            </w:r>
            <w:r w:rsidRPr="009B27AA">
              <w:rPr>
                <w:color w:val="000000"/>
                <w:sz w:val="20"/>
                <w:szCs w:val="20"/>
              </w:rPr>
              <w:instrText xml:space="preserve">15N values were higher than the female-to-pup ones. Pup tissues were more 15N-enriched than their mothers but 13C-depleted in serum and plasma tissues. In most of the tissue comparisons, we found differences in both </w:instrText>
            </w:r>
            <w:r>
              <w:rPr>
                <w:color w:val="000000"/>
                <w:sz w:val="20"/>
                <w:szCs w:val="20"/>
                <w:lang w:val="pt-BR"/>
              </w:rPr>
              <w:instrText>Δ</w:instrText>
            </w:r>
            <w:r w:rsidRPr="009B27AA">
              <w:rPr>
                <w:color w:val="000000"/>
                <w:sz w:val="20"/>
                <w:szCs w:val="20"/>
              </w:rPr>
              <w:instrText xml:space="preserve">15N and </w:instrText>
            </w:r>
            <w:r>
              <w:rPr>
                <w:color w:val="000000"/>
                <w:sz w:val="20"/>
                <w:szCs w:val="20"/>
                <w:lang w:val="pt-BR"/>
              </w:rPr>
              <w:instrText>Δ</w:instrText>
            </w:r>
            <w:r w:rsidRPr="009B27AA">
              <w:rPr>
                <w:color w:val="000000"/>
                <w:sz w:val="20"/>
                <w:szCs w:val="20"/>
              </w:rPr>
              <w:instrText>13C values, supporting tissue-speci</w:instrText>
            </w:r>
            <w:r>
              <w:rPr>
                <w:color w:val="000000"/>
                <w:sz w:val="20"/>
                <w:szCs w:val="20"/>
                <w:lang w:val="pt-BR"/>
              </w:rPr>
              <w:instrText>ﬁ</w:instrText>
            </w:r>
            <w:r w:rsidRPr="009B27AA">
              <w:rPr>
                <w:color w:val="000000"/>
                <w:sz w:val="20"/>
                <w:szCs w:val="20"/>
              </w:rPr>
              <w:instrText xml:space="preserve">c discrimination. We found no differences between captive and wild female-to-pup discrimination factors either in </w:instrText>
            </w:r>
            <w:r>
              <w:rPr>
                <w:color w:val="000000"/>
                <w:sz w:val="20"/>
                <w:szCs w:val="20"/>
                <w:lang w:val="pt-BR"/>
              </w:rPr>
              <w:instrText>Δ</w:instrText>
            </w:r>
            <w:r w:rsidRPr="009B27AA">
              <w:rPr>
                <w:color w:val="000000"/>
                <w:sz w:val="20"/>
                <w:szCs w:val="20"/>
              </w:rPr>
              <w:instrText xml:space="preserve">13C or </w:instrText>
            </w:r>
            <w:r>
              <w:rPr>
                <w:color w:val="000000"/>
                <w:sz w:val="20"/>
                <w:szCs w:val="20"/>
                <w:lang w:val="pt-BR"/>
              </w:rPr>
              <w:instrText>Δ</w:instrText>
            </w:r>
            <w:r w:rsidRPr="009B27AA">
              <w:rPr>
                <w:color w:val="000000"/>
                <w:sz w:val="20"/>
                <w:szCs w:val="20"/>
              </w:rPr>
              <w:instrText xml:space="preserve">15N values of blood components.\nCONCLUSIONS: Only the stable isotope ratios in pup blood are good proxies of the individual lactating females. Thus, we suggest that blood components are more appropriate to quantify the feeding habits of wild individuals of this species. Furthermore, because female-to-pup discrimination factors for blood components did not differ between captive and wild individuals, we suggest that results for captive experiments can be extrapolated to wild South American sea lion populations. Copyright © 2015 John Wiley &amp; Sons, Ltd.","container-title":"Rapid Communications in Mass Spectrometry","DOI":"10.1002/rcm.7249","ISSN":"09514198","issue":"16","journalAbbreviation":"Rapid Commun. Mass Spectrom.","language":"en","page":"1513-1520","source":"DOI.org (Crossref)","title":"Diet-to-female and female-to-pup isotopic discrimination in South American sea lions: Isotopic discrimination factors in South American sea lions","title-short":"Diet-to-female and female-to-pup isotopic discrimination in South American sea lions","volume":"29","author":[{"family":"Drago","given":"Massimiliano"},{"family":"Franco-Trecu","given":"Valentina"},{"family":"Cardona","given":"Luis"},{"family":"Inchausti","given":"Pablo"}],"issued":{"date-parts":[["2015",8,30]]}}}],"schema":"https://github.com/citation-style-language/schema/raw/master/csl-citation.json"} </w:instrText>
            </w:r>
            <w:r>
              <w:rPr>
                <w:color w:val="000000"/>
                <w:sz w:val="20"/>
                <w:szCs w:val="20"/>
                <w:lang w:val="pt-BR"/>
              </w:rPr>
              <w:fldChar w:fldCharType="separate"/>
            </w:r>
            <w:r w:rsidRPr="009B27AA">
              <w:rPr>
                <w:sz w:val="20"/>
              </w:rPr>
              <w:t>(Drago et al., 2015)</w:t>
            </w:r>
            <w:r>
              <w:rPr>
                <w:color w:val="000000"/>
                <w:sz w:val="20"/>
                <w:szCs w:val="20"/>
                <w:lang w:val="pt-BR"/>
              </w:rPr>
              <w:fldChar w:fldCharType="end"/>
            </w:r>
            <w:r w:rsidR="00E136C6" w:rsidRPr="009B27AA">
              <w:rPr>
                <w:color w:val="000000"/>
                <w:sz w:val="20"/>
                <w:szCs w:val="20"/>
                <w:vertAlign w:val="superscript"/>
              </w:rPr>
              <w:t>*</w:t>
            </w:r>
          </w:p>
        </w:tc>
      </w:tr>
      <w:tr w:rsidR="001765A7" w:rsidRPr="009B27AA" w14:paraId="220ADAA1" w14:textId="77777777" w:rsidTr="00E136C6">
        <w:trPr>
          <w:jc w:val="center"/>
        </w:trPr>
        <w:tc>
          <w:tcPr>
            <w:tcW w:w="1129" w:type="dxa"/>
            <w:vMerge/>
            <w:vAlign w:val="center"/>
          </w:tcPr>
          <w:p w14:paraId="1D018AD0" w14:textId="77777777" w:rsidR="001765A7" w:rsidRDefault="001765A7" w:rsidP="00883B2D">
            <w:pPr>
              <w:widowControl w:val="0"/>
              <w:pBdr>
                <w:top w:val="nil"/>
                <w:left w:val="nil"/>
                <w:bottom w:val="nil"/>
                <w:right w:val="nil"/>
                <w:between w:val="nil"/>
              </w:pBdr>
              <w:spacing w:after="120" w:line="276" w:lineRule="auto"/>
              <w:rPr>
                <w:color w:val="000000"/>
                <w:sz w:val="20"/>
                <w:szCs w:val="20"/>
              </w:rPr>
            </w:pPr>
          </w:p>
        </w:tc>
        <w:tc>
          <w:tcPr>
            <w:tcW w:w="1843" w:type="dxa"/>
            <w:shd w:val="clear" w:color="auto" w:fill="FFFFFF" w:themeFill="background1"/>
            <w:vAlign w:val="center"/>
          </w:tcPr>
          <w:p w14:paraId="5F370CE0" w14:textId="1E37F15C" w:rsidR="001765A7" w:rsidRPr="002A69DD" w:rsidRDefault="001765A7" w:rsidP="00883B2D">
            <w:pPr>
              <w:spacing w:after="120" w:line="276" w:lineRule="auto"/>
              <w:jc w:val="center"/>
              <w:rPr>
                <w:i/>
                <w:color w:val="000000"/>
                <w:sz w:val="20"/>
                <w:szCs w:val="20"/>
                <w:lang w:val="pt-BR"/>
              </w:rPr>
            </w:pPr>
            <w:proofErr w:type="spellStart"/>
            <w:r w:rsidRPr="002A69DD">
              <w:rPr>
                <w:i/>
                <w:color w:val="000000"/>
                <w:sz w:val="20"/>
                <w:szCs w:val="20"/>
              </w:rPr>
              <w:t>Otaria</w:t>
            </w:r>
            <w:proofErr w:type="spellEnd"/>
            <w:r w:rsidRPr="002A69DD">
              <w:rPr>
                <w:i/>
                <w:color w:val="000000"/>
                <w:sz w:val="20"/>
                <w:szCs w:val="20"/>
              </w:rPr>
              <w:t xml:space="preserve"> </w:t>
            </w:r>
            <w:proofErr w:type="spellStart"/>
            <w:r w:rsidRPr="002A69DD">
              <w:rPr>
                <w:i/>
                <w:color w:val="000000"/>
                <w:sz w:val="20"/>
                <w:szCs w:val="20"/>
              </w:rPr>
              <w:t>flavescens</w:t>
            </w:r>
            <w:proofErr w:type="spellEnd"/>
          </w:p>
        </w:tc>
        <w:tc>
          <w:tcPr>
            <w:tcW w:w="1276" w:type="dxa"/>
            <w:shd w:val="clear" w:color="auto" w:fill="FFFFFF" w:themeFill="background1"/>
            <w:vAlign w:val="center"/>
          </w:tcPr>
          <w:p w14:paraId="5DF5D9DF" w14:textId="684043B4" w:rsidR="001765A7" w:rsidRPr="002A69DD" w:rsidRDefault="001765A7" w:rsidP="00883B2D">
            <w:pPr>
              <w:pBdr>
                <w:top w:val="nil"/>
                <w:left w:val="nil"/>
                <w:bottom w:val="nil"/>
                <w:right w:val="nil"/>
                <w:between w:val="nil"/>
              </w:pBdr>
              <w:spacing w:after="120" w:line="276" w:lineRule="auto"/>
              <w:jc w:val="center"/>
              <w:rPr>
                <w:i/>
                <w:color w:val="000000"/>
                <w:sz w:val="20"/>
                <w:szCs w:val="20"/>
              </w:rPr>
            </w:pPr>
            <w:r w:rsidRPr="002A69DD">
              <w:rPr>
                <w:i/>
                <w:color w:val="000000"/>
                <w:sz w:val="20"/>
                <w:szCs w:val="20"/>
              </w:rPr>
              <w:t>δ</w:t>
            </w:r>
            <w:r w:rsidRPr="002A69DD">
              <w:rPr>
                <w:color w:val="000000"/>
                <w:sz w:val="20"/>
                <w:szCs w:val="20"/>
                <w:vertAlign w:val="superscript"/>
              </w:rPr>
              <w:t>13</w:t>
            </w:r>
            <w:r w:rsidRPr="002A69DD">
              <w:rPr>
                <w:color w:val="000000"/>
                <w:sz w:val="20"/>
                <w:szCs w:val="20"/>
              </w:rPr>
              <w:t xml:space="preserve">C, </w:t>
            </w:r>
            <w:r w:rsidRPr="002A69DD">
              <w:rPr>
                <w:i/>
                <w:color w:val="000000"/>
                <w:sz w:val="20"/>
                <w:szCs w:val="20"/>
              </w:rPr>
              <w:t>δ</w:t>
            </w:r>
            <w:r w:rsidRPr="002A69DD">
              <w:rPr>
                <w:color w:val="000000"/>
                <w:sz w:val="20"/>
                <w:szCs w:val="20"/>
                <w:vertAlign w:val="superscript"/>
              </w:rPr>
              <w:t>15</w:t>
            </w:r>
            <w:r w:rsidRPr="002A69DD">
              <w:rPr>
                <w:color w:val="000000"/>
                <w:sz w:val="20"/>
                <w:szCs w:val="20"/>
              </w:rPr>
              <w:t>N</w:t>
            </w:r>
          </w:p>
        </w:tc>
        <w:tc>
          <w:tcPr>
            <w:tcW w:w="1276" w:type="dxa"/>
            <w:shd w:val="clear" w:color="auto" w:fill="FFFFFF" w:themeFill="background1"/>
            <w:vAlign w:val="center"/>
          </w:tcPr>
          <w:p w14:paraId="3BB41A73" w14:textId="25C29147"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Vibrissae</w:t>
            </w:r>
          </w:p>
        </w:tc>
        <w:tc>
          <w:tcPr>
            <w:tcW w:w="1275" w:type="dxa"/>
            <w:shd w:val="clear" w:color="auto" w:fill="FFFFFF" w:themeFill="background1"/>
            <w:vAlign w:val="center"/>
          </w:tcPr>
          <w:p w14:paraId="076790D6" w14:textId="3EF8D202"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2A69DD">
              <w:rPr>
                <w:color w:val="000000"/>
                <w:sz w:val="20"/>
                <w:szCs w:val="20"/>
              </w:rPr>
              <w:t>A</w:t>
            </w:r>
            <w:r>
              <w:rPr>
                <w:color w:val="000000"/>
                <w:sz w:val="20"/>
                <w:szCs w:val="20"/>
              </w:rPr>
              <w:t>r</w:t>
            </w:r>
            <w:r w:rsidRPr="002A69DD">
              <w:rPr>
                <w:color w:val="000000"/>
                <w:sz w:val="20"/>
                <w:szCs w:val="20"/>
              </w:rPr>
              <w:t>gentina; Spain</w:t>
            </w:r>
          </w:p>
        </w:tc>
        <w:tc>
          <w:tcPr>
            <w:tcW w:w="3119" w:type="dxa"/>
            <w:shd w:val="clear" w:color="auto" w:fill="FFFFFF" w:themeFill="background1"/>
          </w:tcPr>
          <w:p w14:paraId="1C401226" w14:textId="15027E2B" w:rsidR="001765A7" w:rsidRPr="00B704C2" w:rsidRDefault="001765A7" w:rsidP="00B704C2">
            <w:pPr>
              <w:pBdr>
                <w:top w:val="nil"/>
                <w:left w:val="nil"/>
                <w:bottom w:val="nil"/>
                <w:right w:val="nil"/>
                <w:between w:val="nil"/>
              </w:pBdr>
              <w:spacing w:line="276" w:lineRule="auto"/>
              <w:jc w:val="center"/>
              <w:rPr>
                <w:color w:val="000000"/>
                <w:sz w:val="20"/>
                <w:szCs w:val="20"/>
              </w:rPr>
            </w:pPr>
            <w:r>
              <w:rPr>
                <w:color w:val="000000"/>
                <w:sz w:val="20"/>
                <w:szCs w:val="20"/>
              </w:rPr>
              <w:t>To analyze t</w:t>
            </w:r>
            <w:r w:rsidRPr="001E1E1E">
              <w:rPr>
                <w:color w:val="000000"/>
                <w:sz w:val="20"/>
                <w:szCs w:val="20"/>
              </w:rPr>
              <w:t xml:space="preserve">he </w:t>
            </w:r>
            <w:r>
              <w:rPr>
                <w:color w:val="000000"/>
                <w:sz w:val="20"/>
                <w:szCs w:val="20"/>
              </w:rPr>
              <w:t>fluctuation</w:t>
            </w:r>
            <w:r w:rsidRPr="001E1E1E">
              <w:rPr>
                <w:color w:val="000000"/>
                <w:sz w:val="20"/>
                <w:szCs w:val="20"/>
              </w:rPr>
              <w:t xml:space="preserve"> in stable isotope values along the vibrissae from</w:t>
            </w:r>
            <w:r w:rsidR="00B704C2">
              <w:rPr>
                <w:color w:val="000000"/>
                <w:sz w:val="20"/>
                <w:szCs w:val="20"/>
              </w:rPr>
              <w:t xml:space="preserve"> </w:t>
            </w:r>
            <w:r w:rsidRPr="001E1E1E">
              <w:rPr>
                <w:color w:val="000000"/>
                <w:sz w:val="20"/>
                <w:szCs w:val="20"/>
              </w:rPr>
              <w:t xml:space="preserve">wild </w:t>
            </w:r>
            <w:r>
              <w:rPr>
                <w:color w:val="000000"/>
                <w:sz w:val="20"/>
                <w:szCs w:val="20"/>
              </w:rPr>
              <w:t xml:space="preserve">adult breeding </w:t>
            </w:r>
            <w:r>
              <w:rPr>
                <w:i/>
                <w:iCs/>
                <w:color w:val="000000"/>
                <w:sz w:val="20"/>
                <w:szCs w:val="20"/>
              </w:rPr>
              <w:t xml:space="preserve">O. </w:t>
            </w:r>
            <w:proofErr w:type="spellStart"/>
            <w:r>
              <w:rPr>
                <w:i/>
                <w:iCs/>
                <w:color w:val="000000"/>
                <w:sz w:val="20"/>
                <w:szCs w:val="20"/>
              </w:rPr>
              <w:t>flavescens</w:t>
            </w:r>
            <w:proofErr w:type="spellEnd"/>
          </w:p>
        </w:tc>
        <w:tc>
          <w:tcPr>
            <w:tcW w:w="2551" w:type="dxa"/>
            <w:shd w:val="clear" w:color="auto" w:fill="FFFFFF" w:themeFill="background1"/>
            <w:vAlign w:val="center"/>
          </w:tcPr>
          <w:p w14:paraId="75AB4B59" w14:textId="5A983542" w:rsidR="001765A7" w:rsidRDefault="001765A7" w:rsidP="00883B2D">
            <w:pPr>
              <w:pBdr>
                <w:top w:val="nil"/>
                <w:left w:val="nil"/>
                <w:bottom w:val="nil"/>
                <w:right w:val="nil"/>
                <w:between w:val="nil"/>
              </w:pBdr>
              <w:spacing w:line="276" w:lineRule="auto"/>
              <w:jc w:val="center"/>
              <w:rPr>
                <w:color w:val="000000"/>
                <w:sz w:val="20"/>
                <w:szCs w:val="20"/>
                <w:vertAlign w:val="subscript"/>
              </w:rPr>
            </w:pP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13</w:t>
            </w:r>
            <w:r w:rsidRPr="00193232">
              <w:rPr>
                <w:color w:val="000000"/>
                <w:sz w:val="20"/>
                <w:szCs w:val="20"/>
              </w:rPr>
              <w:t>C</w:t>
            </w:r>
            <w:r w:rsidRPr="00193232">
              <w:rPr>
                <w:color w:val="000000"/>
                <w:sz w:val="20"/>
                <w:szCs w:val="20"/>
                <w:vertAlign w:val="subscript"/>
              </w:rPr>
              <w:t>captive</w:t>
            </w:r>
            <w:r>
              <w:rPr>
                <w:color w:val="000000"/>
                <w:sz w:val="20"/>
                <w:szCs w:val="20"/>
                <w:vertAlign w:val="subscript"/>
              </w:rPr>
              <w:t>;</w:t>
            </w:r>
          </w:p>
          <w:p w14:paraId="2B2C1A2A" w14:textId="477691CA" w:rsidR="001765A7" w:rsidRPr="002A69DD" w:rsidRDefault="001765A7" w:rsidP="00883B2D">
            <w:pPr>
              <w:pBdr>
                <w:top w:val="nil"/>
                <w:left w:val="nil"/>
                <w:bottom w:val="nil"/>
                <w:right w:val="nil"/>
                <w:between w:val="nil"/>
              </w:pBdr>
              <w:spacing w:after="120" w:line="276" w:lineRule="auto"/>
              <w:jc w:val="center"/>
              <w:rPr>
                <w:color w:val="000000"/>
                <w:sz w:val="20"/>
                <w:szCs w:val="20"/>
              </w:rPr>
            </w:pP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wild</w:t>
            </w:r>
            <w:r w:rsidRPr="00193232">
              <w:rPr>
                <w:color w:val="000000"/>
                <w:sz w:val="20"/>
                <w:szCs w:val="20"/>
              </w:rPr>
              <w:t xml:space="preserve"> </w:t>
            </w:r>
            <w:r>
              <w:rPr>
                <w:color w:val="000000"/>
                <w:sz w:val="20"/>
                <w:szCs w:val="20"/>
              </w:rPr>
              <w:t>&gt;</w:t>
            </w:r>
            <w:r w:rsidRPr="00193232">
              <w:rPr>
                <w:color w:val="000000"/>
                <w:sz w:val="20"/>
                <w:szCs w:val="20"/>
              </w:rPr>
              <w:t xml:space="preserve"> </w:t>
            </w:r>
            <w:r w:rsidRPr="00193232">
              <w:rPr>
                <w:i/>
                <w:iCs/>
                <w:color w:val="000000"/>
                <w:sz w:val="20"/>
                <w:szCs w:val="20"/>
              </w:rPr>
              <w:t>δ</w:t>
            </w:r>
            <w:r w:rsidRPr="00193232">
              <w:rPr>
                <w:color w:val="000000"/>
                <w:sz w:val="20"/>
                <w:szCs w:val="20"/>
                <w:vertAlign w:val="superscript"/>
              </w:rPr>
              <w:t>1</w:t>
            </w:r>
            <w:r>
              <w:rPr>
                <w:color w:val="000000"/>
                <w:sz w:val="20"/>
                <w:szCs w:val="20"/>
                <w:vertAlign w:val="superscript"/>
              </w:rPr>
              <w:t>5</w:t>
            </w:r>
            <w:r>
              <w:rPr>
                <w:color w:val="000000"/>
                <w:sz w:val="20"/>
                <w:szCs w:val="20"/>
              </w:rPr>
              <w:t>N</w:t>
            </w:r>
            <w:r w:rsidRPr="00193232">
              <w:rPr>
                <w:color w:val="000000"/>
                <w:sz w:val="20"/>
                <w:szCs w:val="20"/>
                <w:vertAlign w:val="subscript"/>
              </w:rPr>
              <w:t>captive</w:t>
            </w:r>
          </w:p>
        </w:tc>
        <w:tc>
          <w:tcPr>
            <w:tcW w:w="1706" w:type="dxa"/>
            <w:shd w:val="clear" w:color="auto" w:fill="FFFFFF" w:themeFill="background1"/>
            <w:vAlign w:val="center"/>
          </w:tcPr>
          <w:p w14:paraId="55F48E7B" w14:textId="0C6BAEA1" w:rsidR="001765A7" w:rsidRPr="002A69DD" w:rsidRDefault="009B27AA" w:rsidP="009B27AA">
            <w:pPr>
              <w:spacing w:after="120" w:line="276" w:lineRule="auto"/>
              <w:jc w:val="center"/>
              <w:rPr>
                <w:color w:val="000000"/>
                <w:sz w:val="20"/>
                <w:szCs w:val="20"/>
                <w:lang w:val="pt-BR"/>
              </w:rPr>
            </w:pPr>
            <w:r>
              <w:rPr>
                <w:color w:val="000000"/>
                <w:sz w:val="20"/>
                <w:szCs w:val="20"/>
              </w:rPr>
              <w:fldChar w:fldCharType="begin"/>
            </w:r>
            <w:r w:rsidRPr="009B27AA">
              <w:rPr>
                <w:color w:val="000000"/>
                <w:sz w:val="20"/>
                <w:szCs w:val="20"/>
                <w:lang w:val="pt-BR"/>
              </w:rPr>
              <w:instrText xml:space="preserve"> ADDIN ZOTERO_ITEM CSL_CITATION {"citationID":"lBBsocR4","properties":{"formattedCitation":"(Cardona et al., 2017)","plainCitation":"(Cardona et al., 2017)","noteIndex":0},"citationItems":[{"id":149,"uris":["http://zotero.org/users/9061160/items/FEVSZBPX"],"itemData":{"id":149,"type":"article-journal","abstract":"We analyzed the d13C and d15N values in the vibrissae of captive adult breeding South American sea lions (Otaria byronia) fed at a constant diet and then used this information to analyze the change in stable isotope values along the vibrissae from wild individuals. The overall diet-to-vibrissa discrimination factor of the captive animals was 3.0&amp; Æ 0.1&amp; for d13C and 3.6&amp; Æ 0.1&amp; for d15N, but the stable isotope ratios </w:instrText>
            </w:r>
            <w:r>
              <w:rPr>
                <w:color w:val="000000"/>
                <w:sz w:val="20"/>
                <w:szCs w:val="20"/>
              </w:rPr>
              <w:instrText>ﬂ</w:instrText>
            </w:r>
            <w:r w:rsidRPr="009B27AA">
              <w:rPr>
                <w:color w:val="000000"/>
                <w:sz w:val="20"/>
                <w:szCs w:val="20"/>
                <w:lang w:val="pt-BR"/>
              </w:rPr>
              <w:instrText xml:space="preserve">uctuated periodically despite constant diet. The d13C and d15N values of the captive male declined at the end of the breeding season, whereas the d13C values of the female increased during the central part of pregnancy and the d15N values peaked during lactation. The d13C and d15N values of adult wild specimens also </w:instrText>
            </w:r>
            <w:r>
              <w:rPr>
                <w:color w:val="000000"/>
                <w:sz w:val="20"/>
                <w:szCs w:val="20"/>
              </w:rPr>
              <w:instrText>ﬂ</w:instrText>
            </w:r>
            <w:r w:rsidRPr="009B27AA">
              <w:rPr>
                <w:color w:val="000000"/>
                <w:sz w:val="20"/>
                <w:szCs w:val="20"/>
                <w:lang w:val="pt-BR"/>
              </w:rPr>
              <w:instrText xml:space="preserve">uctuated periodically and vibrissae growth rate (0.15 mm/d in both sexes) was slightly lower than in captivity (0.17 mm/d), assuming an annual periodicity for oscillations. Similarities in the amplitude of the cycles of captive and wild males suggested that fasting was probably the main source of periodic variability in the d15N of wild males, whereas pregnancy and lactation were probably the main source of periodic variability for the d13C of wild females.","container-title":"Marine Mammal Science","DOI":"10.1111/mms.12415","ISSN":"08240469","issue":"4","journalAbbreviation":"Mar Mam Sci","language":"en","page":"975-990","source":"DOI.org (Crossref)","title":"Temporal variability in stable isotope ratios of C and N in the vibrissa of captive and wild adult South American sea lions &lt;i&gt;Otaria byronia&lt;/i&gt; : More than just diet shifts","title-short":"Temporal variability in stable isotope ratios of C and N in the vibrissa of captive and wild adult South American sea lions &lt;i&gt;Otaria byronia&lt;/i&gt;","volume":"33","author":[{"family":"Cardona","given":"Luis"},{"family":"Vales","given":"Damián"},{"family":"Aguilar","given":"Alex"},{"family":"Crespo","given":"Enrique"},{"family":"Zenteno","given":"Lisette"}],"issued":{"date-parts":[["2017",10]]}}}],"schema":"https://github.com/citation-style-language/schema/raw/master/csl-citation.json"} </w:instrText>
            </w:r>
            <w:r>
              <w:rPr>
                <w:color w:val="000000"/>
                <w:sz w:val="20"/>
                <w:szCs w:val="20"/>
              </w:rPr>
              <w:fldChar w:fldCharType="separate"/>
            </w:r>
            <w:r w:rsidRPr="009B27AA">
              <w:rPr>
                <w:sz w:val="20"/>
                <w:lang w:val="pt-BR"/>
              </w:rPr>
              <w:t>(Cardona et al., 2017)</w:t>
            </w:r>
            <w:r>
              <w:rPr>
                <w:color w:val="000000"/>
                <w:sz w:val="20"/>
                <w:szCs w:val="20"/>
              </w:rPr>
              <w:fldChar w:fldCharType="end"/>
            </w:r>
          </w:p>
        </w:tc>
      </w:tr>
    </w:tbl>
    <w:p w14:paraId="1A0FCC55" w14:textId="4B053C21" w:rsidR="00065B13" w:rsidRDefault="00337F32" w:rsidP="002A69DD">
      <w:pPr>
        <w:spacing w:after="120" w:line="276" w:lineRule="auto"/>
        <w:jc w:val="both"/>
        <w:rPr>
          <w:vertAlign w:val="superscript"/>
        </w:rPr>
      </w:pPr>
      <w:r w:rsidRPr="00337F32">
        <w:rPr>
          <w:vertAlign w:val="superscript"/>
        </w:rPr>
        <w:t xml:space="preserve">*We could not access or infer the original database. The inferences were based on the mean and standard deviation. </w:t>
      </w:r>
    </w:p>
    <w:sectPr w:rsidR="00065B13" w:rsidSect="001A5D0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dvGulliv-R">
    <w:altName w:val="Calibri"/>
    <w:panose1 w:val="00000000000000000000"/>
    <w:charset w:val="00"/>
    <w:family w:val="auto"/>
    <w:notTrueType/>
    <w:pitch w:val="default"/>
    <w:sig w:usb0="00000003" w:usb1="00000000" w:usb2="00000000" w:usb3="00000000" w:csb0="00000001" w:csb1="00000000"/>
  </w:font>
  <w:font w:name="Cascadia Code ExtraLight">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02"/>
    <w:rsid w:val="00000D1B"/>
    <w:rsid w:val="0000270B"/>
    <w:rsid w:val="00011232"/>
    <w:rsid w:val="000256BD"/>
    <w:rsid w:val="00033273"/>
    <w:rsid w:val="00056FD8"/>
    <w:rsid w:val="0006353A"/>
    <w:rsid w:val="00065B13"/>
    <w:rsid w:val="000B1562"/>
    <w:rsid w:val="000B77B0"/>
    <w:rsid w:val="000E6318"/>
    <w:rsid w:val="000E6684"/>
    <w:rsid w:val="001074C1"/>
    <w:rsid w:val="001237A7"/>
    <w:rsid w:val="001271AF"/>
    <w:rsid w:val="001765A7"/>
    <w:rsid w:val="00177EEC"/>
    <w:rsid w:val="00182922"/>
    <w:rsid w:val="00193232"/>
    <w:rsid w:val="001A5D02"/>
    <w:rsid w:val="001E1E1E"/>
    <w:rsid w:val="001E4DBC"/>
    <w:rsid w:val="001F59EE"/>
    <w:rsid w:val="00221895"/>
    <w:rsid w:val="002421B8"/>
    <w:rsid w:val="002535F3"/>
    <w:rsid w:val="00272491"/>
    <w:rsid w:val="0028148C"/>
    <w:rsid w:val="002A69DD"/>
    <w:rsid w:val="002F3138"/>
    <w:rsid w:val="003010DE"/>
    <w:rsid w:val="00302024"/>
    <w:rsid w:val="00306FF4"/>
    <w:rsid w:val="00337F32"/>
    <w:rsid w:val="00340C20"/>
    <w:rsid w:val="00355787"/>
    <w:rsid w:val="0038422C"/>
    <w:rsid w:val="003B6AE5"/>
    <w:rsid w:val="003C5644"/>
    <w:rsid w:val="003E70F3"/>
    <w:rsid w:val="004021D2"/>
    <w:rsid w:val="0040225C"/>
    <w:rsid w:val="00411D1C"/>
    <w:rsid w:val="0041580E"/>
    <w:rsid w:val="0044725D"/>
    <w:rsid w:val="00472044"/>
    <w:rsid w:val="00486F00"/>
    <w:rsid w:val="004B5F89"/>
    <w:rsid w:val="004B63EC"/>
    <w:rsid w:val="004D1F0A"/>
    <w:rsid w:val="00536F03"/>
    <w:rsid w:val="0054195C"/>
    <w:rsid w:val="00544CC2"/>
    <w:rsid w:val="00550638"/>
    <w:rsid w:val="00551F61"/>
    <w:rsid w:val="00571C76"/>
    <w:rsid w:val="00583A53"/>
    <w:rsid w:val="005B7EF6"/>
    <w:rsid w:val="005C69BD"/>
    <w:rsid w:val="005D2439"/>
    <w:rsid w:val="00601789"/>
    <w:rsid w:val="006072E7"/>
    <w:rsid w:val="00632B0C"/>
    <w:rsid w:val="006533E5"/>
    <w:rsid w:val="006720BB"/>
    <w:rsid w:val="006A1E2D"/>
    <w:rsid w:val="006F57BA"/>
    <w:rsid w:val="00707303"/>
    <w:rsid w:val="007466C6"/>
    <w:rsid w:val="00746FD8"/>
    <w:rsid w:val="00753477"/>
    <w:rsid w:val="00813A47"/>
    <w:rsid w:val="0083195B"/>
    <w:rsid w:val="00833F0C"/>
    <w:rsid w:val="008418E0"/>
    <w:rsid w:val="0086053F"/>
    <w:rsid w:val="00864341"/>
    <w:rsid w:val="00867972"/>
    <w:rsid w:val="00883B2D"/>
    <w:rsid w:val="00887DF0"/>
    <w:rsid w:val="008961F1"/>
    <w:rsid w:val="008B4EFD"/>
    <w:rsid w:val="008C7386"/>
    <w:rsid w:val="008E2CDC"/>
    <w:rsid w:val="008F0483"/>
    <w:rsid w:val="00961C31"/>
    <w:rsid w:val="009752DE"/>
    <w:rsid w:val="009930E8"/>
    <w:rsid w:val="009A134E"/>
    <w:rsid w:val="009B27AA"/>
    <w:rsid w:val="009C3A2D"/>
    <w:rsid w:val="00A03BF1"/>
    <w:rsid w:val="00A05454"/>
    <w:rsid w:val="00A14DB5"/>
    <w:rsid w:val="00A17FBD"/>
    <w:rsid w:val="00A219D2"/>
    <w:rsid w:val="00A42BDA"/>
    <w:rsid w:val="00A52EC7"/>
    <w:rsid w:val="00A61A94"/>
    <w:rsid w:val="00A61F49"/>
    <w:rsid w:val="00A62328"/>
    <w:rsid w:val="00A64384"/>
    <w:rsid w:val="00AF289D"/>
    <w:rsid w:val="00B02CCC"/>
    <w:rsid w:val="00B1647C"/>
    <w:rsid w:val="00B41591"/>
    <w:rsid w:val="00B50349"/>
    <w:rsid w:val="00B704C2"/>
    <w:rsid w:val="00B917A8"/>
    <w:rsid w:val="00B91A6C"/>
    <w:rsid w:val="00BC48D9"/>
    <w:rsid w:val="00BE5390"/>
    <w:rsid w:val="00BF0A89"/>
    <w:rsid w:val="00C136BF"/>
    <w:rsid w:val="00C140E5"/>
    <w:rsid w:val="00C24E4C"/>
    <w:rsid w:val="00C27171"/>
    <w:rsid w:val="00C5361A"/>
    <w:rsid w:val="00C64DD6"/>
    <w:rsid w:val="00C67E32"/>
    <w:rsid w:val="00CA2512"/>
    <w:rsid w:val="00CC0B9D"/>
    <w:rsid w:val="00CE0690"/>
    <w:rsid w:val="00CE0D30"/>
    <w:rsid w:val="00CF31E8"/>
    <w:rsid w:val="00D10525"/>
    <w:rsid w:val="00D13EFA"/>
    <w:rsid w:val="00D161C6"/>
    <w:rsid w:val="00D277DD"/>
    <w:rsid w:val="00D40F6E"/>
    <w:rsid w:val="00D93D03"/>
    <w:rsid w:val="00DA68AC"/>
    <w:rsid w:val="00DB1816"/>
    <w:rsid w:val="00DB61E2"/>
    <w:rsid w:val="00DE5B8E"/>
    <w:rsid w:val="00E136C6"/>
    <w:rsid w:val="00E15E4B"/>
    <w:rsid w:val="00E47B42"/>
    <w:rsid w:val="00E60F32"/>
    <w:rsid w:val="00E7119E"/>
    <w:rsid w:val="00E7259E"/>
    <w:rsid w:val="00E76DF7"/>
    <w:rsid w:val="00E9786F"/>
    <w:rsid w:val="00EA4EC3"/>
    <w:rsid w:val="00EC2E09"/>
    <w:rsid w:val="00EC5319"/>
    <w:rsid w:val="00EE04FF"/>
    <w:rsid w:val="00EE264E"/>
    <w:rsid w:val="00F022FF"/>
    <w:rsid w:val="00F2307D"/>
    <w:rsid w:val="00F57180"/>
    <w:rsid w:val="00FB0BBD"/>
    <w:rsid w:val="00FB2E7D"/>
    <w:rsid w:val="00FE2487"/>
    <w:rsid w:val="00FF6A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6896"/>
  <w15:chartTrackingRefBased/>
  <w15:docId w15:val="{28CE6202-7EE3-4CC2-9409-695E7750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02"/>
    <w:pPr>
      <w:spacing w:after="0" w:line="240" w:lineRule="auto"/>
    </w:pPr>
    <w:rPr>
      <w:rFonts w:ascii="Times New Roman" w:eastAsia="Times New Roman" w:hAnsi="Times New Roman" w:cs="Times New Roman"/>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161C6"/>
    <w:rPr>
      <w:sz w:val="18"/>
      <w:szCs w:val="18"/>
    </w:rPr>
  </w:style>
  <w:style w:type="character" w:customStyle="1" w:styleId="TextodebaloChar">
    <w:name w:val="Texto de balão Char"/>
    <w:basedOn w:val="Fontepargpadro"/>
    <w:link w:val="Textodebalo"/>
    <w:uiPriority w:val="99"/>
    <w:semiHidden/>
    <w:rsid w:val="00D161C6"/>
    <w:rPr>
      <w:rFonts w:ascii="Times New Roman" w:eastAsia="Times New Roman" w:hAnsi="Times New Roman" w:cs="Times New Roman"/>
      <w:sz w:val="18"/>
      <w:szCs w:val="18"/>
      <w:lang w:val="en-US" w:eastAsia="pt-BR"/>
    </w:rPr>
  </w:style>
  <w:style w:type="paragraph" w:styleId="Reviso">
    <w:name w:val="Revision"/>
    <w:hidden/>
    <w:uiPriority w:val="99"/>
    <w:semiHidden/>
    <w:rsid w:val="00C27171"/>
    <w:pPr>
      <w:spacing w:after="0" w:line="240" w:lineRule="auto"/>
    </w:pPr>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unhideWhenUsed/>
    <w:rsid w:val="001271AF"/>
    <w:rPr>
      <w:sz w:val="16"/>
      <w:szCs w:val="16"/>
    </w:rPr>
  </w:style>
  <w:style w:type="paragraph" w:styleId="Textodecomentrio">
    <w:name w:val="annotation text"/>
    <w:basedOn w:val="Normal"/>
    <w:link w:val="TextodecomentrioChar"/>
    <w:uiPriority w:val="99"/>
    <w:semiHidden/>
    <w:unhideWhenUsed/>
    <w:rsid w:val="001271AF"/>
    <w:rPr>
      <w:sz w:val="20"/>
      <w:szCs w:val="20"/>
    </w:rPr>
  </w:style>
  <w:style w:type="character" w:customStyle="1" w:styleId="TextodecomentrioChar">
    <w:name w:val="Texto de comentário Char"/>
    <w:basedOn w:val="Fontepargpadro"/>
    <w:link w:val="Textodecomentrio"/>
    <w:uiPriority w:val="99"/>
    <w:semiHidden/>
    <w:rsid w:val="001271AF"/>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1271AF"/>
    <w:rPr>
      <w:b/>
      <w:bCs/>
    </w:rPr>
  </w:style>
  <w:style w:type="character" w:customStyle="1" w:styleId="AssuntodocomentrioChar">
    <w:name w:val="Assunto do comentário Char"/>
    <w:basedOn w:val="TextodecomentrioChar"/>
    <w:link w:val="Assuntodocomentrio"/>
    <w:uiPriority w:val="99"/>
    <w:semiHidden/>
    <w:rsid w:val="001271AF"/>
    <w:rPr>
      <w:rFonts w:ascii="Times New Roman" w:eastAsia="Times New Roman" w:hAnsi="Times New Roman" w:cs="Times New Roman"/>
      <w:b/>
      <w:bCs/>
      <w:sz w:val="20"/>
      <w:szCs w:val="20"/>
      <w:lang w:val="en-US" w:eastAsia="pt-BR"/>
    </w:rPr>
  </w:style>
  <w:style w:type="paragraph" w:styleId="Bibliografia">
    <w:name w:val="Bibliography"/>
    <w:basedOn w:val="Normal"/>
    <w:next w:val="Normal"/>
    <w:uiPriority w:val="37"/>
    <w:unhideWhenUsed/>
    <w:rsid w:val="00C5361A"/>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776">
      <w:bodyDiv w:val="1"/>
      <w:marLeft w:val="0"/>
      <w:marRight w:val="0"/>
      <w:marTop w:val="0"/>
      <w:marBottom w:val="0"/>
      <w:divBdr>
        <w:top w:val="none" w:sz="0" w:space="0" w:color="auto"/>
        <w:left w:val="none" w:sz="0" w:space="0" w:color="auto"/>
        <w:bottom w:val="none" w:sz="0" w:space="0" w:color="auto"/>
        <w:right w:val="none" w:sz="0" w:space="0" w:color="auto"/>
      </w:divBdr>
    </w:div>
    <w:div w:id="181238158">
      <w:bodyDiv w:val="1"/>
      <w:marLeft w:val="0"/>
      <w:marRight w:val="0"/>
      <w:marTop w:val="0"/>
      <w:marBottom w:val="0"/>
      <w:divBdr>
        <w:top w:val="none" w:sz="0" w:space="0" w:color="auto"/>
        <w:left w:val="none" w:sz="0" w:space="0" w:color="auto"/>
        <w:bottom w:val="none" w:sz="0" w:space="0" w:color="auto"/>
        <w:right w:val="none" w:sz="0" w:space="0" w:color="auto"/>
      </w:divBdr>
    </w:div>
    <w:div w:id="288322408">
      <w:bodyDiv w:val="1"/>
      <w:marLeft w:val="0"/>
      <w:marRight w:val="0"/>
      <w:marTop w:val="0"/>
      <w:marBottom w:val="0"/>
      <w:divBdr>
        <w:top w:val="none" w:sz="0" w:space="0" w:color="auto"/>
        <w:left w:val="none" w:sz="0" w:space="0" w:color="auto"/>
        <w:bottom w:val="none" w:sz="0" w:space="0" w:color="auto"/>
        <w:right w:val="none" w:sz="0" w:space="0" w:color="auto"/>
      </w:divBdr>
    </w:div>
    <w:div w:id="355158545">
      <w:bodyDiv w:val="1"/>
      <w:marLeft w:val="0"/>
      <w:marRight w:val="0"/>
      <w:marTop w:val="0"/>
      <w:marBottom w:val="0"/>
      <w:divBdr>
        <w:top w:val="none" w:sz="0" w:space="0" w:color="auto"/>
        <w:left w:val="none" w:sz="0" w:space="0" w:color="auto"/>
        <w:bottom w:val="none" w:sz="0" w:space="0" w:color="auto"/>
        <w:right w:val="none" w:sz="0" w:space="0" w:color="auto"/>
      </w:divBdr>
    </w:div>
    <w:div w:id="365915428">
      <w:bodyDiv w:val="1"/>
      <w:marLeft w:val="0"/>
      <w:marRight w:val="0"/>
      <w:marTop w:val="0"/>
      <w:marBottom w:val="0"/>
      <w:divBdr>
        <w:top w:val="none" w:sz="0" w:space="0" w:color="auto"/>
        <w:left w:val="none" w:sz="0" w:space="0" w:color="auto"/>
        <w:bottom w:val="none" w:sz="0" w:space="0" w:color="auto"/>
        <w:right w:val="none" w:sz="0" w:space="0" w:color="auto"/>
      </w:divBdr>
    </w:div>
    <w:div w:id="417292505">
      <w:bodyDiv w:val="1"/>
      <w:marLeft w:val="0"/>
      <w:marRight w:val="0"/>
      <w:marTop w:val="0"/>
      <w:marBottom w:val="0"/>
      <w:divBdr>
        <w:top w:val="none" w:sz="0" w:space="0" w:color="auto"/>
        <w:left w:val="none" w:sz="0" w:space="0" w:color="auto"/>
        <w:bottom w:val="none" w:sz="0" w:space="0" w:color="auto"/>
        <w:right w:val="none" w:sz="0" w:space="0" w:color="auto"/>
      </w:divBdr>
    </w:div>
    <w:div w:id="501162559">
      <w:bodyDiv w:val="1"/>
      <w:marLeft w:val="0"/>
      <w:marRight w:val="0"/>
      <w:marTop w:val="0"/>
      <w:marBottom w:val="0"/>
      <w:divBdr>
        <w:top w:val="none" w:sz="0" w:space="0" w:color="auto"/>
        <w:left w:val="none" w:sz="0" w:space="0" w:color="auto"/>
        <w:bottom w:val="none" w:sz="0" w:space="0" w:color="auto"/>
        <w:right w:val="none" w:sz="0" w:space="0" w:color="auto"/>
      </w:divBdr>
    </w:div>
    <w:div w:id="605772285">
      <w:bodyDiv w:val="1"/>
      <w:marLeft w:val="0"/>
      <w:marRight w:val="0"/>
      <w:marTop w:val="0"/>
      <w:marBottom w:val="0"/>
      <w:divBdr>
        <w:top w:val="none" w:sz="0" w:space="0" w:color="auto"/>
        <w:left w:val="none" w:sz="0" w:space="0" w:color="auto"/>
        <w:bottom w:val="none" w:sz="0" w:space="0" w:color="auto"/>
        <w:right w:val="none" w:sz="0" w:space="0" w:color="auto"/>
      </w:divBdr>
    </w:div>
    <w:div w:id="726994132">
      <w:bodyDiv w:val="1"/>
      <w:marLeft w:val="0"/>
      <w:marRight w:val="0"/>
      <w:marTop w:val="0"/>
      <w:marBottom w:val="0"/>
      <w:divBdr>
        <w:top w:val="none" w:sz="0" w:space="0" w:color="auto"/>
        <w:left w:val="none" w:sz="0" w:space="0" w:color="auto"/>
        <w:bottom w:val="none" w:sz="0" w:space="0" w:color="auto"/>
        <w:right w:val="none" w:sz="0" w:space="0" w:color="auto"/>
      </w:divBdr>
    </w:div>
    <w:div w:id="832141049">
      <w:bodyDiv w:val="1"/>
      <w:marLeft w:val="0"/>
      <w:marRight w:val="0"/>
      <w:marTop w:val="0"/>
      <w:marBottom w:val="0"/>
      <w:divBdr>
        <w:top w:val="none" w:sz="0" w:space="0" w:color="auto"/>
        <w:left w:val="none" w:sz="0" w:space="0" w:color="auto"/>
        <w:bottom w:val="none" w:sz="0" w:space="0" w:color="auto"/>
        <w:right w:val="none" w:sz="0" w:space="0" w:color="auto"/>
      </w:divBdr>
    </w:div>
    <w:div w:id="1162745602">
      <w:bodyDiv w:val="1"/>
      <w:marLeft w:val="0"/>
      <w:marRight w:val="0"/>
      <w:marTop w:val="0"/>
      <w:marBottom w:val="0"/>
      <w:divBdr>
        <w:top w:val="none" w:sz="0" w:space="0" w:color="auto"/>
        <w:left w:val="none" w:sz="0" w:space="0" w:color="auto"/>
        <w:bottom w:val="none" w:sz="0" w:space="0" w:color="auto"/>
        <w:right w:val="none" w:sz="0" w:space="0" w:color="auto"/>
      </w:divBdr>
    </w:div>
    <w:div w:id="1167212730">
      <w:bodyDiv w:val="1"/>
      <w:marLeft w:val="0"/>
      <w:marRight w:val="0"/>
      <w:marTop w:val="0"/>
      <w:marBottom w:val="0"/>
      <w:divBdr>
        <w:top w:val="none" w:sz="0" w:space="0" w:color="auto"/>
        <w:left w:val="none" w:sz="0" w:space="0" w:color="auto"/>
        <w:bottom w:val="none" w:sz="0" w:space="0" w:color="auto"/>
        <w:right w:val="none" w:sz="0" w:space="0" w:color="auto"/>
      </w:divBdr>
    </w:div>
    <w:div w:id="1445729250">
      <w:bodyDiv w:val="1"/>
      <w:marLeft w:val="0"/>
      <w:marRight w:val="0"/>
      <w:marTop w:val="0"/>
      <w:marBottom w:val="0"/>
      <w:divBdr>
        <w:top w:val="none" w:sz="0" w:space="0" w:color="auto"/>
        <w:left w:val="none" w:sz="0" w:space="0" w:color="auto"/>
        <w:bottom w:val="none" w:sz="0" w:space="0" w:color="auto"/>
        <w:right w:val="none" w:sz="0" w:space="0" w:color="auto"/>
      </w:divBdr>
    </w:div>
    <w:div w:id="1703357927">
      <w:bodyDiv w:val="1"/>
      <w:marLeft w:val="0"/>
      <w:marRight w:val="0"/>
      <w:marTop w:val="0"/>
      <w:marBottom w:val="0"/>
      <w:divBdr>
        <w:top w:val="none" w:sz="0" w:space="0" w:color="auto"/>
        <w:left w:val="none" w:sz="0" w:space="0" w:color="auto"/>
        <w:bottom w:val="none" w:sz="0" w:space="0" w:color="auto"/>
        <w:right w:val="none" w:sz="0" w:space="0" w:color="auto"/>
      </w:divBdr>
    </w:div>
    <w:div w:id="21021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6844</TotalTime>
  <Pages>2</Pages>
  <Words>3985</Words>
  <Characters>22837</Characters>
  <Application>Microsoft Office Word</Application>
  <DocSecurity>0</DocSecurity>
  <Lines>1522</Lines>
  <Paragraphs>1031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Brasileiro Reis Pereira</dc:creator>
  <cp:keywords/>
  <dc:description/>
  <cp:lastModifiedBy>Gabriela Bielefeld</cp:lastModifiedBy>
  <cp:revision>48</cp:revision>
  <dcterms:created xsi:type="dcterms:W3CDTF">2023-01-13T14:49:00Z</dcterms:created>
  <dcterms:modified xsi:type="dcterms:W3CDTF">2023-04-24T18:27:00Z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id="YxQr3vQ6"/&gt;&lt;style id="http://www.zotero.org/styles/peerj" hasBibliography="1" bibliographyStyleHasBeenSet="1"/&gt;&lt;prefs&gt;&lt;pref name="fieldType" value="Field"/&gt;&lt;/prefs&gt;&lt;/data&gt;</vt:lpwstr>
  </property>
  <property fmtid="{D5CDD505-2E9C-101B-9397-08002B2CF9AE}" pid="3" name="GrammarlyDocumentId">
    <vt:lpwstr>b826f6c6d025f025a24f21357e9f7dd93c77f8fb1f212469bfa76b4b7071e120</vt:lpwstr>
  </property>
</Properties>
</file>